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162978" w:rsidRPr="00162978" w14:paraId="44A6BC28" w14:textId="77777777" w:rsidTr="00D14A03">
        <w:tc>
          <w:tcPr>
            <w:tcW w:w="4536" w:type="dxa"/>
          </w:tcPr>
          <w:p w14:paraId="41A488CA" w14:textId="77777777" w:rsidR="00162978" w:rsidRPr="00162978" w:rsidRDefault="00162978" w:rsidP="00B92828">
            <w:pPr>
              <w:spacing w:after="200" w:line="276" w:lineRule="auto"/>
              <w:ind w:firstLine="851"/>
              <w:jc w:val="right"/>
              <w:rPr>
                <w:rFonts w:ascii="Times New Roman" w:hAnsi="Times New Roman"/>
                <w:sz w:val="28"/>
                <w:szCs w:val="28"/>
                <w:lang w:val="uk-UA" w:eastAsia="en-US"/>
              </w:rPr>
            </w:pPr>
            <w:bookmarkStart w:id="0" w:name="_GoBack"/>
            <w:bookmarkEnd w:id="0"/>
          </w:p>
        </w:tc>
        <w:tc>
          <w:tcPr>
            <w:tcW w:w="5103" w:type="dxa"/>
          </w:tcPr>
          <w:p w14:paraId="60208353" w14:textId="77777777" w:rsidR="00162978" w:rsidRPr="00162978" w:rsidRDefault="00162978" w:rsidP="00B92828">
            <w:pPr>
              <w:jc w:val="right"/>
              <w:rPr>
                <w:rFonts w:ascii="Times New Roman" w:hAnsi="Times New Roman"/>
                <w:b/>
                <w:bCs/>
                <w:sz w:val="28"/>
                <w:szCs w:val="28"/>
                <w:lang w:val="uk-UA" w:eastAsia="en-US"/>
              </w:rPr>
            </w:pPr>
            <w:r w:rsidRPr="00162978">
              <w:rPr>
                <w:rFonts w:ascii="Times New Roman" w:hAnsi="Times New Roman"/>
                <w:b/>
                <w:bCs/>
                <w:sz w:val="28"/>
                <w:szCs w:val="28"/>
                <w:lang w:val="uk-UA" w:eastAsia="en-US"/>
              </w:rPr>
              <w:t>ПРОЕКТ</w:t>
            </w:r>
          </w:p>
          <w:p w14:paraId="5A5AEE1A" w14:textId="77777777" w:rsidR="00162978" w:rsidRPr="00162978" w:rsidRDefault="00162978" w:rsidP="00B92828">
            <w:pPr>
              <w:jc w:val="right"/>
              <w:rPr>
                <w:rFonts w:ascii="Times New Roman" w:hAnsi="Times New Roman"/>
                <w:bCs/>
                <w:sz w:val="28"/>
                <w:szCs w:val="28"/>
                <w:lang w:val="uk-UA" w:eastAsia="en-US"/>
              </w:rPr>
            </w:pPr>
            <w:r w:rsidRPr="00162978">
              <w:rPr>
                <w:rFonts w:ascii="Times New Roman" w:hAnsi="Times New Roman"/>
                <w:bCs/>
                <w:sz w:val="28"/>
                <w:szCs w:val="28"/>
                <w:lang w:val="uk-UA" w:eastAsia="en-US"/>
              </w:rPr>
              <w:t>вноситься народними</w:t>
            </w:r>
          </w:p>
          <w:p w14:paraId="6D6D4B50" w14:textId="77777777" w:rsidR="00162978" w:rsidRPr="00162978" w:rsidRDefault="00162978" w:rsidP="00B92828">
            <w:pPr>
              <w:jc w:val="right"/>
              <w:rPr>
                <w:rFonts w:ascii="Times New Roman" w:hAnsi="Times New Roman"/>
                <w:bCs/>
                <w:sz w:val="28"/>
                <w:szCs w:val="28"/>
                <w:lang w:val="uk-UA" w:eastAsia="en-US"/>
              </w:rPr>
            </w:pPr>
            <w:r w:rsidRPr="00162978">
              <w:rPr>
                <w:rFonts w:ascii="Times New Roman" w:hAnsi="Times New Roman"/>
                <w:bCs/>
                <w:sz w:val="28"/>
                <w:szCs w:val="28"/>
                <w:lang w:val="uk-UA" w:eastAsia="en-US"/>
              </w:rPr>
              <w:t>депутатами України:</w:t>
            </w:r>
          </w:p>
          <w:p w14:paraId="14EF1D2C" w14:textId="77777777" w:rsidR="00162978" w:rsidRPr="00162978" w:rsidRDefault="00162978" w:rsidP="00B92828">
            <w:pPr>
              <w:spacing w:before="120"/>
              <w:jc w:val="right"/>
              <w:rPr>
                <w:rFonts w:ascii="Times New Roman" w:hAnsi="Times New Roman"/>
                <w:b/>
                <w:sz w:val="28"/>
                <w:szCs w:val="28"/>
                <w:lang w:val="uk-UA" w:eastAsia="en-US"/>
              </w:rPr>
            </w:pPr>
            <w:r w:rsidRPr="00162978">
              <w:rPr>
                <w:rFonts w:ascii="Times New Roman" w:hAnsi="Times New Roman"/>
                <w:b/>
                <w:sz w:val="28"/>
                <w:szCs w:val="28"/>
                <w:lang w:val="uk-UA" w:eastAsia="en-US"/>
              </w:rPr>
              <w:t>Кучеренком О.Ю.</w:t>
            </w:r>
          </w:p>
          <w:p w14:paraId="343EE40C" w14:textId="77777777" w:rsidR="00162978" w:rsidRPr="00162978" w:rsidRDefault="00162978" w:rsidP="00B92828">
            <w:pPr>
              <w:jc w:val="right"/>
              <w:rPr>
                <w:rFonts w:ascii="Times New Roman" w:hAnsi="Times New Roman"/>
                <w:sz w:val="24"/>
                <w:szCs w:val="24"/>
                <w:lang w:val="uk-UA" w:eastAsia="en-US"/>
              </w:rPr>
            </w:pPr>
            <w:r w:rsidRPr="00162978">
              <w:rPr>
                <w:rFonts w:ascii="Times New Roman" w:hAnsi="Times New Roman"/>
                <w:sz w:val="24"/>
                <w:szCs w:val="24"/>
                <w:lang w:val="uk-UA" w:eastAsia="en-US"/>
              </w:rPr>
              <w:t>(посвідчення № 179)</w:t>
            </w:r>
          </w:p>
          <w:p w14:paraId="6BBF69A3" w14:textId="77777777" w:rsidR="00162978" w:rsidRPr="00162978" w:rsidRDefault="00162978" w:rsidP="00B92828">
            <w:pPr>
              <w:spacing w:before="120"/>
              <w:jc w:val="right"/>
              <w:rPr>
                <w:rFonts w:ascii="Times New Roman" w:hAnsi="Times New Roman"/>
                <w:b/>
                <w:bCs/>
                <w:i/>
                <w:iCs/>
                <w:sz w:val="28"/>
                <w:szCs w:val="28"/>
                <w:lang w:val="uk-UA" w:eastAsia="en-US"/>
              </w:rPr>
            </w:pPr>
            <w:r w:rsidRPr="00162978">
              <w:rPr>
                <w:rFonts w:ascii="Times New Roman" w:hAnsi="Times New Roman"/>
                <w:b/>
                <w:bCs/>
                <w:i/>
                <w:iCs/>
                <w:sz w:val="28"/>
                <w:szCs w:val="28"/>
                <w:lang w:val="uk-UA" w:eastAsia="en-US"/>
              </w:rPr>
              <w:t>та іншими</w:t>
            </w:r>
          </w:p>
          <w:p w14:paraId="294484C8" w14:textId="77777777" w:rsidR="00162978" w:rsidRPr="00162978" w:rsidRDefault="00162978" w:rsidP="00B92828">
            <w:pPr>
              <w:jc w:val="right"/>
              <w:rPr>
                <w:rFonts w:ascii="Times New Roman" w:hAnsi="Times New Roman"/>
                <w:sz w:val="28"/>
                <w:szCs w:val="28"/>
                <w:lang w:val="uk-UA" w:eastAsia="en-US"/>
              </w:rPr>
            </w:pPr>
          </w:p>
        </w:tc>
      </w:tr>
    </w:tbl>
    <w:p w14:paraId="73FE1349" w14:textId="77777777" w:rsidR="007359D4" w:rsidRPr="00162978" w:rsidRDefault="007359D4">
      <w:pPr>
        <w:pStyle w:val="a3"/>
        <w:spacing w:before="0" w:after="120"/>
        <w:ind w:firstLine="0"/>
        <w:rPr>
          <w:rFonts w:ascii="Times New Roman" w:hAnsi="Times New Roman"/>
          <w:i/>
          <w:sz w:val="28"/>
          <w:szCs w:val="28"/>
        </w:rPr>
      </w:pPr>
    </w:p>
    <w:p w14:paraId="7536CD4E" w14:textId="77777777" w:rsidR="00040A50" w:rsidRPr="00162978" w:rsidRDefault="00267B32">
      <w:pPr>
        <w:pStyle w:val="a3"/>
        <w:spacing w:before="0" w:after="120"/>
        <w:ind w:firstLine="0"/>
        <w:jc w:val="center"/>
        <w:rPr>
          <w:rFonts w:ascii="Times New Roman" w:hAnsi="Times New Roman"/>
          <w:b/>
          <w:i/>
          <w:sz w:val="36"/>
          <w:szCs w:val="36"/>
        </w:rPr>
      </w:pPr>
      <w:r w:rsidRPr="00162978">
        <w:rPr>
          <w:rFonts w:ascii="Times New Roman" w:hAnsi="Times New Roman"/>
          <w:b/>
          <w:i/>
          <w:sz w:val="36"/>
          <w:szCs w:val="36"/>
        </w:rPr>
        <w:t>ЗАКОН УКРАЇНИ</w:t>
      </w:r>
    </w:p>
    <w:p w14:paraId="17DF9944" w14:textId="4B8D19A8" w:rsidR="007A1B7C" w:rsidRPr="00162978" w:rsidRDefault="007A1B7C">
      <w:pPr>
        <w:pStyle w:val="a3"/>
        <w:spacing w:before="0" w:after="120"/>
        <w:ind w:firstLine="0"/>
        <w:jc w:val="center"/>
        <w:rPr>
          <w:rFonts w:ascii="Times New Roman" w:hAnsi="Times New Roman"/>
          <w:b/>
          <w:sz w:val="28"/>
          <w:szCs w:val="28"/>
        </w:rPr>
      </w:pPr>
      <w:r w:rsidRPr="00162978">
        <w:rPr>
          <w:rFonts w:ascii="Times New Roman" w:hAnsi="Times New Roman"/>
          <w:b/>
          <w:sz w:val="28"/>
          <w:szCs w:val="28"/>
        </w:rPr>
        <w:t xml:space="preserve">Про внесення змін до законів України </w:t>
      </w:r>
      <w:r w:rsidR="00162978" w:rsidRPr="00162978">
        <w:rPr>
          <w:rFonts w:ascii="Times New Roman" w:hAnsi="Times New Roman"/>
          <w:b/>
          <w:sz w:val="28"/>
          <w:szCs w:val="28"/>
        </w:rPr>
        <w:br/>
      </w:r>
      <w:r w:rsidRPr="00162978">
        <w:rPr>
          <w:rFonts w:ascii="Times New Roman" w:hAnsi="Times New Roman"/>
          <w:b/>
          <w:sz w:val="28"/>
          <w:szCs w:val="28"/>
        </w:rPr>
        <w:t xml:space="preserve">щодо питання впровадження накопичувачів енергії </w:t>
      </w:r>
    </w:p>
    <w:p w14:paraId="27D64DE7" w14:textId="48203D61" w:rsidR="00040A50" w:rsidRPr="00162978" w:rsidRDefault="00267B32">
      <w:pPr>
        <w:pStyle w:val="a3"/>
        <w:spacing w:before="0" w:after="120"/>
        <w:ind w:firstLine="0"/>
        <w:jc w:val="center"/>
        <w:rPr>
          <w:rFonts w:ascii="Times New Roman" w:hAnsi="Times New Roman"/>
          <w:sz w:val="28"/>
          <w:szCs w:val="28"/>
        </w:rPr>
      </w:pPr>
      <w:r w:rsidRPr="00162978">
        <w:rPr>
          <w:rFonts w:ascii="Times New Roman" w:hAnsi="Times New Roman"/>
          <w:sz w:val="28"/>
          <w:szCs w:val="28"/>
        </w:rPr>
        <w:t>__________________________________________</w:t>
      </w:r>
    </w:p>
    <w:p w14:paraId="63775555" w14:textId="77777777" w:rsidR="00040A50" w:rsidRPr="00162978" w:rsidRDefault="00040A50">
      <w:pPr>
        <w:pStyle w:val="a3"/>
        <w:spacing w:before="0" w:after="120"/>
        <w:ind w:firstLine="0"/>
        <w:jc w:val="center"/>
        <w:rPr>
          <w:rFonts w:ascii="Times New Roman" w:hAnsi="Times New Roman"/>
          <w:sz w:val="28"/>
          <w:szCs w:val="28"/>
        </w:rPr>
      </w:pPr>
    </w:p>
    <w:p w14:paraId="11E057B9" w14:textId="619244DF" w:rsidR="007A1B7C" w:rsidRDefault="00DB39DC" w:rsidP="00DB39DC">
      <w:pPr>
        <w:pStyle w:val="a3"/>
        <w:spacing w:before="0"/>
        <w:ind w:firstLine="709"/>
        <w:rPr>
          <w:rFonts w:ascii="Times New Roman" w:hAnsi="Times New Roman"/>
          <w:sz w:val="28"/>
          <w:szCs w:val="28"/>
        </w:rPr>
      </w:pPr>
      <w:r w:rsidRPr="00DB39DC">
        <w:rPr>
          <w:rFonts w:ascii="Times New Roman" w:hAnsi="Times New Roman" w:hint="eastAsia"/>
          <w:sz w:val="28"/>
          <w:szCs w:val="28"/>
        </w:rPr>
        <w:t>Верховна</w:t>
      </w:r>
      <w:r w:rsidRPr="00DB39DC">
        <w:rPr>
          <w:rFonts w:ascii="Times New Roman" w:hAnsi="Times New Roman"/>
          <w:sz w:val="28"/>
          <w:szCs w:val="28"/>
        </w:rPr>
        <w:t xml:space="preserve"> </w:t>
      </w:r>
      <w:r w:rsidRPr="00DB39DC">
        <w:rPr>
          <w:rFonts w:ascii="Times New Roman" w:hAnsi="Times New Roman" w:hint="eastAsia"/>
          <w:sz w:val="28"/>
          <w:szCs w:val="28"/>
        </w:rPr>
        <w:t>Рада</w:t>
      </w:r>
      <w:r w:rsidRPr="00DB39DC">
        <w:rPr>
          <w:rFonts w:ascii="Times New Roman" w:hAnsi="Times New Roman"/>
          <w:sz w:val="28"/>
          <w:szCs w:val="28"/>
        </w:rPr>
        <w:t xml:space="preserve"> </w:t>
      </w:r>
      <w:r w:rsidRPr="00DB39DC">
        <w:rPr>
          <w:rFonts w:ascii="Times New Roman" w:hAnsi="Times New Roman" w:hint="eastAsia"/>
          <w:sz w:val="28"/>
          <w:szCs w:val="28"/>
        </w:rPr>
        <w:t>України</w:t>
      </w:r>
      <w:r w:rsidRPr="00DB39DC">
        <w:rPr>
          <w:rFonts w:ascii="Times New Roman" w:hAnsi="Times New Roman"/>
          <w:sz w:val="28"/>
          <w:szCs w:val="28"/>
        </w:rPr>
        <w:t xml:space="preserve"> </w:t>
      </w:r>
      <w:r w:rsidRPr="00DB39DC">
        <w:rPr>
          <w:rFonts w:ascii="Times New Roman" w:hAnsi="Times New Roman" w:hint="eastAsia"/>
          <w:sz w:val="28"/>
          <w:szCs w:val="28"/>
        </w:rPr>
        <w:t>п</w:t>
      </w:r>
      <w:r w:rsidRPr="00DB39DC">
        <w:rPr>
          <w:rFonts w:ascii="Times New Roman" w:hAnsi="Times New Roman"/>
          <w:sz w:val="28"/>
          <w:szCs w:val="28"/>
        </w:rPr>
        <w:t xml:space="preserve"> </w:t>
      </w:r>
      <w:r w:rsidRPr="00DB39DC">
        <w:rPr>
          <w:rFonts w:ascii="Times New Roman" w:hAnsi="Times New Roman" w:hint="eastAsia"/>
          <w:sz w:val="28"/>
          <w:szCs w:val="28"/>
        </w:rPr>
        <w:t>о</w:t>
      </w:r>
      <w:r w:rsidRPr="00DB39DC">
        <w:rPr>
          <w:rFonts w:ascii="Times New Roman" w:hAnsi="Times New Roman"/>
          <w:sz w:val="28"/>
          <w:szCs w:val="28"/>
        </w:rPr>
        <w:t xml:space="preserve"> </w:t>
      </w:r>
      <w:r w:rsidRPr="00DB39DC">
        <w:rPr>
          <w:rFonts w:ascii="Times New Roman" w:hAnsi="Times New Roman" w:hint="eastAsia"/>
          <w:sz w:val="28"/>
          <w:szCs w:val="28"/>
        </w:rPr>
        <w:t>с</w:t>
      </w:r>
      <w:r w:rsidRPr="00DB39DC">
        <w:rPr>
          <w:rFonts w:ascii="Times New Roman" w:hAnsi="Times New Roman"/>
          <w:sz w:val="28"/>
          <w:szCs w:val="28"/>
        </w:rPr>
        <w:t xml:space="preserve"> </w:t>
      </w:r>
      <w:r w:rsidRPr="00DB39DC">
        <w:rPr>
          <w:rFonts w:ascii="Times New Roman" w:hAnsi="Times New Roman" w:hint="eastAsia"/>
          <w:sz w:val="28"/>
          <w:szCs w:val="28"/>
        </w:rPr>
        <w:t>т</w:t>
      </w:r>
      <w:r w:rsidRPr="00DB39DC">
        <w:rPr>
          <w:rFonts w:ascii="Times New Roman" w:hAnsi="Times New Roman"/>
          <w:sz w:val="28"/>
          <w:szCs w:val="28"/>
        </w:rPr>
        <w:t xml:space="preserve"> </w:t>
      </w:r>
      <w:r w:rsidRPr="00DB39DC">
        <w:rPr>
          <w:rFonts w:ascii="Times New Roman" w:hAnsi="Times New Roman" w:hint="eastAsia"/>
          <w:sz w:val="28"/>
          <w:szCs w:val="28"/>
        </w:rPr>
        <w:t>а</w:t>
      </w:r>
      <w:r w:rsidRPr="00DB39DC">
        <w:rPr>
          <w:rFonts w:ascii="Times New Roman" w:hAnsi="Times New Roman"/>
          <w:sz w:val="28"/>
          <w:szCs w:val="28"/>
        </w:rPr>
        <w:t xml:space="preserve"> </w:t>
      </w:r>
      <w:r w:rsidRPr="00DB39DC">
        <w:rPr>
          <w:rFonts w:ascii="Times New Roman" w:hAnsi="Times New Roman" w:hint="eastAsia"/>
          <w:sz w:val="28"/>
          <w:szCs w:val="28"/>
        </w:rPr>
        <w:t>н</w:t>
      </w:r>
      <w:r w:rsidRPr="00DB39DC">
        <w:rPr>
          <w:rFonts w:ascii="Times New Roman" w:hAnsi="Times New Roman"/>
          <w:sz w:val="28"/>
          <w:szCs w:val="28"/>
        </w:rPr>
        <w:t xml:space="preserve"> </w:t>
      </w:r>
      <w:r w:rsidRPr="00DB39DC">
        <w:rPr>
          <w:rFonts w:ascii="Times New Roman" w:hAnsi="Times New Roman" w:hint="eastAsia"/>
          <w:sz w:val="28"/>
          <w:szCs w:val="28"/>
        </w:rPr>
        <w:t>о</w:t>
      </w:r>
      <w:r w:rsidRPr="00DB39DC">
        <w:rPr>
          <w:rFonts w:ascii="Times New Roman" w:hAnsi="Times New Roman"/>
          <w:sz w:val="28"/>
          <w:szCs w:val="28"/>
        </w:rPr>
        <w:t xml:space="preserve"> </w:t>
      </w:r>
      <w:r w:rsidRPr="00DB39DC">
        <w:rPr>
          <w:rFonts w:ascii="Times New Roman" w:hAnsi="Times New Roman" w:hint="eastAsia"/>
          <w:sz w:val="28"/>
          <w:szCs w:val="28"/>
        </w:rPr>
        <w:t>в</w:t>
      </w:r>
      <w:r w:rsidRPr="00DB39DC">
        <w:rPr>
          <w:rFonts w:ascii="Times New Roman" w:hAnsi="Times New Roman"/>
          <w:sz w:val="28"/>
          <w:szCs w:val="28"/>
        </w:rPr>
        <w:t xml:space="preserve"> </w:t>
      </w:r>
      <w:r w:rsidRPr="00DB39DC">
        <w:rPr>
          <w:rFonts w:ascii="Times New Roman" w:hAnsi="Times New Roman" w:hint="eastAsia"/>
          <w:sz w:val="28"/>
          <w:szCs w:val="28"/>
        </w:rPr>
        <w:t>л</w:t>
      </w:r>
      <w:r w:rsidRPr="00DB39DC">
        <w:rPr>
          <w:rFonts w:ascii="Times New Roman" w:hAnsi="Times New Roman"/>
          <w:sz w:val="28"/>
          <w:szCs w:val="28"/>
        </w:rPr>
        <w:t xml:space="preserve"> </w:t>
      </w:r>
      <w:r w:rsidRPr="00DB39DC">
        <w:rPr>
          <w:rFonts w:ascii="Times New Roman" w:hAnsi="Times New Roman" w:hint="eastAsia"/>
          <w:sz w:val="28"/>
          <w:szCs w:val="28"/>
        </w:rPr>
        <w:t>я</w:t>
      </w:r>
      <w:r w:rsidRPr="00DB39DC">
        <w:rPr>
          <w:rFonts w:ascii="Times New Roman" w:hAnsi="Times New Roman"/>
          <w:sz w:val="28"/>
          <w:szCs w:val="28"/>
        </w:rPr>
        <w:t xml:space="preserve"> </w:t>
      </w:r>
      <w:r w:rsidRPr="00DB39DC">
        <w:rPr>
          <w:rFonts w:ascii="Times New Roman" w:hAnsi="Times New Roman" w:hint="eastAsia"/>
          <w:sz w:val="28"/>
          <w:szCs w:val="28"/>
        </w:rPr>
        <w:t>є</w:t>
      </w:r>
      <w:r w:rsidRPr="00DB39DC">
        <w:rPr>
          <w:rFonts w:ascii="Times New Roman" w:hAnsi="Times New Roman"/>
          <w:sz w:val="28"/>
          <w:szCs w:val="28"/>
        </w:rPr>
        <w:t>:</w:t>
      </w:r>
    </w:p>
    <w:p w14:paraId="3933D24A" w14:textId="77777777" w:rsidR="00DB39DC" w:rsidRPr="00162978" w:rsidRDefault="00DB39DC" w:rsidP="00DB39DC">
      <w:pPr>
        <w:pStyle w:val="a3"/>
        <w:spacing w:before="0"/>
        <w:ind w:firstLine="709"/>
        <w:rPr>
          <w:rFonts w:ascii="Times New Roman" w:hAnsi="Times New Roman"/>
          <w:sz w:val="28"/>
          <w:szCs w:val="28"/>
        </w:rPr>
      </w:pPr>
    </w:p>
    <w:p w14:paraId="6692086E" w14:textId="6D56F9E0" w:rsidR="007A1B7C" w:rsidRPr="00162978" w:rsidRDefault="007A1B7C" w:rsidP="00DB39DC">
      <w:pPr>
        <w:pStyle w:val="a3"/>
        <w:spacing w:before="0"/>
        <w:ind w:firstLine="709"/>
        <w:rPr>
          <w:rFonts w:ascii="Times New Roman" w:hAnsi="Times New Roman"/>
          <w:sz w:val="28"/>
          <w:szCs w:val="28"/>
        </w:rPr>
      </w:pPr>
      <w:r w:rsidRPr="00162978">
        <w:rPr>
          <w:rFonts w:ascii="Times New Roman" w:hAnsi="Times New Roman"/>
          <w:sz w:val="28"/>
          <w:szCs w:val="28"/>
        </w:rPr>
        <w:t>І. Внести зміни до таких законодавчих актів України:</w:t>
      </w:r>
    </w:p>
    <w:p w14:paraId="3CBD08AD" w14:textId="77777777" w:rsidR="007A1B7C" w:rsidRPr="00162978" w:rsidRDefault="007A1B7C" w:rsidP="00DB39DC">
      <w:pPr>
        <w:pStyle w:val="a3"/>
        <w:spacing w:before="0"/>
        <w:ind w:firstLine="709"/>
        <w:rPr>
          <w:rFonts w:ascii="Times New Roman" w:hAnsi="Times New Roman"/>
          <w:sz w:val="28"/>
          <w:szCs w:val="28"/>
        </w:rPr>
      </w:pPr>
    </w:p>
    <w:p w14:paraId="170E79E2" w14:textId="77777777" w:rsidR="007A1B7C" w:rsidRPr="00162978" w:rsidRDefault="007A1B7C" w:rsidP="00DB39DC">
      <w:pPr>
        <w:pStyle w:val="a3"/>
        <w:spacing w:before="0"/>
        <w:ind w:firstLine="709"/>
        <w:rPr>
          <w:rFonts w:ascii="Times New Roman" w:hAnsi="Times New Roman"/>
          <w:sz w:val="28"/>
          <w:szCs w:val="28"/>
        </w:rPr>
      </w:pPr>
      <w:r w:rsidRPr="00162978">
        <w:rPr>
          <w:rFonts w:ascii="Times New Roman" w:hAnsi="Times New Roman"/>
          <w:sz w:val="28"/>
          <w:szCs w:val="28"/>
        </w:rPr>
        <w:t>1. У Законі України «Про ринок електричної енергії» (Відомості Верховної Ради (ВВР), 2017, № 27-28, ст.312):</w:t>
      </w:r>
    </w:p>
    <w:p w14:paraId="76D53B75" w14:textId="77777777" w:rsidR="007A1B7C" w:rsidRPr="00162978" w:rsidRDefault="007A1B7C" w:rsidP="00DB39DC">
      <w:pPr>
        <w:pStyle w:val="a3"/>
        <w:spacing w:before="0"/>
        <w:ind w:firstLine="709"/>
        <w:rPr>
          <w:rFonts w:ascii="Times New Roman" w:hAnsi="Times New Roman"/>
          <w:sz w:val="28"/>
          <w:szCs w:val="28"/>
        </w:rPr>
      </w:pPr>
    </w:p>
    <w:p w14:paraId="7BAC92BC" w14:textId="3BBB5754" w:rsidR="00040A50" w:rsidRPr="00162978" w:rsidRDefault="00267B32" w:rsidP="00DB39DC">
      <w:pPr>
        <w:pStyle w:val="a3"/>
        <w:spacing w:before="0"/>
        <w:ind w:firstLine="709"/>
        <w:rPr>
          <w:rFonts w:ascii="Times New Roman" w:hAnsi="Times New Roman"/>
          <w:sz w:val="28"/>
          <w:szCs w:val="28"/>
        </w:rPr>
      </w:pPr>
      <w:r w:rsidRPr="00162978">
        <w:rPr>
          <w:rFonts w:ascii="Times New Roman" w:hAnsi="Times New Roman"/>
          <w:sz w:val="28"/>
          <w:szCs w:val="28"/>
        </w:rPr>
        <w:t>1</w:t>
      </w:r>
      <w:r w:rsidR="007A1B7C" w:rsidRPr="00162978">
        <w:rPr>
          <w:rFonts w:ascii="Times New Roman" w:hAnsi="Times New Roman"/>
          <w:sz w:val="28"/>
          <w:szCs w:val="28"/>
        </w:rPr>
        <w:t>)</w:t>
      </w:r>
      <w:r w:rsidRPr="00162978">
        <w:rPr>
          <w:rFonts w:ascii="Times New Roman" w:hAnsi="Times New Roman"/>
          <w:sz w:val="28"/>
          <w:szCs w:val="28"/>
        </w:rPr>
        <w:t xml:space="preserve"> </w:t>
      </w:r>
      <w:r w:rsidR="007A1B7C" w:rsidRPr="00162978">
        <w:rPr>
          <w:rFonts w:ascii="Times New Roman" w:hAnsi="Times New Roman"/>
          <w:sz w:val="28"/>
          <w:szCs w:val="28"/>
        </w:rPr>
        <w:t>у</w:t>
      </w:r>
      <w:r w:rsidRPr="00162978">
        <w:rPr>
          <w:rFonts w:ascii="Times New Roman" w:hAnsi="Times New Roman"/>
          <w:sz w:val="28"/>
          <w:szCs w:val="28"/>
        </w:rPr>
        <w:t xml:space="preserve"> частині першій статті 1:</w:t>
      </w:r>
    </w:p>
    <w:p w14:paraId="71FE0E4A" w14:textId="77777777" w:rsidR="007A1B7C" w:rsidRPr="00162978" w:rsidRDefault="007A1B7C" w:rsidP="00DB39DC">
      <w:pPr>
        <w:pStyle w:val="a3"/>
        <w:spacing w:before="0"/>
        <w:ind w:firstLine="709"/>
        <w:rPr>
          <w:rFonts w:ascii="Times New Roman" w:hAnsi="Times New Roman"/>
          <w:sz w:val="28"/>
          <w:szCs w:val="28"/>
        </w:rPr>
      </w:pPr>
    </w:p>
    <w:p w14:paraId="090F367C" w14:textId="573990AD" w:rsidR="007A1B7C" w:rsidRPr="00162978" w:rsidRDefault="007A1B7C" w:rsidP="00DB39DC">
      <w:pPr>
        <w:pStyle w:val="a3"/>
        <w:spacing w:before="0"/>
        <w:ind w:firstLine="709"/>
        <w:rPr>
          <w:rFonts w:ascii="Times New Roman" w:eastAsia="Calibri" w:hAnsi="Times New Roman"/>
          <w:sz w:val="28"/>
          <w:szCs w:val="28"/>
          <w:lang w:eastAsia="en-US"/>
        </w:rPr>
      </w:pPr>
      <w:r w:rsidRPr="00162978">
        <w:rPr>
          <w:rFonts w:ascii="Times New Roman" w:hAnsi="Times New Roman"/>
          <w:sz w:val="28"/>
          <w:szCs w:val="28"/>
        </w:rPr>
        <w:t>пункт 32 доповнити словами «</w:t>
      </w:r>
      <w:r w:rsidRPr="00162978">
        <w:rPr>
          <w:rFonts w:ascii="Times New Roman" w:eastAsia="Calibri" w:hAnsi="Times New Roman"/>
          <w:sz w:val="28"/>
          <w:szCs w:val="28"/>
          <w:lang w:eastAsia="en-US"/>
        </w:rPr>
        <w:t>чи накопичення енергії»</w:t>
      </w:r>
    </w:p>
    <w:p w14:paraId="56702393" w14:textId="2711995E" w:rsidR="007A1B7C" w:rsidRPr="00162978" w:rsidRDefault="007A1B7C" w:rsidP="00DB39DC">
      <w:pPr>
        <w:pStyle w:val="a3"/>
        <w:spacing w:before="0"/>
        <w:ind w:firstLine="709"/>
        <w:rPr>
          <w:rFonts w:ascii="Times New Roman" w:eastAsia="Calibri" w:hAnsi="Times New Roman"/>
          <w:sz w:val="28"/>
          <w:szCs w:val="28"/>
          <w:lang w:eastAsia="en-US"/>
        </w:rPr>
      </w:pPr>
    </w:p>
    <w:p w14:paraId="79957181" w14:textId="77777777" w:rsidR="007A1B7C" w:rsidRPr="00162978" w:rsidRDefault="007A1B7C"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пункт 63 викласти в такій редакції:</w:t>
      </w:r>
    </w:p>
    <w:p w14:paraId="69357241" w14:textId="05999465" w:rsidR="007A1B7C" w:rsidRPr="00162978" w:rsidRDefault="007A1B7C"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 xml:space="preserve">«63) послуга із забезпечення достатності потужності - заходи з будівництва нової генеруючої потужності або </w:t>
      </w:r>
      <w:r w:rsidR="00472628" w:rsidRPr="00472628">
        <w:rPr>
          <w:rFonts w:ascii="Times New Roman" w:eastAsia="Calibri" w:hAnsi="Times New Roman"/>
          <w:sz w:val="28"/>
          <w:szCs w:val="28"/>
          <w:lang w:eastAsia="en-US"/>
        </w:rPr>
        <w:t>нового накопичувача енергії</w:t>
      </w:r>
      <w:r w:rsidRPr="00162978">
        <w:rPr>
          <w:rFonts w:ascii="Times New Roman" w:eastAsia="Calibri" w:hAnsi="Times New Roman"/>
          <w:sz w:val="28"/>
          <w:szCs w:val="28"/>
          <w:lang w:eastAsia="en-US"/>
        </w:rPr>
        <w:t>,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 а також заходи із управління попиту</w:t>
      </w:r>
      <w:r w:rsidR="00B32ACB" w:rsidRPr="00162978">
        <w:rPr>
          <w:rFonts w:ascii="Times New Roman" w:eastAsia="Calibri" w:hAnsi="Times New Roman"/>
          <w:sz w:val="28"/>
          <w:szCs w:val="28"/>
          <w:lang w:eastAsia="en-US"/>
        </w:rPr>
        <w:t>»</w:t>
      </w:r>
      <w:r w:rsidRPr="00162978">
        <w:rPr>
          <w:rFonts w:ascii="Times New Roman" w:eastAsia="Calibri" w:hAnsi="Times New Roman"/>
          <w:sz w:val="28"/>
          <w:szCs w:val="28"/>
          <w:lang w:eastAsia="en-US"/>
        </w:rPr>
        <w:t>;</w:t>
      </w:r>
    </w:p>
    <w:p w14:paraId="1BAA5B4A" w14:textId="717CD682" w:rsidR="00B32ACB" w:rsidRPr="00162978" w:rsidRDefault="00B32ACB" w:rsidP="007A1B7C">
      <w:pPr>
        <w:pStyle w:val="a3"/>
        <w:spacing w:before="0"/>
        <w:ind w:firstLine="709"/>
        <w:rPr>
          <w:rFonts w:ascii="Times New Roman" w:eastAsia="Calibri" w:hAnsi="Times New Roman"/>
          <w:sz w:val="28"/>
          <w:szCs w:val="28"/>
          <w:lang w:eastAsia="en-US"/>
        </w:rPr>
      </w:pPr>
    </w:p>
    <w:p w14:paraId="621F7DDB" w14:textId="7F282DDF" w:rsidR="00EF3467" w:rsidRPr="00162978" w:rsidRDefault="00EF3467"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пункт 95-1 викласти в такій редакції:</w:t>
      </w:r>
    </w:p>
    <w:p w14:paraId="4374C257" w14:textId="645DF9A3" w:rsidR="00EF3467" w:rsidRPr="00162978" w:rsidRDefault="00EF3467"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«95-1)</w:t>
      </w:r>
      <w:r w:rsidR="00DB39DC">
        <w:rPr>
          <w:rFonts w:ascii="Times New Roman" w:eastAsia="Calibri" w:hAnsi="Times New Roman"/>
          <w:sz w:val="28"/>
          <w:szCs w:val="28"/>
          <w:lang w:eastAsia="en-US"/>
        </w:rPr>
        <w:t xml:space="preserve"> </w:t>
      </w:r>
      <w:r w:rsidRPr="00162978">
        <w:rPr>
          <w:rFonts w:ascii="Times New Roman" w:eastAsia="Calibri" w:hAnsi="Times New Roman"/>
          <w:sz w:val="28"/>
          <w:szCs w:val="28"/>
          <w:lang w:eastAsia="en-US"/>
        </w:rPr>
        <w:t>накопичувач енергії – електроустановка,</w:t>
      </w:r>
      <w:r w:rsidR="00DB39DC">
        <w:rPr>
          <w:rFonts w:ascii="Times New Roman" w:eastAsia="Calibri" w:hAnsi="Times New Roman"/>
          <w:sz w:val="28"/>
          <w:szCs w:val="28"/>
          <w:lang w:eastAsia="en-US"/>
        </w:rPr>
        <w:t xml:space="preserve"> </w:t>
      </w:r>
      <w:r w:rsidRPr="00162978">
        <w:rPr>
          <w:rFonts w:ascii="Times New Roman" w:eastAsia="Calibri" w:hAnsi="Times New Roman"/>
          <w:sz w:val="28"/>
          <w:szCs w:val="28"/>
          <w:lang w:eastAsia="en-US"/>
        </w:rPr>
        <w:t>призначена для</w:t>
      </w:r>
      <w:r w:rsidR="00DB39DC">
        <w:rPr>
          <w:rFonts w:ascii="Times New Roman" w:eastAsia="Calibri" w:hAnsi="Times New Roman"/>
          <w:sz w:val="28"/>
          <w:szCs w:val="28"/>
          <w:lang w:eastAsia="en-US"/>
        </w:rPr>
        <w:t xml:space="preserve"> </w:t>
      </w:r>
      <w:r w:rsidRPr="00162978">
        <w:rPr>
          <w:rFonts w:ascii="Times New Roman" w:eastAsia="Calibri" w:hAnsi="Times New Roman"/>
          <w:sz w:val="28"/>
          <w:szCs w:val="28"/>
          <w:lang w:eastAsia="en-US"/>
        </w:rPr>
        <w:t>накопичення енергії»;</w:t>
      </w:r>
    </w:p>
    <w:p w14:paraId="5202BD1A" w14:textId="77777777" w:rsidR="00EF3467" w:rsidRPr="00162978" w:rsidRDefault="00EF3467" w:rsidP="007A1B7C">
      <w:pPr>
        <w:pStyle w:val="a3"/>
        <w:spacing w:before="0"/>
        <w:ind w:firstLine="709"/>
        <w:rPr>
          <w:rFonts w:ascii="Times New Roman" w:eastAsia="Calibri" w:hAnsi="Times New Roman"/>
          <w:sz w:val="28"/>
          <w:szCs w:val="28"/>
          <w:lang w:eastAsia="en-US"/>
        </w:rPr>
      </w:pPr>
    </w:p>
    <w:p w14:paraId="5D3E3502" w14:textId="2B4FE976" w:rsidR="00B32ACB" w:rsidRPr="00162978" w:rsidRDefault="00B32ACB"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 xml:space="preserve">пункт 96 після слів «гарантований покупець» доповнити словами </w:t>
      </w:r>
      <w:r w:rsidR="00DB39DC">
        <w:rPr>
          <w:rFonts w:ascii="Times New Roman" w:eastAsia="Calibri" w:hAnsi="Times New Roman"/>
          <w:sz w:val="28"/>
          <w:szCs w:val="28"/>
          <w:lang w:eastAsia="en-US"/>
        </w:rPr>
        <w:br/>
      </w:r>
      <w:r w:rsidRPr="00162978">
        <w:rPr>
          <w:rFonts w:ascii="Times New Roman" w:eastAsia="Calibri" w:hAnsi="Times New Roman"/>
          <w:sz w:val="28"/>
          <w:szCs w:val="28"/>
          <w:lang w:eastAsia="en-US"/>
        </w:rPr>
        <w:t>«</w:t>
      </w:r>
      <w:r w:rsidR="00DB39DC">
        <w:rPr>
          <w:rFonts w:ascii="Times New Roman" w:eastAsia="Calibri" w:hAnsi="Times New Roman"/>
          <w:sz w:val="28"/>
          <w:szCs w:val="28"/>
          <w:lang w:val="en-US" w:eastAsia="en-US"/>
        </w:rPr>
        <w:t xml:space="preserve">, </w:t>
      </w:r>
      <w:r w:rsidRPr="00162978">
        <w:rPr>
          <w:rFonts w:ascii="Times New Roman" w:eastAsia="Calibri" w:hAnsi="Times New Roman"/>
          <w:sz w:val="28"/>
          <w:szCs w:val="28"/>
          <w:lang w:eastAsia="en-US"/>
        </w:rPr>
        <w:t>оператор накопичувача енергії»;</w:t>
      </w:r>
    </w:p>
    <w:p w14:paraId="1C5FB914" w14:textId="1F4BEAF7" w:rsidR="00B32ACB" w:rsidRPr="00162978" w:rsidRDefault="00B32ACB" w:rsidP="007A1B7C">
      <w:pPr>
        <w:pStyle w:val="a3"/>
        <w:spacing w:before="0"/>
        <w:ind w:firstLine="709"/>
        <w:rPr>
          <w:rFonts w:ascii="Times New Roman" w:eastAsia="Calibri" w:hAnsi="Times New Roman"/>
          <w:sz w:val="28"/>
          <w:szCs w:val="28"/>
          <w:lang w:eastAsia="en-US"/>
        </w:rPr>
      </w:pPr>
    </w:p>
    <w:p w14:paraId="3E81D022" w14:textId="0E252BCB" w:rsidR="00B32ACB" w:rsidRPr="00162978" w:rsidRDefault="00B32ACB"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 xml:space="preserve">доповнити </w:t>
      </w:r>
      <w:r w:rsidR="00EF3467" w:rsidRPr="00162978">
        <w:rPr>
          <w:rFonts w:ascii="Times New Roman" w:eastAsia="Calibri" w:hAnsi="Times New Roman"/>
          <w:sz w:val="28"/>
          <w:szCs w:val="28"/>
          <w:lang w:eastAsia="en-US"/>
        </w:rPr>
        <w:t xml:space="preserve">трьома </w:t>
      </w:r>
      <w:r w:rsidRPr="00162978">
        <w:rPr>
          <w:rFonts w:ascii="Times New Roman" w:eastAsia="Calibri" w:hAnsi="Times New Roman"/>
          <w:sz w:val="28"/>
          <w:szCs w:val="28"/>
          <w:lang w:eastAsia="en-US"/>
        </w:rPr>
        <w:t xml:space="preserve">новими пунктами </w:t>
      </w:r>
      <w:r w:rsidR="00E40194">
        <w:rPr>
          <w:rFonts w:ascii="Times New Roman" w:eastAsia="Calibri" w:hAnsi="Times New Roman"/>
          <w:sz w:val="28"/>
          <w:szCs w:val="28"/>
          <w:lang w:eastAsia="en-US"/>
        </w:rPr>
        <w:t>такого змісту</w:t>
      </w:r>
      <w:r w:rsidRPr="00162978">
        <w:rPr>
          <w:rFonts w:ascii="Times New Roman" w:eastAsia="Calibri" w:hAnsi="Times New Roman"/>
          <w:sz w:val="28"/>
          <w:szCs w:val="28"/>
          <w:lang w:eastAsia="en-US"/>
        </w:rPr>
        <w:t>:</w:t>
      </w:r>
    </w:p>
    <w:p w14:paraId="696CEAF9" w14:textId="5DAFF76F" w:rsidR="00B32ACB" w:rsidRPr="00162978" w:rsidRDefault="00B32ACB" w:rsidP="007A1B7C">
      <w:pPr>
        <w:pStyle w:val="a3"/>
        <w:spacing w:before="0"/>
        <w:ind w:firstLine="709"/>
        <w:rPr>
          <w:rFonts w:ascii="Times New Roman" w:eastAsia="Calibri" w:hAnsi="Times New Roman"/>
          <w:sz w:val="28"/>
          <w:szCs w:val="28"/>
          <w:lang w:eastAsia="en-US"/>
        </w:rPr>
      </w:pPr>
      <w:r w:rsidRPr="00162978">
        <w:rPr>
          <w:rFonts w:ascii="Times New Roman" w:eastAsia="Calibri" w:hAnsi="Times New Roman"/>
          <w:sz w:val="28"/>
          <w:szCs w:val="28"/>
          <w:lang w:eastAsia="en-US"/>
        </w:rPr>
        <w:t>«98) накопичення енергії – діяльність з відбору електричної енергії з ОЕС України або з власних електростанцій, зберігання її, в тому числі перетворення її з використанням фізичних, хімічних та інших процесів в іншу форму енергії, в якій вона може зберігатись, та подальше перетворення в електричну енергію, з метою відпуску електричної енергії в ОЕС України;</w:t>
      </w:r>
    </w:p>
    <w:p w14:paraId="52B36A35" w14:textId="73490653"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lastRenderedPageBreak/>
        <w:t>99)</w:t>
      </w:r>
      <w:r w:rsidR="00DB39DC">
        <w:rPr>
          <w:rFonts w:ascii="Times New Roman" w:hAnsi="Times New Roman"/>
          <w:sz w:val="28"/>
          <w:szCs w:val="28"/>
        </w:rPr>
        <w:t xml:space="preserve"> </w:t>
      </w:r>
      <w:r w:rsidRPr="00162978">
        <w:rPr>
          <w:rFonts w:ascii="Times New Roman" w:hAnsi="Times New Roman"/>
          <w:sz w:val="28"/>
          <w:szCs w:val="28"/>
        </w:rPr>
        <w:t>оператор накопичувача енергії – фізична особа, у тому числі фізична особа</w:t>
      </w:r>
      <w:r w:rsidR="00551E84">
        <w:rPr>
          <w:rFonts w:ascii="Times New Roman" w:hAnsi="Times New Roman"/>
          <w:sz w:val="28"/>
          <w:szCs w:val="28"/>
          <w:lang w:val="en-US"/>
        </w:rPr>
        <w:t xml:space="preserve"> </w:t>
      </w:r>
      <w:r w:rsidRPr="00162978">
        <w:rPr>
          <w:rFonts w:ascii="Times New Roman" w:hAnsi="Times New Roman"/>
          <w:sz w:val="28"/>
          <w:szCs w:val="28"/>
        </w:rPr>
        <w:t>-</w:t>
      </w:r>
      <w:r w:rsidR="00551E84">
        <w:rPr>
          <w:rFonts w:ascii="Times New Roman" w:hAnsi="Times New Roman"/>
          <w:sz w:val="28"/>
          <w:szCs w:val="28"/>
          <w:lang w:val="en-US"/>
        </w:rPr>
        <w:t xml:space="preserve"> </w:t>
      </w:r>
      <w:r w:rsidRPr="00162978">
        <w:rPr>
          <w:rFonts w:ascii="Times New Roman" w:hAnsi="Times New Roman"/>
          <w:sz w:val="28"/>
          <w:szCs w:val="28"/>
        </w:rPr>
        <w:t>підприємець, або юридична особа, яка здійснює діяльність з накопичення енергії;</w:t>
      </w:r>
    </w:p>
    <w:p w14:paraId="69189017" w14:textId="252E8579"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t>10</w:t>
      </w:r>
      <w:r w:rsidR="00EF3467" w:rsidRPr="00162978">
        <w:rPr>
          <w:rFonts w:ascii="Times New Roman" w:hAnsi="Times New Roman"/>
          <w:sz w:val="28"/>
          <w:szCs w:val="28"/>
        </w:rPr>
        <w:t>0</w:t>
      </w:r>
      <w:r w:rsidRPr="00162978">
        <w:rPr>
          <w:rFonts w:ascii="Times New Roman" w:hAnsi="Times New Roman"/>
          <w:sz w:val="28"/>
          <w:szCs w:val="28"/>
        </w:rPr>
        <w:t>)</w:t>
      </w:r>
      <w:r w:rsidR="00DB39DC">
        <w:rPr>
          <w:rFonts w:ascii="Times New Roman" w:hAnsi="Times New Roman"/>
          <w:sz w:val="28"/>
          <w:szCs w:val="28"/>
        </w:rPr>
        <w:t xml:space="preserve"> </w:t>
      </w:r>
      <w:r w:rsidRPr="00162978">
        <w:rPr>
          <w:rFonts w:ascii="Times New Roman" w:hAnsi="Times New Roman"/>
          <w:sz w:val="28"/>
          <w:szCs w:val="28"/>
        </w:rPr>
        <w:t xml:space="preserve"> повністю інтегровані елементи мережі – елементи системи передачі або системи розподілу, включаючи накопичувач</w:t>
      </w:r>
      <w:r w:rsidR="00CA45CD">
        <w:rPr>
          <w:rFonts w:ascii="Times New Roman" w:hAnsi="Times New Roman"/>
          <w:sz w:val="28"/>
          <w:szCs w:val="28"/>
        </w:rPr>
        <w:t>і</w:t>
      </w:r>
      <w:r w:rsidRPr="00162978">
        <w:rPr>
          <w:rFonts w:ascii="Times New Roman" w:hAnsi="Times New Roman"/>
          <w:sz w:val="28"/>
          <w:szCs w:val="28"/>
        </w:rPr>
        <w:t xml:space="preserve"> енергії, які не використовуються в нормальних режимах роботи енергосистеми для регулювання частоти та активної потужності або для врегулювання системних обмежень, а призначені виключно для забезпечення безпечного та надійного функціонування системи передачі чи системи розподілу»</w:t>
      </w:r>
    </w:p>
    <w:p w14:paraId="12C4C446" w14:textId="21AA5CAA" w:rsidR="00B32ACB" w:rsidRPr="00162978" w:rsidRDefault="00B32ACB" w:rsidP="007A1B7C">
      <w:pPr>
        <w:pStyle w:val="a3"/>
        <w:spacing w:before="0"/>
        <w:ind w:firstLine="709"/>
        <w:rPr>
          <w:rFonts w:ascii="Times New Roman" w:hAnsi="Times New Roman"/>
          <w:sz w:val="28"/>
          <w:szCs w:val="28"/>
        </w:rPr>
      </w:pPr>
    </w:p>
    <w:p w14:paraId="1FB1B82E" w14:textId="1FC7DF65"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t xml:space="preserve">2) Частину третю статті 5 після пункту 10-1 доповнити пунктом 10-2 </w:t>
      </w:r>
      <w:r w:rsidR="00E40194">
        <w:rPr>
          <w:rFonts w:ascii="Times New Roman" w:hAnsi="Times New Roman"/>
          <w:sz w:val="28"/>
          <w:szCs w:val="28"/>
        </w:rPr>
        <w:t>такого змісту</w:t>
      </w:r>
      <w:r w:rsidRPr="00162978">
        <w:rPr>
          <w:rFonts w:ascii="Times New Roman" w:hAnsi="Times New Roman"/>
          <w:sz w:val="28"/>
          <w:szCs w:val="28"/>
        </w:rPr>
        <w:t>:</w:t>
      </w:r>
    </w:p>
    <w:p w14:paraId="3E811305" w14:textId="33BC1EA6"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t>«10-2) встановлення граничної ціни закупівлі послуги із забезпечення достатності потужності»;</w:t>
      </w:r>
    </w:p>
    <w:p w14:paraId="5B17901C" w14:textId="3200727E" w:rsidR="00B32ACB" w:rsidRPr="00162978" w:rsidRDefault="00B32ACB" w:rsidP="007A1B7C">
      <w:pPr>
        <w:pStyle w:val="a3"/>
        <w:spacing w:before="0"/>
        <w:ind w:firstLine="709"/>
        <w:rPr>
          <w:rFonts w:ascii="Times New Roman" w:hAnsi="Times New Roman"/>
          <w:sz w:val="28"/>
          <w:szCs w:val="28"/>
        </w:rPr>
      </w:pPr>
    </w:p>
    <w:p w14:paraId="563509F7" w14:textId="540A8211"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t xml:space="preserve">3) </w:t>
      </w:r>
      <w:r w:rsidR="00DB39DC">
        <w:rPr>
          <w:rFonts w:ascii="Times New Roman" w:hAnsi="Times New Roman"/>
          <w:sz w:val="28"/>
          <w:szCs w:val="28"/>
        </w:rPr>
        <w:t xml:space="preserve">у </w:t>
      </w:r>
      <w:r w:rsidRPr="00162978">
        <w:rPr>
          <w:rFonts w:ascii="Times New Roman" w:hAnsi="Times New Roman"/>
          <w:sz w:val="28"/>
          <w:szCs w:val="28"/>
        </w:rPr>
        <w:t>статт</w:t>
      </w:r>
      <w:r w:rsidR="00DB39DC">
        <w:rPr>
          <w:rFonts w:ascii="Times New Roman" w:hAnsi="Times New Roman"/>
          <w:sz w:val="28"/>
          <w:szCs w:val="28"/>
        </w:rPr>
        <w:t>і</w:t>
      </w:r>
      <w:r w:rsidRPr="00162978">
        <w:rPr>
          <w:rFonts w:ascii="Times New Roman" w:hAnsi="Times New Roman"/>
          <w:sz w:val="28"/>
          <w:szCs w:val="28"/>
        </w:rPr>
        <w:t xml:space="preserve"> 8 у всіх випадках після слів «постачання електричної енергії споживачу</w:t>
      </w:r>
      <w:r w:rsidR="00DB39DC">
        <w:rPr>
          <w:rFonts w:ascii="Times New Roman" w:hAnsi="Times New Roman"/>
          <w:sz w:val="28"/>
          <w:szCs w:val="28"/>
        </w:rPr>
        <w:t xml:space="preserve">, </w:t>
      </w:r>
      <w:r w:rsidRPr="00162978">
        <w:rPr>
          <w:rFonts w:ascii="Times New Roman" w:hAnsi="Times New Roman"/>
          <w:sz w:val="28"/>
          <w:szCs w:val="28"/>
        </w:rPr>
        <w:t>» доповнити словами «накопичення енергії</w:t>
      </w:r>
      <w:r w:rsidR="00DB39DC">
        <w:rPr>
          <w:rFonts w:ascii="Times New Roman" w:hAnsi="Times New Roman"/>
          <w:sz w:val="28"/>
          <w:szCs w:val="28"/>
        </w:rPr>
        <w:t xml:space="preserve">, </w:t>
      </w:r>
      <w:r w:rsidRPr="00162978">
        <w:rPr>
          <w:rFonts w:ascii="Times New Roman" w:hAnsi="Times New Roman"/>
          <w:sz w:val="28"/>
          <w:szCs w:val="28"/>
        </w:rPr>
        <w:t>»;</w:t>
      </w:r>
    </w:p>
    <w:p w14:paraId="29F92F84" w14:textId="57A0A1FC" w:rsidR="00B32ACB" w:rsidRPr="00162978" w:rsidRDefault="00B32ACB" w:rsidP="007A1B7C">
      <w:pPr>
        <w:pStyle w:val="a3"/>
        <w:spacing w:before="0"/>
        <w:ind w:firstLine="709"/>
        <w:rPr>
          <w:rFonts w:ascii="Times New Roman" w:hAnsi="Times New Roman"/>
          <w:sz w:val="28"/>
          <w:szCs w:val="28"/>
        </w:rPr>
      </w:pPr>
    </w:p>
    <w:p w14:paraId="487321E1" w14:textId="41678DE1" w:rsidR="00B32ACB" w:rsidRPr="00162978" w:rsidRDefault="00B32ACB" w:rsidP="007A1B7C">
      <w:pPr>
        <w:pStyle w:val="a3"/>
        <w:spacing w:before="0"/>
        <w:ind w:firstLine="709"/>
        <w:rPr>
          <w:rFonts w:ascii="Times New Roman" w:hAnsi="Times New Roman"/>
          <w:sz w:val="28"/>
          <w:szCs w:val="28"/>
        </w:rPr>
      </w:pPr>
      <w:r w:rsidRPr="00162978">
        <w:rPr>
          <w:rFonts w:ascii="Times New Roman" w:hAnsi="Times New Roman"/>
          <w:sz w:val="28"/>
          <w:szCs w:val="28"/>
        </w:rPr>
        <w:t>4) статтю 29 викласти в такій редакції:</w:t>
      </w:r>
    </w:p>
    <w:p w14:paraId="363B1E67"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«Стаття 29. Конкурсні процедури на забезпечення достатності потужності</w:t>
      </w:r>
    </w:p>
    <w:p w14:paraId="68A40DFE"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1. Якщо для покриття прогнозованого попиту на електричну енергію наявних генеруючих потужностей, а також накопичувачів енергії у тому числі тих, що отримали право на будівництво, та виконання заходів з управління попитом, недостатньо, для забезпечення безпеки постачання електричної енергії застосовуються конкурсні процедури на забезпечення достатності потужності які, зокрема, включають заходи з будівництва нової генеруючої потужності та накопичувачів енергії, проведення реконструкції (модернізації) діючої генеруючої потужності, подовження строку експлуатації енергоблоків атомних електростанцій та заходи із управління попитом.</w:t>
      </w:r>
    </w:p>
    <w:p w14:paraId="78B9B491"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Величина необхідної генеруючої потужності та накопичувачів енергії визначається за результатами здійснення моніторингу безпеки постачання на основі затвердженого Регулятором звіту з оцінки відповідності (достатності) генеруючих потужностей для покриття прогнозованого попиту та забезпечення необхідного резерву.</w:t>
      </w:r>
    </w:p>
    <w:p w14:paraId="07512314"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Оцінка адекватності, проведена оператором системи передачі, повинна відповідати методологіям ENTSO-E. Якщо відповідно до оцінки адекватності виникають ризики неможливості покриття прогнозованого попиту на електричну енергію, Регулятор протягом трьох місяців розробляє план усунення таких ризиків із визначенням термінів реалізації заходів для усунення будь-яких виявлених регуляторних або ринкових помилок. План впровадження подається Секретаріату Енергетичного Співтовариства. Результати реалізації такого плану публікуються у річному звіті Регулятора.</w:t>
      </w:r>
    </w:p>
    <w:p w14:paraId="4EBB683E"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lastRenderedPageBreak/>
        <w:t>2. Рішення про проведення конкурсу на забезпечення достатності потужності,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14:paraId="069AF249" w14:textId="495E651A"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При розробленні умов проведення конкурсу на забезпечення достатності потужності центральний орган виконавчої влади, що забезпечує формування та реалізацію державної політики в електроенергетичному комплексі звертається до Регулятора із запитом щодо граничної ціни,</w:t>
      </w:r>
      <w:r w:rsidR="00DB39DC">
        <w:rPr>
          <w:rFonts w:ascii="Times New Roman" w:hAnsi="Times New Roman"/>
          <w:sz w:val="28"/>
          <w:szCs w:val="28"/>
        </w:rPr>
        <w:t xml:space="preserve"> </w:t>
      </w:r>
      <w:r w:rsidRPr="00162978">
        <w:rPr>
          <w:rFonts w:ascii="Times New Roman" w:hAnsi="Times New Roman"/>
          <w:sz w:val="28"/>
          <w:szCs w:val="28"/>
        </w:rPr>
        <w:t>граничного розміру плати за послугу із забезпечення достатності потужності і</w:t>
      </w:r>
      <w:r w:rsidR="00DB39DC">
        <w:rPr>
          <w:rFonts w:ascii="Times New Roman" w:hAnsi="Times New Roman"/>
          <w:sz w:val="28"/>
          <w:szCs w:val="28"/>
        </w:rPr>
        <w:t xml:space="preserve"> </w:t>
      </w:r>
      <w:r w:rsidRPr="00162978">
        <w:rPr>
          <w:rFonts w:ascii="Times New Roman" w:hAnsi="Times New Roman"/>
          <w:sz w:val="28"/>
          <w:szCs w:val="28"/>
        </w:rPr>
        <w:t xml:space="preserve">мінімального терміну надання такої послуги. Регулятор схвалює відповідне рішення та направляє відповідь впродовж п’ятнадцяти робочих днів з дня отримання такого запиту. </w:t>
      </w:r>
    </w:p>
    <w:p w14:paraId="014D933F" w14:textId="6843ABC8"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 xml:space="preserve">Регулятор затверджує методику визначення граничної ціни з урахуванням, зокрема витрат за будівельним(и) контрактом(ами), фінансових (крім капіталізованих) витрат та прямих постійних загальновиробничих витрат в період експлуатації відповідної нової генеруючої потужності та/або </w:t>
      </w:r>
      <w:r w:rsidR="00472628" w:rsidRPr="00472628">
        <w:rPr>
          <w:rFonts w:ascii="Times New Roman" w:hAnsi="Times New Roman"/>
          <w:sz w:val="28"/>
          <w:szCs w:val="28"/>
        </w:rPr>
        <w:t xml:space="preserve">накопичувача енергії </w:t>
      </w:r>
      <w:r w:rsidRPr="00162978">
        <w:rPr>
          <w:rFonts w:ascii="Times New Roman" w:hAnsi="Times New Roman"/>
          <w:sz w:val="28"/>
          <w:szCs w:val="28"/>
        </w:rPr>
        <w:t>впродовж строку договору із переможцем конкурсу.</w:t>
      </w:r>
    </w:p>
    <w:p w14:paraId="18167842" w14:textId="3687D89F"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Регулятор за результатами проведення конкурсу на</w:t>
      </w:r>
      <w:r w:rsidR="00DB39DC">
        <w:rPr>
          <w:rFonts w:ascii="Times New Roman" w:hAnsi="Times New Roman"/>
          <w:sz w:val="28"/>
          <w:szCs w:val="28"/>
        </w:rPr>
        <w:t xml:space="preserve"> </w:t>
      </w:r>
      <w:r w:rsidRPr="00162978">
        <w:rPr>
          <w:rFonts w:ascii="Times New Roman" w:hAnsi="Times New Roman"/>
          <w:sz w:val="28"/>
          <w:szCs w:val="28"/>
        </w:rPr>
        <w:t xml:space="preserve"> забезпечення достатності потужності передбачає у складі тарифу на передачу електричної енергії витрати на забезпечення спеціальних обов'язків із</w:t>
      </w:r>
      <w:r w:rsidR="00DB39DC">
        <w:rPr>
          <w:rFonts w:ascii="Times New Roman" w:hAnsi="Times New Roman"/>
          <w:sz w:val="28"/>
          <w:szCs w:val="28"/>
        </w:rPr>
        <w:t xml:space="preserve"> </w:t>
      </w:r>
      <w:r w:rsidRPr="00162978">
        <w:rPr>
          <w:rFonts w:ascii="Times New Roman" w:hAnsi="Times New Roman"/>
          <w:sz w:val="28"/>
          <w:szCs w:val="28"/>
        </w:rPr>
        <w:t>забезпечення достатності потужності</w:t>
      </w:r>
    </w:p>
    <w:p w14:paraId="31104170"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3. Умови проведення конкурсів на забезпечення достатності потужності мають враховувати вимоги щодо охорони навколишнього природного середовища та потребу в заохоченні інновацій.</w:t>
      </w:r>
    </w:p>
    <w:p w14:paraId="5DDAF4DC"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4. Інформація та умови проведення конкурсів на забезпечення достатності потужності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14:paraId="2B302805"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14:paraId="717C2506"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 xml:space="preserve">Учасник ринку, якому протягом останніх п’яти років до початку конкурсної процедури надавалася або надається підтримка та / або відшкодування витрат, пов’язаних з будівництвом, реконструкцією, модернізацією електроустановок енергетичного об’єкту шляхом застосування механізму спеціальних обов’язків для забезпечення загальносуспільних інтересів у процесі функціонування ринку електричної енергії відповідно до положень цього Закону не повинен підтримуватися та / або отримувати </w:t>
      </w:r>
      <w:r w:rsidRPr="00162978">
        <w:rPr>
          <w:rFonts w:ascii="Times New Roman" w:hAnsi="Times New Roman"/>
          <w:sz w:val="28"/>
          <w:szCs w:val="28"/>
        </w:rPr>
        <w:lastRenderedPageBreak/>
        <w:t>відшкодовування за витрати, пов'язані з будівництвом, реконструкцією, модернізацією електроустановок, для яких здійснюється підтримка та / або відшкодування витрат за таким механізмом зараз або протягом останніх п’яти років.</w:t>
      </w:r>
    </w:p>
    <w:p w14:paraId="42A555E2"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6. Як стимули можуть застосовуватися, зокрема:</w:t>
      </w:r>
    </w:p>
    <w:p w14:paraId="5BDC9EEF"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1) встановлення плати за послугу із забезпечення достатності потужності;</w:t>
      </w:r>
    </w:p>
    <w:p w14:paraId="39CA1CE1"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2) сприяння відведенню земельної ділянки/виділенню майданчика для будівництва нової генеруючої потужності;</w:t>
      </w:r>
    </w:p>
    <w:p w14:paraId="19C2A65A"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3) застосування механізмів державно-приватного партнерства;</w:t>
      </w:r>
    </w:p>
    <w:p w14:paraId="5B749087"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4) надання державної допомоги суб’єктам господарювання за рахунок ресурсів держави чи місцевих ресурсів.</w:t>
      </w:r>
    </w:p>
    <w:p w14:paraId="21D96FF9"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У разі застосування як стимулу плати за послугу із забезпечення достатності потужності придбання такої послуги здійснюється оператором системи передачі.</w:t>
      </w:r>
    </w:p>
    <w:p w14:paraId="2DA970A2"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Придбання послуги із забезпечення достатності потужності здійснюються на підставі договору, укладеного відповідно до умов, визначених за результатами конкурсу</w:t>
      </w:r>
    </w:p>
    <w:p w14:paraId="5852D423" w14:textId="5A797FAC"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Плата за послугу із</w:t>
      </w:r>
      <w:r w:rsidR="00DB39DC">
        <w:rPr>
          <w:rFonts w:ascii="Times New Roman" w:hAnsi="Times New Roman"/>
          <w:sz w:val="28"/>
          <w:szCs w:val="28"/>
        </w:rPr>
        <w:t xml:space="preserve"> </w:t>
      </w:r>
      <w:r w:rsidRPr="00162978">
        <w:rPr>
          <w:rFonts w:ascii="Times New Roman" w:hAnsi="Times New Roman"/>
          <w:sz w:val="28"/>
          <w:szCs w:val="28"/>
        </w:rPr>
        <w:t xml:space="preserve">забезпечення достатності потужності сплачується оператором системи передачі поетапно після введення в експлуатацію нових генеруючих потужностей та/або </w:t>
      </w:r>
      <w:r w:rsidR="00162221" w:rsidRPr="00162221">
        <w:rPr>
          <w:rFonts w:ascii="Times New Roman" w:hAnsi="Times New Roman"/>
          <w:sz w:val="28"/>
          <w:szCs w:val="28"/>
        </w:rPr>
        <w:t xml:space="preserve">накопичувачів енергії </w:t>
      </w:r>
      <w:r w:rsidRPr="00162978">
        <w:rPr>
          <w:rFonts w:ascii="Times New Roman" w:hAnsi="Times New Roman"/>
          <w:sz w:val="28"/>
          <w:szCs w:val="28"/>
        </w:rPr>
        <w:t>протягом періоду, визначеного умовами конкурсу.</w:t>
      </w:r>
    </w:p>
    <w:p w14:paraId="4CA31BD1"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7. Порядок проведення конкурсів на забезпечення достатності потужності затверджується Кабінетом Міністрів України та має, зокрема, містити:</w:t>
      </w:r>
    </w:p>
    <w:p w14:paraId="286F0076"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1) порядок ініціювання конкурсу;</w:t>
      </w:r>
    </w:p>
    <w:p w14:paraId="4571790C"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2) процедури проведення конкурсу;</w:t>
      </w:r>
    </w:p>
    <w:p w14:paraId="2D3D9475"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3) перелік критеріїв, за якими проводяться відбір учасників конкурсу та визначення переможця;</w:t>
      </w:r>
    </w:p>
    <w:p w14:paraId="2E7510D7"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4) вимоги до мінімальної та максимальної величини пропозиції додаткової потужності;</w:t>
      </w:r>
    </w:p>
    <w:p w14:paraId="5C13D4C1"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5) порядок застосування стимулів, визначених цим Законом;</w:t>
      </w:r>
    </w:p>
    <w:p w14:paraId="7FD5E958"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6) порядок розрахунку платежів (у разі застосування);</w:t>
      </w:r>
    </w:p>
    <w:p w14:paraId="4C65D120"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7) порядок формування конкурсної комісії;</w:t>
      </w:r>
    </w:p>
    <w:p w14:paraId="62264466"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8. Укладення договору з переможцем конкурсу та моніторинг виконання інвестором зобов'язань щодо забезпечення достатності потужності, визначених за результатами конкурсу, здійснюється оператором системи передачі.</w:t>
      </w:r>
    </w:p>
    <w:p w14:paraId="711AEDE5"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 xml:space="preserve">9. У разі якщо умовами проведення конкурсу на забезпечення достатності потужності передбачається надання державної підтримки суб'єктам господарювання за рахунок держави чи місцевих ресурсів, центральний орган </w:t>
      </w:r>
      <w:r w:rsidRPr="00162978">
        <w:rPr>
          <w:rFonts w:ascii="Times New Roman" w:hAnsi="Times New Roman"/>
          <w:sz w:val="28"/>
          <w:szCs w:val="28"/>
        </w:rPr>
        <w:lastRenderedPageBreak/>
        <w:t>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Законом України "Про державну допомогу суб'єктам господарювання".</w:t>
      </w:r>
    </w:p>
    <w:p w14:paraId="00DA5430" w14:textId="4303FC3C"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10. Держава гарантує, що договір між переможцем (переможцями) конкурсу на</w:t>
      </w:r>
      <w:r w:rsidR="00DB39DC">
        <w:rPr>
          <w:rFonts w:ascii="Times New Roman" w:hAnsi="Times New Roman"/>
          <w:sz w:val="28"/>
          <w:szCs w:val="28"/>
        </w:rPr>
        <w:t xml:space="preserve"> </w:t>
      </w:r>
      <w:r w:rsidRPr="00162978">
        <w:rPr>
          <w:rFonts w:ascii="Times New Roman" w:hAnsi="Times New Roman"/>
          <w:sz w:val="28"/>
          <w:szCs w:val="28"/>
        </w:rPr>
        <w:t>забезпечення достатності потужності та оператором системи передачі буде регулюватися законодавством України, що діє на дату укладення договору, крім законодавства, що зменшує податки та збори (обов’язкові платежі) та / або скасовує їх.</w:t>
      </w:r>
    </w:p>
    <w:p w14:paraId="52DC6431" w14:textId="77777777" w:rsidR="00B32ACB" w:rsidRPr="00162978" w:rsidRDefault="00B32ACB" w:rsidP="00B32ACB">
      <w:pPr>
        <w:pStyle w:val="a3"/>
        <w:ind w:firstLine="709"/>
        <w:rPr>
          <w:rFonts w:ascii="Times New Roman" w:hAnsi="Times New Roman"/>
          <w:sz w:val="28"/>
          <w:szCs w:val="28"/>
        </w:rPr>
      </w:pPr>
      <w:r w:rsidRPr="00162978">
        <w:rPr>
          <w:rFonts w:ascii="Times New Roman" w:hAnsi="Times New Roman"/>
          <w:sz w:val="28"/>
          <w:szCs w:val="28"/>
        </w:rPr>
        <w:t>Держава сприяє у спрощенні регулювання будівництва об’єктів переможця конкурсу на забезпечення достатності потужності, а також гарантує, що виплати за договором, укладеним за результатами конкурсу на забезпечення достатності потужності, будуть здійснені в повному обсязі протягом строку, зазначеного в договорі.</w:t>
      </w:r>
    </w:p>
    <w:p w14:paraId="3CBAB9DE" w14:textId="43509435" w:rsidR="00B32ACB" w:rsidRPr="00162978" w:rsidRDefault="00B32ACB" w:rsidP="00B32ACB">
      <w:pPr>
        <w:pStyle w:val="a3"/>
        <w:spacing w:before="0"/>
        <w:ind w:firstLine="709"/>
        <w:rPr>
          <w:rFonts w:ascii="Times New Roman" w:hAnsi="Times New Roman"/>
          <w:sz w:val="28"/>
          <w:szCs w:val="28"/>
        </w:rPr>
      </w:pPr>
      <w:r w:rsidRPr="00162978">
        <w:rPr>
          <w:rFonts w:ascii="Times New Roman" w:hAnsi="Times New Roman"/>
          <w:sz w:val="28"/>
          <w:szCs w:val="28"/>
        </w:rPr>
        <w:t>11. У разі визнання конкурсу на забезпечення достатності потужності таким, що не відбувся два рази поспіль центральний орган виконавчої влади, що забезпечує формування та реалізацію державної політики в електроенергетичному комплексі повинен у тридцятиденний термін переглянути умови конкурсу з урахуванням причин, які призвели до визнання конкурсу таким, що не відбувся, та провести наступний конкурс</w:t>
      </w:r>
      <w:r w:rsidR="00DB39DC">
        <w:rPr>
          <w:rFonts w:ascii="Times New Roman" w:hAnsi="Times New Roman"/>
          <w:sz w:val="28"/>
          <w:szCs w:val="28"/>
        </w:rPr>
        <w:t xml:space="preserve"> </w:t>
      </w:r>
      <w:r w:rsidRPr="00162978">
        <w:rPr>
          <w:rFonts w:ascii="Times New Roman" w:hAnsi="Times New Roman"/>
          <w:sz w:val="28"/>
          <w:szCs w:val="28"/>
        </w:rPr>
        <w:t>на забезпечення достатності потужності на нових умовах, крім випадку, визначеного частиною шостою статті 31 цього Закону»;</w:t>
      </w:r>
    </w:p>
    <w:p w14:paraId="2B78BCDE" w14:textId="51F251E9" w:rsidR="00B32ACB" w:rsidRPr="00162978" w:rsidRDefault="00B32ACB" w:rsidP="00B32ACB">
      <w:pPr>
        <w:pStyle w:val="a3"/>
        <w:spacing w:before="0"/>
        <w:ind w:firstLine="709"/>
        <w:rPr>
          <w:rFonts w:ascii="Times New Roman" w:hAnsi="Times New Roman"/>
          <w:sz w:val="28"/>
          <w:szCs w:val="28"/>
        </w:rPr>
      </w:pPr>
    </w:p>
    <w:p w14:paraId="583D3980" w14:textId="106F577F" w:rsidR="00B32ACB" w:rsidRPr="00162978" w:rsidRDefault="00B32ACB" w:rsidP="00B32ACB">
      <w:pPr>
        <w:pStyle w:val="a3"/>
        <w:spacing w:before="0"/>
        <w:ind w:firstLine="709"/>
        <w:rPr>
          <w:rFonts w:ascii="Times New Roman" w:hAnsi="Times New Roman"/>
          <w:sz w:val="28"/>
          <w:szCs w:val="28"/>
        </w:rPr>
      </w:pPr>
      <w:r w:rsidRPr="00162978">
        <w:rPr>
          <w:rFonts w:ascii="Times New Roman" w:hAnsi="Times New Roman"/>
          <w:sz w:val="28"/>
          <w:szCs w:val="28"/>
        </w:rPr>
        <w:t xml:space="preserve">5) частину першу статті </w:t>
      </w:r>
      <w:r w:rsidR="009E2C38" w:rsidRPr="00162978">
        <w:rPr>
          <w:rFonts w:ascii="Times New Roman" w:hAnsi="Times New Roman"/>
          <w:sz w:val="28"/>
          <w:szCs w:val="28"/>
        </w:rPr>
        <w:t xml:space="preserve">30 доповнити двома </w:t>
      </w:r>
      <w:r w:rsidR="004433AD">
        <w:rPr>
          <w:rFonts w:ascii="Times New Roman" w:hAnsi="Times New Roman"/>
          <w:sz w:val="28"/>
          <w:szCs w:val="28"/>
        </w:rPr>
        <w:t xml:space="preserve">новими </w:t>
      </w:r>
      <w:r w:rsidR="009E2C38" w:rsidRPr="00162978">
        <w:rPr>
          <w:rFonts w:ascii="Times New Roman" w:hAnsi="Times New Roman"/>
          <w:sz w:val="28"/>
          <w:szCs w:val="28"/>
        </w:rPr>
        <w:t xml:space="preserve">абзацами </w:t>
      </w:r>
      <w:r w:rsidR="00E40194">
        <w:rPr>
          <w:rFonts w:ascii="Times New Roman" w:hAnsi="Times New Roman"/>
          <w:sz w:val="28"/>
          <w:szCs w:val="28"/>
        </w:rPr>
        <w:t>такого змісту</w:t>
      </w:r>
      <w:r w:rsidR="009E2C38" w:rsidRPr="00162978">
        <w:rPr>
          <w:rFonts w:ascii="Times New Roman" w:hAnsi="Times New Roman"/>
          <w:sz w:val="28"/>
          <w:szCs w:val="28"/>
        </w:rPr>
        <w:t>:</w:t>
      </w:r>
    </w:p>
    <w:p w14:paraId="2C0C659E"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«Діяльність з виробництва електричної енергії не включає в себе діяльність з накопичення енергії.</w:t>
      </w:r>
    </w:p>
    <w:p w14:paraId="56153A70" w14:textId="156EEE74"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Виробник має право використовувати накопичувач енергії у місці здійснення ліцензованої діяльності без отримання ліцензії на провадження господарської діяльності з накопичення енергії, якщо в будь-який момент у часі потужність, з якою здійснюється відпуск електричної енергії, не перевищує встановлену потужність відповідно до ліцензії на провадження господарської діяльності з виробництва електричної енергії»;</w:t>
      </w:r>
    </w:p>
    <w:p w14:paraId="49C7EA28" w14:textId="77777777" w:rsidR="009E2C38" w:rsidRPr="00162978" w:rsidRDefault="009E2C38" w:rsidP="009E2C38">
      <w:pPr>
        <w:pStyle w:val="a3"/>
        <w:spacing w:before="0"/>
        <w:ind w:firstLine="709"/>
        <w:rPr>
          <w:rFonts w:ascii="Times New Roman" w:hAnsi="Times New Roman"/>
          <w:sz w:val="28"/>
          <w:szCs w:val="28"/>
        </w:rPr>
      </w:pPr>
    </w:p>
    <w:p w14:paraId="7F767B6C" w14:textId="38173676" w:rsidR="00B32ACB" w:rsidRPr="00162978" w:rsidRDefault="009E2C38" w:rsidP="007A1B7C">
      <w:pPr>
        <w:pStyle w:val="a3"/>
        <w:spacing w:before="0"/>
        <w:ind w:firstLine="709"/>
        <w:rPr>
          <w:rFonts w:ascii="Times New Roman" w:hAnsi="Times New Roman"/>
          <w:sz w:val="28"/>
          <w:szCs w:val="28"/>
        </w:rPr>
      </w:pPr>
      <w:r w:rsidRPr="00162978">
        <w:rPr>
          <w:rFonts w:ascii="Times New Roman" w:hAnsi="Times New Roman"/>
          <w:sz w:val="28"/>
          <w:szCs w:val="28"/>
        </w:rPr>
        <w:t>6) після статті 30</w:t>
      </w:r>
      <w:r w:rsidR="004433AD">
        <w:rPr>
          <w:rFonts w:ascii="Times New Roman" w:hAnsi="Times New Roman"/>
          <w:sz w:val="28"/>
          <w:szCs w:val="28"/>
        </w:rPr>
        <w:t xml:space="preserve"> (розділу </w:t>
      </w:r>
      <w:r w:rsidR="004433AD">
        <w:rPr>
          <w:rFonts w:ascii="Times New Roman" w:hAnsi="Times New Roman"/>
          <w:sz w:val="28"/>
          <w:szCs w:val="28"/>
          <w:lang w:val="en-US"/>
        </w:rPr>
        <w:t>IV</w:t>
      </w:r>
      <w:r w:rsidR="004433AD">
        <w:rPr>
          <w:rFonts w:ascii="Times New Roman" w:hAnsi="Times New Roman"/>
          <w:sz w:val="28"/>
          <w:szCs w:val="28"/>
        </w:rPr>
        <w:t>)</w:t>
      </w:r>
      <w:r w:rsidRPr="00162978">
        <w:rPr>
          <w:rFonts w:ascii="Times New Roman" w:hAnsi="Times New Roman"/>
          <w:sz w:val="28"/>
          <w:szCs w:val="28"/>
        </w:rPr>
        <w:t xml:space="preserve"> доповнити новим розділом ІV-1 </w:t>
      </w:r>
      <w:r w:rsidR="004433AD" w:rsidRPr="004433AD">
        <w:rPr>
          <w:rFonts w:ascii="Times New Roman" w:hAnsi="Times New Roman"/>
          <w:sz w:val="28"/>
          <w:szCs w:val="28"/>
        </w:rPr>
        <w:t>«</w:t>
      </w:r>
      <w:r w:rsidRPr="00162978">
        <w:rPr>
          <w:rFonts w:ascii="Times New Roman" w:hAnsi="Times New Roman"/>
          <w:sz w:val="28"/>
          <w:szCs w:val="28"/>
        </w:rPr>
        <w:t>НАКОПИЧЕННЯ» та новою статтею 30</w:t>
      </w:r>
      <w:r w:rsidR="004433AD">
        <w:rPr>
          <w:rFonts w:ascii="Times New Roman" w:hAnsi="Times New Roman"/>
          <w:sz w:val="28"/>
          <w:szCs w:val="28"/>
          <w:lang w:val="en-US"/>
        </w:rPr>
        <w:t>-1</w:t>
      </w:r>
      <w:r w:rsidRPr="00162978">
        <w:rPr>
          <w:rFonts w:ascii="Times New Roman" w:hAnsi="Times New Roman"/>
          <w:sz w:val="28"/>
          <w:szCs w:val="28"/>
        </w:rPr>
        <w:t xml:space="preserve"> у такій редакції: </w:t>
      </w:r>
    </w:p>
    <w:p w14:paraId="3D192D0E" w14:textId="77777777" w:rsidR="004433AD" w:rsidRPr="004433AD" w:rsidRDefault="009E2C38" w:rsidP="004433AD">
      <w:pPr>
        <w:pStyle w:val="a3"/>
        <w:ind w:firstLine="709"/>
        <w:rPr>
          <w:rFonts w:ascii="Times New Roman" w:hAnsi="Times New Roman"/>
          <w:sz w:val="28"/>
          <w:szCs w:val="28"/>
        </w:rPr>
      </w:pPr>
      <w:r w:rsidRPr="00162978">
        <w:rPr>
          <w:rFonts w:ascii="Times New Roman" w:hAnsi="Times New Roman"/>
          <w:sz w:val="28"/>
          <w:szCs w:val="28"/>
        </w:rPr>
        <w:t>«</w:t>
      </w:r>
      <w:r w:rsidR="004433AD" w:rsidRPr="004433AD">
        <w:rPr>
          <w:rFonts w:ascii="Times New Roman" w:hAnsi="Times New Roman"/>
          <w:sz w:val="28"/>
          <w:szCs w:val="28"/>
        </w:rPr>
        <w:t>Розділ IV-1</w:t>
      </w:r>
    </w:p>
    <w:p w14:paraId="09E25718" w14:textId="77777777" w:rsidR="004433AD" w:rsidRPr="004433AD" w:rsidRDefault="004433AD" w:rsidP="004433AD">
      <w:pPr>
        <w:pStyle w:val="a3"/>
        <w:ind w:firstLine="709"/>
        <w:rPr>
          <w:rFonts w:ascii="Times New Roman" w:hAnsi="Times New Roman"/>
          <w:sz w:val="28"/>
          <w:szCs w:val="28"/>
        </w:rPr>
      </w:pPr>
      <w:r w:rsidRPr="004433AD">
        <w:rPr>
          <w:rFonts w:ascii="Times New Roman" w:hAnsi="Times New Roman"/>
          <w:sz w:val="28"/>
          <w:szCs w:val="28"/>
        </w:rPr>
        <w:t>НАКОПИЧЕННЯ</w:t>
      </w:r>
    </w:p>
    <w:p w14:paraId="2D7928A4" w14:textId="3C1FE8EE"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Стаття 30-1. Права та обов'язки Операторів накопичувачів енергії</w:t>
      </w:r>
    </w:p>
    <w:p w14:paraId="04387F4C"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1. Діяльність з накопичення енергії підлягає ліцензуванню, якщо величина встановленої потужності більша за показники, визначені у відповідних </w:t>
      </w:r>
      <w:r w:rsidRPr="00162978">
        <w:rPr>
          <w:rFonts w:ascii="Times New Roman" w:hAnsi="Times New Roman"/>
          <w:sz w:val="28"/>
          <w:szCs w:val="28"/>
        </w:rPr>
        <w:lastRenderedPageBreak/>
        <w:t>ліцензійних умовах провадження господарської діяльності з накопичення енергії, за винятком випадків, передбачених цим Законом.</w:t>
      </w:r>
    </w:p>
    <w:p w14:paraId="06783E0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2. Оператору накопичувача енергії забороняється здійснювати діяльність з передачі та розподілу електричної енергії, виконання функцій оператора ринку та гарантованого покупця, крім випадків, передбачених цим Законом</w:t>
      </w:r>
    </w:p>
    <w:p w14:paraId="4DF188C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3. Оператор накопичувача енергії здійснює купівлю-продаж електричної енергії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14:paraId="461A525A"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Оператор накопичувача енергії надає послуги з балансування та/або допоміжні послуги, відповідно до положень цього Закону та умов конкурсу на забезпечення достатності потужності.</w:t>
      </w:r>
    </w:p>
    <w:p w14:paraId="7AD628C6"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4. Оператори накопичувачів енергії мають право на:</w:t>
      </w:r>
    </w:p>
    <w:p w14:paraId="04E72B38"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1) купівлю та продаж електричної енергії на ринку електричної енергії, здійснення експорту та імпорту електричної енергії;</w:t>
      </w:r>
    </w:p>
    <w:p w14:paraId="3371BD6A"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за допоміжні послуги та послуги з балансування;</w:t>
      </w:r>
    </w:p>
    <w:p w14:paraId="2D7C5C95"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3) недискримінаційний доступ до електричних мереж у разі дотримання відповідних вимог кодексу системи передачі, кодексу систем розподілу;</w:t>
      </w:r>
    </w:p>
    <w:p w14:paraId="16F88823"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4) доступ до інформації щодо діяльності на ринку електричної енергії у порядку та обсягах, визначених правилами ринку,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14:paraId="578B6F8B"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Оператори накопичувачів енергії мають інші права, передбачені законодавством.</w:t>
      </w:r>
    </w:p>
    <w:p w14:paraId="1B43169E" w14:textId="500F4CB1"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5. Оператори накопичувачів енергії,</w:t>
      </w:r>
      <w:r w:rsidR="00DB39DC">
        <w:rPr>
          <w:rFonts w:ascii="Times New Roman" w:hAnsi="Times New Roman"/>
          <w:sz w:val="28"/>
          <w:szCs w:val="28"/>
        </w:rPr>
        <w:t xml:space="preserve"> </w:t>
      </w:r>
      <w:r w:rsidRPr="00162978">
        <w:rPr>
          <w:rFonts w:ascii="Times New Roman" w:hAnsi="Times New Roman"/>
          <w:sz w:val="28"/>
          <w:szCs w:val="28"/>
        </w:rPr>
        <w:t>які отримали ліцензію на здійснення діяльності з накопичення електричної енергії</w:t>
      </w:r>
      <w:r w:rsidR="00DB39DC">
        <w:rPr>
          <w:rFonts w:ascii="Times New Roman" w:hAnsi="Times New Roman"/>
          <w:sz w:val="28"/>
          <w:szCs w:val="28"/>
        </w:rPr>
        <w:t xml:space="preserve"> </w:t>
      </w:r>
      <w:r w:rsidRPr="00162978">
        <w:rPr>
          <w:rFonts w:ascii="Times New Roman" w:hAnsi="Times New Roman"/>
          <w:sz w:val="28"/>
          <w:szCs w:val="28"/>
        </w:rPr>
        <w:t>зобов'язані:</w:t>
      </w:r>
    </w:p>
    <w:p w14:paraId="77C76D2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1) дотримуватися ліцензійних умов провадження господарської діяльності з накопичення енергії, інших нормативно-правових актів, що регулюють функціонування ринку електричної енергії;</w:t>
      </w:r>
    </w:p>
    <w:p w14:paraId="38B49059"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2) укладати договори, які є обов'язковими для здійснення діяльності на ринку електричної енергії, та виконувати умови цих договорів;</w:t>
      </w:r>
    </w:p>
    <w:p w14:paraId="02126BF2"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законодавством;</w:t>
      </w:r>
    </w:p>
    <w:p w14:paraId="17C3CC94"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4) бути постачальником послуг з балансування у випадках, визначених умовами конкурсу на забезпечення достатності потужності;</w:t>
      </w:r>
    </w:p>
    <w:p w14:paraId="4D8BFCF2"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lastRenderedPageBreak/>
        <w:t>5) пропонувати та надавати допоміжні послуги оператору системи передачі у випадках, визначених умовами конкурсу на забезпечення достатності потужності;</w:t>
      </w:r>
    </w:p>
    <w:p w14:paraId="0E739CB8"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6)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14:paraId="044FF94B"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7) виконувати акцептовані оператором системи передачі добові графіки електричної енергії;</w:t>
      </w:r>
    </w:p>
    <w:p w14:paraId="0B1B5970"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8)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w:t>
      </w:r>
    </w:p>
    <w:p w14:paraId="3342D117"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9)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14:paraId="255C2A10"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10) надавати Регулятору інформацію, необхідну для здійснення ним функцій і повноважень, встановлених законодавством;</w:t>
      </w:r>
    </w:p>
    <w:p w14:paraId="5BC65EF5"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правилами ринку "на добу наперед" та внутрішньодобового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14:paraId="6435D137" w14:textId="103E5D43"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12) забезпечити окремий облік електричної енергії, перетікання якої здійснено </w:t>
      </w:r>
      <w:r w:rsidR="009F2534" w:rsidRPr="009F2534">
        <w:rPr>
          <w:rFonts w:ascii="Times New Roman" w:hAnsi="Times New Roman"/>
          <w:sz w:val="28"/>
          <w:szCs w:val="28"/>
        </w:rPr>
        <w:t>до та з накопичувача енергії</w:t>
      </w:r>
      <w:r w:rsidR="00A52B54">
        <w:rPr>
          <w:rFonts w:ascii="Times New Roman" w:hAnsi="Times New Roman"/>
          <w:sz w:val="28"/>
          <w:szCs w:val="28"/>
          <w:lang w:val="en-US"/>
        </w:rPr>
        <w:t>,</w:t>
      </w:r>
      <w:r w:rsidR="009F2534" w:rsidRPr="009F2534">
        <w:rPr>
          <w:rFonts w:ascii="Times New Roman" w:hAnsi="Times New Roman"/>
          <w:sz w:val="28"/>
          <w:szCs w:val="28"/>
        </w:rPr>
        <w:t xml:space="preserve"> </w:t>
      </w:r>
      <w:r w:rsidRPr="00162978">
        <w:rPr>
          <w:rFonts w:ascii="Times New Roman" w:hAnsi="Times New Roman"/>
          <w:sz w:val="28"/>
          <w:szCs w:val="28"/>
        </w:rPr>
        <w:t>з фіксацією даних.</w:t>
      </w:r>
    </w:p>
    <w:p w14:paraId="7FA8209D"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6. Оператор накопичувача енергії потужністю більше 20МВт повинен повідомити оператора системи передачі або оператора системи розподілу, до якого підключений накопичувач енергії, про завершення роботи накопичувача енергії не пізніше ніж за 90 календарних днів</w:t>
      </w:r>
    </w:p>
    <w:p w14:paraId="20773519" w14:textId="2AB36EC7" w:rsidR="007A1B7C"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7. Плата за послуги</w:t>
      </w:r>
      <w:r w:rsidR="00DB39DC">
        <w:rPr>
          <w:rFonts w:ascii="Times New Roman" w:hAnsi="Times New Roman"/>
          <w:sz w:val="28"/>
          <w:szCs w:val="28"/>
        </w:rPr>
        <w:t xml:space="preserve"> </w:t>
      </w:r>
      <w:r w:rsidRPr="00162978">
        <w:rPr>
          <w:rFonts w:ascii="Times New Roman" w:hAnsi="Times New Roman"/>
          <w:sz w:val="28"/>
          <w:szCs w:val="28"/>
        </w:rPr>
        <w:t>з передачі електричної енергії, розподілу електричної енергії та за послуги з диспетчерського (оперативно-технологічного) управління для оператора накопичувача енергії розраховується на обсяг абсолютної величини різниці між місячним споживанням та місячним відпускуом електричної енергії за тарифами та у випадках, що застосовуються до споживачів»;</w:t>
      </w:r>
    </w:p>
    <w:p w14:paraId="27E5068D" w14:textId="422846AF" w:rsidR="009E2C38" w:rsidRPr="00162978" w:rsidRDefault="009E2C38" w:rsidP="009E2C38">
      <w:pPr>
        <w:pStyle w:val="a3"/>
        <w:spacing w:before="0"/>
        <w:ind w:firstLine="709"/>
        <w:rPr>
          <w:rFonts w:ascii="Times New Roman" w:hAnsi="Times New Roman"/>
          <w:sz w:val="28"/>
          <w:szCs w:val="28"/>
        </w:rPr>
      </w:pPr>
    </w:p>
    <w:p w14:paraId="612CF329" w14:textId="0697FAB8"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 xml:space="preserve">7) доповнити статтю 31 після частини четвертої </w:t>
      </w:r>
      <w:r w:rsidR="00B130C5">
        <w:rPr>
          <w:rFonts w:ascii="Times New Roman" w:hAnsi="Times New Roman"/>
          <w:sz w:val="28"/>
          <w:szCs w:val="28"/>
        </w:rPr>
        <w:t xml:space="preserve">новими </w:t>
      </w:r>
      <w:r w:rsidRPr="00162978">
        <w:rPr>
          <w:rFonts w:ascii="Times New Roman" w:hAnsi="Times New Roman"/>
          <w:sz w:val="28"/>
          <w:szCs w:val="28"/>
        </w:rPr>
        <w:t xml:space="preserve">частинами </w:t>
      </w:r>
      <w:r w:rsidR="00E40194">
        <w:rPr>
          <w:rFonts w:ascii="Times New Roman" w:hAnsi="Times New Roman"/>
          <w:sz w:val="28"/>
          <w:szCs w:val="28"/>
        </w:rPr>
        <w:t>п’ятою-сьомою такого змісту</w:t>
      </w:r>
      <w:r w:rsidRPr="00162978">
        <w:rPr>
          <w:rFonts w:ascii="Times New Roman" w:hAnsi="Times New Roman"/>
          <w:sz w:val="28"/>
          <w:szCs w:val="28"/>
        </w:rPr>
        <w:t>:</w:t>
      </w:r>
    </w:p>
    <w:p w14:paraId="1EF18DEF" w14:textId="392E27E1"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«5. Оператор системи передачі не має права володіти, розробляти та експлуатувати накопичувач</w:t>
      </w:r>
      <w:r w:rsidR="004D7F06">
        <w:rPr>
          <w:rFonts w:ascii="Times New Roman" w:hAnsi="Times New Roman"/>
          <w:sz w:val="28"/>
          <w:szCs w:val="28"/>
        </w:rPr>
        <w:t>і</w:t>
      </w:r>
      <w:r w:rsidRPr="00162978">
        <w:rPr>
          <w:rFonts w:ascii="Times New Roman" w:hAnsi="Times New Roman"/>
          <w:sz w:val="28"/>
          <w:szCs w:val="28"/>
        </w:rPr>
        <w:t xml:space="preserve"> енергії, крім випадків, передбачених цим Законом.</w:t>
      </w:r>
    </w:p>
    <w:p w14:paraId="33DEBDC0"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lastRenderedPageBreak/>
        <w:t>6. Оператор системи передачі має право володіти, розробляти та експлуатувати накопичувачі енергії, коли вони є повністю інтегрованими елементами мережі, встановленими з дотриманням усіх наступних умов:</w:t>
      </w:r>
    </w:p>
    <w:p w14:paraId="032243D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конкурс на забезпечення достатності потужності, проведений відповідно до статті 29 Закону, визнаний таким, що не відбувся двічі поспіль;</w:t>
      </w:r>
    </w:p>
    <w:p w14:paraId="549282AD" w14:textId="6AD9E7CF"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 такі </w:t>
      </w:r>
      <w:r w:rsidR="009F2534" w:rsidRPr="009F2534">
        <w:rPr>
          <w:rFonts w:ascii="Times New Roman" w:hAnsi="Times New Roman"/>
          <w:sz w:val="28"/>
          <w:szCs w:val="28"/>
        </w:rPr>
        <w:t xml:space="preserve">накопичувачі енергії </w:t>
      </w:r>
      <w:r w:rsidRPr="00162978">
        <w:rPr>
          <w:rFonts w:ascii="Times New Roman" w:hAnsi="Times New Roman"/>
          <w:sz w:val="28"/>
          <w:szCs w:val="28"/>
        </w:rPr>
        <w:t>необхідні оператору системи передачі для виконання своїх зобов'язань щодо ефективної, надійної та безпечної роботи системи передачі, і вони не використовуються для купівлі та/або продажу електроенергії на ринку електричної енергії та/або надання допоміжних послуг;</w:t>
      </w:r>
    </w:p>
    <w:p w14:paraId="13ABF753" w14:textId="60150551"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w:t>
      </w:r>
      <w:r w:rsidR="00DB39DC">
        <w:rPr>
          <w:rFonts w:ascii="Times New Roman" w:hAnsi="Times New Roman"/>
          <w:sz w:val="28"/>
          <w:szCs w:val="28"/>
        </w:rPr>
        <w:t xml:space="preserve"> </w:t>
      </w:r>
      <w:r w:rsidRPr="00162978">
        <w:rPr>
          <w:rFonts w:ascii="Times New Roman" w:hAnsi="Times New Roman"/>
          <w:sz w:val="28"/>
          <w:szCs w:val="28"/>
        </w:rPr>
        <w:t>Регулятор оцінив необхідність такого виняткового випадку та затвердив її;</w:t>
      </w:r>
    </w:p>
    <w:p w14:paraId="473BF8C7" w14:textId="77777DAB"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 умови, на підставі яких буде здійснюватися будівництво/закупівля </w:t>
      </w:r>
      <w:r w:rsidR="009F2534" w:rsidRPr="009F2534">
        <w:rPr>
          <w:rFonts w:ascii="Times New Roman" w:hAnsi="Times New Roman"/>
          <w:sz w:val="28"/>
          <w:szCs w:val="28"/>
        </w:rPr>
        <w:t xml:space="preserve">накопичувачів енергії </w:t>
      </w:r>
      <w:r w:rsidRPr="00162978">
        <w:rPr>
          <w:rFonts w:ascii="Times New Roman" w:hAnsi="Times New Roman"/>
          <w:sz w:val="28"/>
          <w:szCs w:val="28"/>
        </w:rPr>
        <w:t>відповідно до цього пункту, не відрізняються від умов, на яких</w:t>
      </w:r>
      <w:r w:rsidR="00DB39DC">
        <w:rPr>
          <w:rFonts w:ascii="Times New Roman" w:hAnsi="Times New Roman"/>
          <w:sz w:val="28"/>
          <w:szCs w:val="28"/>
        </w:rPr>
        <w:t xml:space="preserve"> </w:t>
      </w:r>
      <w:r w:rsidRPr="00162978">
        <w:rPr>
          <w:rFonts w:ascii="Times New Roman" w:hAnsi="Times New Roman"/>
          <w:sz w:val="28"/>
          <w:szCs w:val="28"/>
        </w:rPr>
        <w:t xml:space="preserve">проводився конкурс на забезпечення достатності потужності, що визнаний таким, що не відбувся. </w:t>
      </w:r>
    </w:p>
    <w:p w14:paraId="62C3CB06"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При цьому не вимагається отримання оператором системи передачі додаткової ліцензії на провадження господарської діяльності з накопичення енергії. </w:t>
      </w:r>
    </w:p>
    <w:p w14:paraId="0C509221"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7. Оператор системи передачі повинен мати право використовувати власний накопичувач енергії лише тоді, коли система передачі перебуває у передаварійному режимі, аварійному режимі, режимі відключення системи або режимі відновлення, як визначено в кодексі системи передачі.</w:t>
      </w:r>
    </w:p>
    <w:p w14:paraId="0A02B384"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Оператор системи передачі повинен здійснювати диспетчерський контроль накопичувачів енергії відповідно до процедури, передбаченої в кодексі системи передачі.</w:t>
      </w:r>
    </w:p>
    <w:p w14:paraId="1E2C7235" w14:textId="201CC504"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Оператор системи передачі забезпечує окремий облік електричної енергії з фіксацією даних, перетікання якої здійснено до та з накопичувачів енергії»;</w:t>
      </w:r>
    </w:p>
    <w:p w14:paraId="0ABEFF5A" w14:textId="5C56CB74" w:rsidR="009E2C38" w:rsidRPr="00162978" w:rsidRDefault="009E2C38" w:rsidP="009E2C38">
      <w:pPr>
        <w:pStyle w:val="a3"/>
        <w:spacing w:before="0"/>
        <w:ind w:firstLine="709"/>
        <w:rPr>
          <w:rFonts w:ascii="Times New Roman" w:hAnsi="Times New Roman"/>
          <w:sz w:val="28"/>
          <w:szCs w:val="28"/>
        </w:rPr>
      </w:pPr>
    </w:p>
    <w:p w14:paraId="08C7FDFB" w14:textId="1B938DAB"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 xml:space="preserve">8) частину другу статті 32 доповнити </w:t>
      </w:r>
      <w:r w:rsidR="00E40194">
        <w:rPr>
          <w:rFonts w:ascii="Times New Roman" w:hAnsi="Times New Roman"/>
          <w:sz w:val="28"/>
          <w:szCs w:val="28"/>
        </w:rPr>
        <w:t xml:space="preserve">новим </w:t>
      </w:r>
      <w:r w:rsidRPr="00162978">
        <w:rPr>
          <w:rFonts w:ascii="Times New Roman" w:hAnsi="Times New Roman"/>
          <w:sz w:val="28"/>
          <w:szCs w:val="28"/>
        </w:rPr>
        <w:t xml:space="preserve">реченням </w:t>
      </w:r>
      <w:r w:rsidR="00E40194">
        <w:rPr>
          <w:rFonts w:ascii="Times New Roman" w:hAnsi="Times New Roman"/>
          <w:sz w:val="28"/>
          <w:szCs w:val="28"/>
        </w:rPr>
        <w:t>такого змісту</w:t>
      </w:r>
      <w:r w:rsidRPr="00162978">
        <w:rPr>
          <w:rFonts w:ascii="Times New Roman" w:hAnsi="Times New Roman"/>
          <w:sz w:val="28"/>
          <w:szCs w:val="28"/>
        </w:rPr>
        <w:t>:</w:t>
      </w:r>
    </w:p>
    <w:p w14:paraId="57AFEFA6" w14:textId="75D6F683"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«Оператор системи передачі не має права здійснювати діяльність із накопичення енергії, крім випадків, передбачених цим Законом.»;</w:t>
      </w:r>
    </w:p>
    <w:p w14:paraId="52BC0663" w14:textId="124DD51E" w:rsidR="009E2C38" w:rsidRPr="00162978" w:rsidRDefault="009E2C38" w:rsidP="009E2C38">
      <w:pPr>
        <w:pStyle w:val="a3"/>
        <w:spacing w:before="0"/>
        <w:ind w:firstLine="709"/>
        <w:rPr>
          <w:rFonts w:ascii="Times New Roman" w:hAnsi="Times New Roman"/>
          <w:sz w:val="28"/>
          <w:szCs w:val="28"/>
        </w:rPr>
      </w:pPr>
    </w:p>
    <w:p w14:paraId="4EF58882" w14:textId="168EEB13"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9) частину першу статті 33 після пункту 24 доповнити</w:t>
      </w:r>
      <w:r w:rsidR="00B130C5">
        <w:rPr>
          <w:rFonts w:ascii="Times New Roman" w:hAnsi="Times New Roman"/>
          <w:sz w:val="28"/>
          <w:szCs w:val="28"/>
        </w:rPr>
        <w:t xml:space="preserve"> новим</w:t>
      </w:r>
      <w:r w:rsidRPr="00162978">
        <w:rPr>
          <w:rFonts w:ascii="Times New Roman" w:hAnsi="Times New Roman"/>
          <w:sz w:val="28"/>
          <w:szCs w:val="28"/>
        </w:rPr>
        <w:t xml:space="preserve"> пунктом 25 </w:t>
      </w:r>
      <w:r w:rsidR="00E40194">
        <w:rPr>
          <w:rFonts w:ascii="Times New Roman" w:hAnsi="Times New Roman"/>
          <w:sz w:val="28"/>
          <w:szCs w:val="28"/>
        </w:rPr>
        <w:t>такого змісту</w:t>
      </w:r>
      <w:r w:rsidRPr="00162978">
        <w:rPr>
          <w:rFonts w:ascii="Times New Roman" w:hAnsi="Times New Roman"/>
          <w:sz w:val="28"/>
          <w:szCs w:val="28"/>
        </w:rPr>
        <w:t>:</w:t>
      </w:r>
    </w:p>
    <w:p w14:paraId="2B715D20" w14:textId="3682443D"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«25) подає Регулятору звіт про випадки забезпечення операційної безпеки ОЕС України шляхом застосування (активації) накопичувачів енергії»;</w:t>
      </w:r>
    </w:p>
    <w:p w14:paraId="3E80A1AA" w14:textId="67C6D7DD" w:rsidR="009E2C38" w:rsidRPr="00162978" w:rsidRDefault="009E2C38" w:rsidP="009E2C38">
      <w:pPr>
        <w:pStyle w:val="a3"/>
        <w:spacing w:before="0"/>
        <w:ind w:firstLine="709"/>
        <w:rPr>
          <w:rFonts w:ascii="Times New Roman" w:hAnsi="Times New Roman"/>
          <w:sz w:val="28"/>
          <w:szCs w:val="28"/>
        </w:rPr>
      </w:pPr>
    </w:p>
    <w:p w14:paraId="525422B5" w14:textId="7724A3AF"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 xml:space="preserve">10) статтю 45 після частини третьої доповнити частиною четвертою </w:t>
      </w:r>
      <w:r w:rsidR="00B130C5">
        <w:rPr>
          <w:rFonts w:ascii="Times New Roman" w:hAnsi="Times New Roman"/>
          <w:sz w:val="28"/>
          <w:szCs w:val="28"/>
        </w:rPr>
        <w:t>такого змісту</w:t>
      </w:r>
      <w:r w:rsidRPr="00162978">
        <w:rPr>
          <w:rFonts w:ascii="Times New Roman" w:hAnsi="Times New Roman"/>
          <w:sz w:val="28"/>
          <w:szCs w:val="28"/>
        </w:rPr>
        <w:t>:</w:t>
      </w:r>
    </w:p>
    <w:p w14:paraId="5AA18B69"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«4. Оператор системи розподілу не має права володіти, розробляти та експлуатувати накопичувачі енергії, крім випадків, передбачених цією частиною.</w:t>
      </w:r>
    </w:p>
    <w:p w14:paraId="026E27D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lastRenderedPageBreak/>
        <w:t>Оператор системи розподілу має право володіти, розробляти та експлуатувати накопичувачі енергії, коли вони є повністю інтегрованими елементами мережі, встановленими з дотриманням усіх наступних умов:</w:t>
      </w:r>
    </w:p>
    <w:p w14:paraId="56FC38A1"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такі накопичувачі енергії необхідні оператору системи розподілу для виконання своїх зобов'язань щодо ефективної, надійної та безпечної роботи системи розподілу, і вони не використовуються для купівлі та/або продажу електроенергії на ринку електричної енергії та/або надання допоміжних послуг;</w:t>
      </w:r>
    </w:p>
    <w:p w14:paraId="25154F2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 загальна потужність накопичувачів енергії не перевищує 20 МВт або Регулятор схвалив використання накопичувачів енергії загальною потужністю понад 20 МВт. </w:t>
      </w:r>
    </w:p>
    <w:p w14:paraId="3D8B8E9F"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При цьому не вимагається отримання оператором системи розподілу додаткової ліцензії на провадження господарської діяльності з накопичення енергії. </w:t>
      </w:r>
    </w:p>
    <w:p w14:paraId="2DEB4DB8" w14:textId="3439AF09"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 xml:space="preserve">На оператора системи розподілу при будівництві </w:t>
      </w:r>
      <w:r w:rsidR="009F2534" w:rsidRPr="009F2534">
        <w:rPr>
          <w:rFonts w:ascii="Times New Roman" w:hAnsi="Times New Roman"/>
          <w:sz w:val="28"/>
          <w:szCs w:val="28"/>
        </w:rPr>
        <w:t xml:space="preserve">нового та/або проведенні реконструкції (модернізації) діючого накопичувача енергії </w:t>
      </w:r>
      <w:r w:rsidRPr="00162978">
        <w:rPr>
          <w:rFonts w:ascii="Times New Roman" w:hAnsi="Times New Roman"/>
          <w:sz w:val="28"/>
          <w:szCs w:val="28"/>
        </w:rPr>
        <w:t>не поширюються положення статті 29 цього Закону.</w:t>
      </w:r>
    </w:p>
    <w:p w14:paraId="37114B29" w14:textId="77777777" w:rsidR="009E2C38" w:rsidRPr="00162978" w:rsidRDefault="009E2C38" w:rsidP="009E2C38">
      <w:pPr>
        <w:pStyle w:val="a3"/>
        <w:ind w:firstLine="709"/>
        <w:rPr>
          <w:rFonts w:ascii="Times New Roman" w:hAnsi="Times New Roman"/>
          <w:sz w:val="28"/>
          <w:szCs w:val="28"/>
        </w:rPr>
      </w:pPr>
      <w:r w:rsidRPr="00162978">
        <w:rPr>
          <w:rFonts w:ascii="Times New Roman" w:hAnsi="Times New Roman"/>
          <w:sz w:val="28"/>
          <w:szCs w:val="28"/>
        </w:rPr>
        <w:t>Оператор системи розподілу має право використовувати власні накопичувачі енергії в порядку, передбаченому кодексом системи розподілу, лише з метою надання послуг з розподілу електричної енергії, зокрема, для забезпечення операційної безпеки системи розподілу чи інших заходів, спрямованих на виконання вимог цілісності системи розподілу.</w:t>
      </w:r>
    </w:p>
    <w:p w14:paraId="75076A31" w14:textId="4249696B"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Оператор системи розподілу забезпечує окремий облік електричної енергії з фіксацією даних, перетікання якої здійснено до та з</w:t>
      </w:r>
      <w:r w:rsidR="00DB39DC">
        <w:rPr>
          <w:rFonts w:ascii="Times New Roman" w:hAnsi="Times New Roman"/>
          <w:sz w:val="28"/>
          <w:szCs w:val="28"/>
        </w:rPr>
        <w:t xml:space="preserve"> </w:t>
      </w:r>
      <w:r w:rsidRPr="00162978">
        <w:rPr>
          <w:rFonts w:ascii="Times New Roman" w:hAnsi="Times New Roman"/>
          <w:sz w:val="28"/>
          <w:szCs w:val="28"/>
        </w:rPr>
        <w:t>накопичувачів енергії»;</w:t>
      </w:r>
    </w:p>
    <w:p w14:paraId="1B74EB42" w14:textId="6F71FA32" w:rsidR="009E2C38" w:rsidRPr="00162978" w:rsidRDefault="009E2C38" w:rsidP="009E2C38">
      <w:pPr>
        <w:pStyle w:val="a3"/>
        <w:spacing w:before="0"/>
        <w:ind w:firstLine="709"/>
        <w:rPr>
          <w:rFonts w:ascii="Times New Roman" w:hAnsi="Times New Roman"/>
          <w:sz w:val="28"/>
          <w:szCs w:val="28"/>
        </w:rPr>
      </w:pPr>
    </w:p>
    <w:p w14:paraId="02984B5A" w14:textId="743FEC49"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11)</w:t>
      </w:r>
      <w:r w:rsidR="00E40194">
        <w:rPr>
          <w:rFonts w:ascii="Times New Roman" w:hAnsi="Times New Roman"/>
          <w:sz w:val="28"/>
          <w:szCs w:val="28"/>
        </w:rPr>
        <w:t xml:space="preserve"> </w:t>
      </w:r>
      <w:r w:rsidRPr="00162978">
        <w:rPr>
          <w:rFonts w:ascii="Times New Roman" w:hAnsi="Times New Roman"/>
          <w:sz w:val="28"/>
          <w:szCs w:val="28"/>
        </w:rPr>
        <w:t xml:space="preserve">частину третю статті 46 після пункту 15 доповнити </w:t>
      </w:r>
      <w:r w:rsidR="00E40194">
        <w:rPr>
          <w:rFonts w:ascii="Times New Roman" w:hAnsi="Times New Roman"/>
          <w:sz w:val="28"/>
          <w:szCs w:val="28"/>
        </w:rPr>
        <w:t xml:space="preserve">новим </w:t>
      </w:r>
      <w:r w:rsidRPr="00162978">
        <w:rPr>
          <w:rFonts w:ascii="Times New Roman" w:hAnsi="Times New Roman"/>
          <w:sz w:val="28"/>
          <w:szCs w:val="28"/>
        </w:rPr>
        <w:t xml:space="preserve">пунктом 16 </w:t>
      </w:r>
      <w:r w:rsidR="00E40194">
        <w:rPr>
          <w:rFonts w:ascii="Times New Roman" w:hAnsi="Times New Roman"/>
          <w:sz w:val="28"/>
          <w:szCs w:val="28"/>
        </w:rPr>
        <w:t>такого змісту</w:t>
      </w:r>
      <w:r w:rsidRPr="00162978">
        <w:rPr>
          <w:rFonts w:ascii="Times New Roman" w:hAnsi="Times New Roman"/>
          <w:sz w:val="28"/>
          <w:szCs w:val="28"/>
        </w:rPr>
        <w:t>:</w:t>
      </w:r>
    </w:p>
    <w:p w14:paraId="6536254B" w14:textId="3DC0F2DA"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«16) пода</w:t>
      </w:r>
      <w:r w:rsidR="00B46918">
        <w:rPr>
          <w:rFonts w:ascii="Times New Roman" w:hAnsi="Times New Roman"/>
          <w:sz w:val="28"/>
          <w:szCs w:val="28"/>
        </w:rPr>
        <w:t>вати</w:t>
      </w:r>
      <w:r w:rsidRPr="00162978">
        <w:rPr>
          <w:rFonts w:ascii="Times New Roman" w:hAnsi="Times New Roman"/>
          <w:sz w:val="28"/>
          <w:szCs w:val="28"/>
        </w:rPr>
        <w:t xml:space="preserve"> Регулятору звіт про випадки забезпечення</w:t>
      </w:r>
      <w:r w:rsidR="00DB39DC">
        <w:rPr>
          <w:rFonts w:ascii="Times New Roman" w:hAnsi="Times New Roman"/>
          <w:sz w:val="28"/>
          <w:szCs w:val="28"/>
        </w:rPr>
        <w:t xml:space="preserve"> </w:t>
      </w:r>
      <w:r w:rsidRPr="00162978">
        <w:rPr>
          <w:rFonts w:ascii="Times New Roman" w:hAnsi="Times New Roman"/>
          <w:sz w:val="28"/>
          <w:szCs w:val="28"/>
        </w:rPr>
        <w:t>операційної безпеки системи розподілу</w:t>
      </w:r>
      <w:r w:rsidR="00DB39DC">
        <w:rPr>
          <w:rFonts w:ascii="Times New Roman" w:hAnsi="Times New Roman"/>
          <w:sz w:val="28"/>
          <w:szCs w:val="28"/>
        </w:rPr>
        <w:t xml:space="preserve"> </w:t>
      </w:r>
      <w:r w:rsidRPr="00162978">
        <w:rPr>
          <w:rFonts w:ascii="Times New Roman" w:hAnsi="Times New Roman"/>
          <w:sz w:val="28"/>
          <w:szCs w:val="28"/>
        </w:rPr>
        <w:t>шляхом застосування (активації) накопичувачів енергії»;</w:t>
      </w:r>
    </w:p>
    <w:p w14:paraId="68F4DDBA" w14:textId="14EB2554" w:rsidR="009E2C38" w:rsidRPr="00162978" w:rsidRDefault="009E2C38" w:rsidP="009E2C38">
      <w:pPr>
        <w:pStyle w:val="a3"/>
        <w:spacing w:before="0"/>
        <w:ind w:firstLine="709"/>
        <w:rPr>
          <w:rFonts w:ascii="Times New Roman" w:hAnsi="Times New Roman"/>
          <w:sz w:val="28"/>
          <w:szCs w:val="28"/>
        </w:rPr>
      </w:pPr>
    </w:p>
    <w:p w14:paraId="1C03CB8E" w14:textId="2F9A3B14"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 xml:space="preserve">12) частину першу статті 47 </w:t>
      </w:r>
      <w:r w:rsidR="00C51135" w:rsidRPr="00162978">
        <w:rPr>
          <w:rFonts w:ascii="Times New Roman" w:hAnsi="Times New Roman"/>
          <w:sz w:val="28"/>
          <w:szCs w:val="28"/>
        </w:rPr>
        <w:t>доповнити</w:t>
      </w:r>
      <w:r w:rsidR="00562ACF">
        <w:rPr>
          <w:rFonts w:ascii="Times New Roman" w:hAnsi="Times New Roman"/>
          <w:sz w:val="28"/>
          <w:szCs w:val="28"/>
        </w:rPr>
        <w:t xml:space="preserve"> новим</w:t>
      </w:r>
      <w:r w:rsidR="00C51135" w:rsidRPr="00162978">
        <w:rPr>
          <w:rFonts w:ascii="Times New Roman" w:hAnsi="Times New Roman"/>
          <w:sz w:val="28"/>
          <w:szCs w:val="28"/>
        </w:rPr>
        <w:t xml:space="preserve"> реченням </w:t>
      </w:r>
      <w:r w:rsidR="00562ACF">
        <w:rPr>
          <w:rFonts w:ascii="Times New Roman" w:hAnsi="Times New Roman"/>
          <w:sz w:val="28"/>
          <w:szCs w:val="28"/>
        </w:rPr>
        <w:t>такого змісту</w:t>
      </w:r>
      <w:r w:rsidR="00C51135" w:rsidRPr="00162978">
        <w:rPr>
          <w:rFonts w:ascii="Times New Roman" w:hAnsi="Times New Roman"/>
          <w:sz w:val="28"/>
          <w:szCs w:val="28"/>
        </w:rPr>
        <w:t>:</w:t>
      </w:r>
    </w:p>
    <w:p w14:paraId="4897A220" w14:textId="16415E32"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«Оператору системи розподілу забороняється здійснювати діяльність із накопичення енергії, крім випадків, передбачених частиною четвертою статті 45 цього Закону»;</w:t>
      </w:r>
    </w:p>
    <w:p w14:paraId="184901FE" w14:textId="43DE216C" w:rsidR="009E2C38" w:rsidRPr="00162978" w:rsidRDefault="009E2C38" w:rsidP="009E2C38">
      <w:pPr>
        <w:pStyle w:val="a3"/>
        <w:spacing w:before="0"/>
        <w:ind w:firstLine="709"/>
        <w:rPr>
          <w:rFonts w:ascii="Times New Roman" w:hAnsi="Times New Roman"/>
          <w:sz w:val="28"/>
          <w:szCs w:val="28"/>
        </w:rPr>
      </w:pPr>
    </w:p>
    <w:p w14:paraId="3BB51642" w14:textId="13ABC560" w:rsidR="009E2C38" w:rsidRPr="00162978" w:rsidRDefault="009E2C38" w:rsidP="009E2C38">
      <w:pPr>
        <w:pStyle w:val="a3"/>
        <w:spacing w:before="0"/>
        <w:ind w:firstLine="709"/>
        <w:rPr>
          <w:rFonts w:ascii="Times New Roman" w:hAnsi="Times New Roman"/>
          <w:sz w:val="28"/>
          <w:szCs w:val="28"/>
        </w:rPr>
      </w:pPr>
      <w:r w:rsidRPr="00162978">
        <w:rPr>
          <w:rFonts w:ascii="Times New Roman" w:hAnsi="Times New Roman"/>
          <w:sz w:val="28"/>
          <w:szCs w:val="28"/>
        </w:rPr>
        <w:t>13)</w:t>
      </w:r>
      <w:r w:rsidR="00C51135" w:rsidRPr="00162978">
        <w:rPr>
          <w:rFonts w:ascii="Times New Roman" w:hAnsi="Times New Roman"/>
          <w:sz w:val="28"/>
          <w:szCs w:val="28"/>
        </w:rPr>
        <w:t xml:space="preserve"> у статті 58:</w:t>
      </w:r>
    </w:p>
    <w:p w14:paraId="3FBFAC72" w14:textId="40779CA3" w:rsidR="00C51135" w:rsidRPr="00162978" w:rsidRDefault="00C51135" w:rsidP="009E2C38">
      <w:pPr>
        <w:pStyle w:val="a3"/>
        <w:spacing w:before="0"/>
        <w:ind w:firstLine="709"/>
        <w:rPr>
          <w:rFonts w:ascii="Times New Roman" w:hAnsi="Times New Roman"/>
          <w:sz w:val="28"/>
          <w:szCs w:val="28"/>
        </w:rPr>
      </w:pPr>
    </w:p>
    <w:p w14:paraId="47C0DE39" w14:textId="60AEDB82"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 xml:space="preserve">Частину першу після пункту 11 доповнити </w:t>
      </w:r>
      <w:r w:rsidR="00562ACF">
        <w:rPr>
          <w:rFonts w:ascii="Times New Roman" w:hAnsi="Times New Roman"/>
          <w:sz w:val="28"/>
          <w:szCs w:val="28"/>
        </w:rPr>
        <w:t xml:space="preserve">новим </w:t>
      </w:r>
      <w:r w:rsidRPr="00162978">
        <w:rPr>
          <w:rFonts w:ascii="Times New Roman" w:hAnsi="Times New Roman"/>
          <w:sz w:val="28"/>
          <w:szCs w:val="28"/>
        </w:rPr>
        <w:t xml:space="preserve">пунктом 12 </w:t>
      </w:r>
      <w:r w:rsidR="00562ACF">
        <w:rPr>
          <w:rFonts w:ascii="Times New Roman" w:hAnsi="Times New Roman"/>
          <w:sz w:val="28"/>
          <w:szCs w:val="28"/>
        </w:rPr>
        <w:t>такого змісту</w:t>
      </w:r>
      <w:r w:rsidRPr="00162978">
        <w:rPr>
          <w:rFonts w:ascii="Times New Roman" w:hAnsi="Times New Roman"/>
          <w:sz w:val="28"/>
          <w:szCs w:val="28"/>
        </w:rPr>
        <w:t>:</w:t>
      </w:r>
    </w:p>
    <w:p w14:paraId="59D7C704" w14:textId="6A5452B5"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«12) брати участь на ринку допоміжних послуг за допомогою механізму агрегації відповідно до процедури, встановленої правилами ринку»;</w:t>
      </w:r>
    </w:p>
    <w:p w14:paraId="3FF5E037" w14:textId="56A77E7D" w:rsidR="00C51135" w:rsidRPr="00162978" w:rsidRDefault="00C51135" w:rsidP="009E2C38">
      <w:pPr>
        <w:pStyle w:val="a3"/>
        <w:spacing w:before="0"/>
        <w:ind w:firstLine="709"/>
        <w:rPr>
          <w:rFonts w:ascii="Times New Roman" w:hAnsi="Times New Roman"/>
          <w:sz w:val="28"/>
          <w:szCs w:val="28"/>
        </w:rPr>
      </w:pPr>
    </w:p>
    <w:p w14:paraId="72AC5973" w14:textId="1D498727"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У зв’язку з чим пункт 12 вважати пунктом 13.</w:t>
      </w:r>
    </w:p>
    <w:p w14:paraId="28D2B478" w14:textId="36621624" w:rsidR="00C51135" w:rsidRPr="00162978" w:rsidRDefault="00C51135" w:rsidP="009E2C38">
      <w:pPr>
        <w:pStyle w:val="a3"/>
        <w:spacing w:before="0"/>
        <w:ind w:firstLine="709"/>
        <w:rPr>
          <w:rFonts w:ascii="Times New Roman" w:hAnsi="Times New Roman"/>
          <w:sz w:val="28"/>
          <w:szCs w:val="28"/>
        </w:rPr>
      </w:pPr>
    </w:p>
    <w:p w14:paraId="6BF845E8" w14:textId="7A6B54AC" w:rsidR="00C51135" w:rsidRPr="00162978" w:rsidRDefault="005501AC" w:rsidP="009E2C38">
      <w:pPr>
        <w:pStyle w:val="a3"/>
        <w:spacing w:before="0"/>
        <w:ind w:firstLine="709"/>
        <w:rPr>
          <w:rFonts w:ascii="Times New Roman" w:hAnsi="Times New Roman"/>
          <w:sz w:val="28"/>
          <w:szCs w:val="28"/>
        </w:rPr>
      </w:pPr>
      <w:r w:rsidRPr="00162978">
        <w:rPr>
          <w:rFonts w:ascii="Times New Roman" w:hAnsi="Times New Roman"/>
          <w:sz w:val="28"/>
          <w:szCs w:val="28"/>
        </w:rPr>
        <w:t>п</w:t>
      </w:r>
      <w:r w:rsidR="00C51135" w:rsidRPr="00162978">
        <w:rPr>
          <w:rFonts w:ascii="Times New Roman" w:hAnsi="Times New Roman"/>
          <w:sz w:val="28"/>
          <w:szCs w:val="28"/>
        </w:rPr>
        <w:t xml:space="preserve">ісля частини третьої доповнити </w:t>
      </w:r>
      <w:r w:rsidR="00562ACF">
        <w:rPr>
          <w:rFonts w:ascii="Times New Roman" w:hAnsi="Times New Roman"/>
          <w:sz w:val="28"/>
          <w:szCs w:val="28"/>
        </w:rPr>
        <w:t xml:space="preserve">новою </w:t>
      </w:r>
      <w:r w:rsidR="00C51135" w:rsidRPr="00162978">
        <w:rPr>
          <w:rFonts w:ascii="Times New Roman" w:hAnsi="Times New Roman"/>
          <w:sz w:val="28"/>
          <w:szCs w:val="28"/>
        </w:rPr>
        <w:t xml:space="preserve">частиною четвертою </w:t>
      </w:r>
      <w:r w:rsidR="00562ACF">
        <w:rPr>
          <w:rFonts w:ascii="Times New Roman" w:hAnsi="Times New Roman"/>
          <w:sz w:val="28"/>
          <w:szCs w:val="28"/>
        </w:rPr>
        <w:t>такого змісту</w:t>
      </w:r>
      <w:r w:rsidR="00C51135" w:rsidRPr="00162978">
        <w:rPr>
          <w:rFonts w:ascii="Times New Roman" w:hAnsi="Times New Roman"/>
          <w:sz w:val="28"/>
          <w:szCs w:val="28"/>
        </w:rPr>
        <w:t>:</w:t>
      </w:r>
    </w:p>
    <w:p w14:paraId="5B17E1A4" w14:textId="0875FB19"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«4. Суб’єкт господарювання, який купує електричну енергію для зарядних станцій автомобільних транспортних засобів, та не здійснює</w:t>
      </w:r>
      <w:r w:rsidR="00DB39DC">
        <w:rPr>
          <w:rFonts w:ascii="Times New Roman" w:hAnsi="Times New Roman"/>
          <w:sz w:val="28"/>
          <w:szCs w:val="28"/>
        </w:rPr>
        <w:t xml:space="preserve"> </w:t>
      </w:r>
      <w:r w:rsidRPr="00162978">
        <w:rPr>
          <w:rFonts w:ascii="Times New Roman" w:hAnsi="Times New Roman"/>
          <w:sz w:val="28"/>
          <w:szCs w:val="28"/>
        </w:rPr>
        <w:t>в будь-який період часу відпуск електричної енергії в ОЕС України, є споживачем»;</w:t>
      </w:r>
    </w:p>
    <w:p w14:paraId="7ED8FCB7" w14:textId="6563E1AE" w:rsidR="00C51135" w:rsidRPr="00162978" w:rsidRDefault="00C51135" w:rsidP="009E2C38">
      <w:pPr>
        <w:pStyle w:val="a3"/>
        <w:spacing w:before="0"/>
        <w:ind w:firstLine="709"/>
        <w:rPr>
          <w:rFonts w:ascii="Times New Roman" w:hAnsi="Times New Roman"/>
          <w:sz w:val="28"/>
          <w:szCs w:val="28"/>
        </w:rPr>
      </w:pPr>
    </w:p>
    <w:p w14:paraId="43D5AAF3" w14:textId="3EABB575"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14) у статті 62:</w:t>
      </w:r>
    </w:p>
    <w:p w14:paraId="5C5D13D5" w14:textId="77777777" w:rsidR="00C51135" w:rsidRPr="00162978" w:rsidRDefault="00C51135" w:rsidP="009E2C38">
      <w:pPr>
        <w:pStyle w:val="a3"/>
        <w:spacing w:before="0"/>
        <w:ind w:firstLine="709"/>
        <w:rPr>
          <w:rFonts w:ascii="Times New Roman" w:hAnsi="Times New Roman"/>
          <w:sz w:val="28"/>
          <w:szCs w:val="28"/>
        </w:rPr>
      </w:pPr>
    </w:p>
    <w:p w14:paraId="6E7B7AAC" w14:textId="69B293A5"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пункт 4 частини другої викласти в такій редакції:</w:t>
      </w:r>
    </w:p>
    <w:p w14:paraId="02D6FE15" w14:textId="33DF7BAD" w:rsidR="00C51135" w:rsidRPr="00162978" w:rsidRDefault="00C51135" w:rsidP="009E2C38">
      <w:pPr>
        <w:pStyle w:val="a3"/>
        <w:spacing w:before="0"/>
        <w:ind w:firstLine="709"/>
        <w:rPr>
          <w:rFonts w:ascii="Times New Roman" w:hAnsi="Times New Roman"/>
          <w:sz w:val="28"/>
          <w:szCs w:val="28"/>
        </w:rPr>
      </w:pPr>
      <w:r w:rsidRPr="00162978">
        <w:rPr>
          <w:rFonts w:ascii="Times New Roman" w:hAnsi="Times New Roman"/>
          <w:sz w:val="28"/>
          <w:szCs w:val="28"/>
        </w:rPr>
        <w:t>«4) надання послуг із забезпечення достатності потужності»;</w:t>
      </w:r>
    </w:p>
    <w:p w14:paraId="62A72AF8" w14:textId="77777777" w:rsidR="009E2C38" w:rsidRPr="00162978" w:rsidRDefault="009E2C38" w:rsidP="009E2C38">
      <w:pPr>
        <w:pStyle w:val="a3"/>
        <w:spacing w:before="0"/>
        <w:ind w:firstLine="709"/>
        <w:rPr>
          <w:rFonts w:ascii="Times New Roman" w:hAnsi="Times New Roman"/>
          <w:sz w:val="28"/>
          <w:szCs w:val="28"/>
        </w:rPr>
      </w:pPr>
    </w:p>
    <w:p w14:paraId="6F4ABDE1" w14:textId="03E5D4F3" w:rsidR="007A1B7C"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пі</w:t>
      </w:r>
      <w:r w:rsidR="00562ACF">
        <w:rPr>
          <w:rFonts w:ascii="Times New Roman" w:hAnsi="Times New Roman"/>
          <w:sz w:val="28"/>
          <w:szCs w:val="28"/>
        </w:rPr>
        <w:t>с</w:t>
      </w:r>
      <w:r w:rsidRPr="00162978">
        <w:rPr>
          <w:rFonts w:ascii="Times New Roman" w:hAnsi="Times New Roman"/>
          <w:sz w:val="28"/>
          <w:szCs w:val="28"/>
        </w:rPr>
        <w:t xml:space="preserve">ля абзацу сьомого частини другої доповнити </w:t>
      </w:r>
      <w:r w:rsidR="00562ACF">
        <w:rPr>
          <w:rFonts w:ascii="Times New Roman" w:hAnsi="Times New Roman"/>
          <w:sz w:val="28"/>
          <w:szCs w:val="28"/>
        </w:rPr>
        <w:t xml:space="preserve">новим </w:t>
      </w:r>
      <w:r w:rsidRPr="00162978">
        <w:rPr>
          <w:rFonts w:ascii="Times New Roman" w:hAnsi="Times New Roman"/>
          <w:sz w:val="28"/>
          <w:szCs w:val="28"/>
        </w:rPr>
        <w:t xml:space="preserve">абзацом </w:t>
      </w:r>
      <w:r w:rsidR="00562ACF">
        <w:rPr>
          <w:rFonts w:ascii="Times New Roman" w:hAnsi="Times New Roman"/>
          <w:sz w:val="28"/>
          <w:szCs w:val="28"/>
        </w:rPr>
        <w:t>такого змісту</w:t>
      </w:r>
      <w:r w:rsidRPr="00162978">
        <w:rPr>
          <w:rFonts w:ascii="Times New Roman" w:hAnsi="Times New Roman"/>
          <w:sz w:val="28"/>
          <w:szCs w:val="28"/>
        </w:rPr>
        <w:t>:</w:t>
      </w:r>
    </w:p>
    <w:p w14:paraId="4B530D7E" w14:textId="627A9954"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«Спеціальні обов'язки</w:t>
      </w:r>
      <w:r w:rsidR="00DB39DC">
        <w:rPr>
          <w:rFonts w:ascii="Times New Roman" w:hAnsi="Times New Roman"/>
          <w:sz w:val="28"/>
          <w:szCs w:val="28"/>
        </w:rPr>
        <w:t xml:space="preserve"> </w:t>
      </w:r>
      <w:r w:rsidRPr="00162978">
        <w:rPr>
          <w:rFonts w:ascii="Times New Roman" w:hAnsi="Times New Roman"/>
          <w:sz w:val="28"/>
          <w:szCs w:val="28"/>
        </w:rPr>
        <w:t>із забезпечення достатності потужності покладаються на оператора системи передачі»;</w:t>
      </w:r>
    </w:p>
    <w:p w14:paraId="2847858F" w14:textId="5ADB8502" w:rsidR="00C51135" w:rsidRPr="00162978" w:rsidRDefault="00C51135" w:rsidP="007A1B7C">
      <w:pPr>
        <w:pStyle w:val="a3"/>
        <w:spacing w:before="0"/>
        <w:ind w:firstLine="709"/>
        <w:rPr>
          <w:rFonts w:ascii="Times New Roman" w:hAnsi="Times New Roman"/>
          <w:sz w:val="28"/>
          <w:szCs w:val="28"/>
        </w:rPr>
      </w:pPr>
    </w:p>
    <w:p w14:paraId="328A7133" w14:textId="2FE7B38B"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15) частину першу статті 66 після слів «гарантований покупець» доповнити словами «</w:t>
      </w:r>
      <w:r w:rsidR="00562ACF">
        <w:rPr>
          <w:rFonts w:ascii="Times New Roman" w:hAnsi="Times New Roman"/>
          <w:sz w:val="28"/>
          <w:szCs w:val="28"/>
        </w:rPr>
        <w:t xml:space="preserve">, </w:t>
      </w:r>
      <w:r w:rsidRPr="00162978">
        <w:rPr>
          <w:rFonts w:ascii="Times New Roman" w:hAnsi="Times New Roman"/>
          <w:sz w:val="28"/>
          <w:szCs w:val="28"/>
        </w:rPr>
        <w:t>оператори накопичувачів енергії»;</w:t>
      </w:r>
    </w:p>
    <w:p w14:paraId="4D773482" w14:textId="77777777" w:rsidR="00C51135" w:rsidRPr="00162978" w:rsidRDefault="00C51135" w:rsidP="007A1B7C">
      <w:pPr>
        <w:pStyle w:val="a3"/>
        <w:spacing w:before="0"/>
        <w:ind w:firstLine="709"/>
        <w:rPr>
          <w:rFonts w:ascii="Times New Roman" w:hAnsi="Times New Roman"/>
          <w:sz w:val="28"/>
          <w:szCs w:val="28"/>
        </w:rPr>
      </w:pPr>
    </w:p>
    <w:p w14:paraId="4F7D50D6" w14:textId="7EAC63E2"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16) перший абзац частини другої статті 68 викласти в такій редакції:</w:t>
      </w:r>
    </w:p>
    <w:p w14:paraId="3680C63F" w14:textId="19196C6F"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«2. Виробники та оператори накопичувачів енергії зобов’язані надавати послуги з балансування у випадках та порядку, визначених цим Законом та правилами ринку. Надавати послуги з балансування мають право також споживачі у порядку, визначеному правилами ринку»;</w:t>
      </w:r>
    </w:p>
    <w:p w14:paraId="1537CF53" w14:textId="77777777" w:rsidR="00C51135" w:rsidRPr="00162978" w:rsidRDefault="00C51135" w:rsidP="007A1B7C">
      <w:pPr>
        <w:pStyle w:val="a3"/>
        <w:spacing w:before="0"/>
        <w:ind w:firstLine="709"/>
        <w:rPr>
          <w:rFonts w:ascii="Times New Roman" w:hAnsi="Times New Roman"/>
          <w:sz w:val="28"/>
          <w:szCs w:val="28"/>
        </w:rPr>
      </w:pPr>
    </w:p>
    <w:p w14:paraId="7D682543" w14:textId="66DFB449" w:rsidR="007A1B7C"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 xml:space="preserve">17) </w:t>
      </w:r>
      <w:r w:rsidR="00562ACF">
        <w:rPr>
          <w:rFonts w:ascii="Times New Roman" w:hAnsi="Times New Roman"/>
          <w:sz w:val="28"/>
          <w:szCs w:val="28"/>
        </w:rPr>
        <w:t>а</w:t>
      </w:r>
      <w:r w:rsidRPr="00162978">
        <w:rPr>
          <w:rFonts w:ascii="Times New Roman" w:hAnsi="Times New Roman"/>
          <w:sz w:val="28"/>
          <w:szCs w:val="28"/>
        </w:rPr>
        <w:t>бзац другий частини шостої статті 69 викласти в такій редакції:</w:t>
      </w:r>
    </w:p>
    <w:p w14:paraId="1D05449A" w14:textId="7747B9D3"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«Виробники та оператори накопичувачів енергії зобов’язані брати участь у ринку допоміжних послуг та надавати допоміжні послуги у випадках та порядку, визначених цим Законом та правилами ринку»;</w:t>
      </w:r>
    </w:p>
    <w:p w14:paraId="15B0D79B" w14:textId="3C4C03D7" w:rsidR="00C51135" w:rsidRPr="00162978" w:rsidRDefault="00C51135" w:rsidP="007A1B7C">
      <w:pPr>
        <w:pStyle w:val="a3"/>
        <w:spacing w:before="0"/>
        <w:ind w:firstLine="709"/>
        <w:rPr>
          <w:rFonts w:ascii="Times New Roman" w:hAnsi="Times New Roman"/>
          <w:sz w:val="28"/>
          <w:szCs w:val="28"/>
        </w:rPr>
      </w:pPr>
    </w:p>
    <w:p w14:paraId="4B3C213A" w14:textId="4BF18DE8"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18) статтю 71 після частини шосто</w:t>
      </w:r>
      <w:r w:rsidR="00562ACF">
        <w:rPr>
          <w:rFonts w:ascii="Times New Roman" w:hAnsi="Times New Roman"/>
          <w:sz w:val="28"/>
          <w:szCs w:val="28"/>
        </w:rPr>
        <w:t>ї</w:t>
      </w:r>
      <w:r w:rsidRPr="00162978">
        <w:rPr>
          <w:rFonts w:ascii="Times New Roman" w:hAnsi="Times New Roman"/>
          <w:sz w:val="28"/>
          <w:szCs w:val="28"/>
        </w:rPr>
        <w:t xml:space="preserve"> доповнити частинами </w:t>
      </w:r>
      <w:r w:rsidR="00562ACF">
        <w:rPr>
          <w:rFonts w:ascii="Times New Roman" w:hAnsi="Times New Roman"/>
          <w:sz w:val="28"/>
          <w:szCs w:val="28"/>
        </w:rPr>
        <w:t>сьомою-дев’ятою такого змісту</w:t>
      </w:r>
      <w:r w:rsidRPr="00162978">
        <w:rPr>
          <w:rFonts w:ascii="Times New Roman" w:hAnsi="Times New Roman"/>
          <w:sz w:val="28"/>
          <w:szCs w:val="28"/>
        </w:rPr>
        <w:t>:</w:t>
      </w:r>
    </w:p>
    <w:p w14:paraId="326346A1" w14:textId="77777777" w:rsidR="00C51135" w:rsidRPr="00162978" w:rsidRDefault="00C51135" w:rsidP="00C51135">
      <w:pPr>
        <w:pStyle w:val="a3"/>
        <w:ind w:firstLine="709"/>
        <w:rPr>
          <w:rFonts w:ascii="Times New Roman" w:hAnsi="Times New Roman"/>
          <w:sz w:val="28"/>
          <w:szCs w:val="28"/>
        </w:rPr>
      </w:pPr>
      <w:r w:rsidRPr="00162978">
        <w:rPr>
          <w:rFonts w:ascii="Times New Roman" w:hAnsi="Times New Roman"/>
          <w:sz w:val="28"/>
          <w:szCs w:val="28"/>
        </w:rPr>
        <w:t>«7. Виробникам електричної енергії, яким встановлено "зелений" тариф або які за результатами аукціону набули право на підтримку, дозволяється використовувати накопичувачі енергії для накопичення електричної енергії, виробленої на власних електроустановках, без отримання ліцензії на провадження господарської діяльності з накопичення енергії, якщо, в будь-який момент у часі потужність, з якою здійснюється відпуск електричної енергії, не перевищує встановлену потужність електроустановок такого виробника відповідно до ліцензії на провадження господарської діяльності з виробництва електричної енергії.</w:t>
      </w:r>
    </w:p>
    <w:p w14:paraId="259952E6" w14:textId="3AFD8E61" w:rsidR="00C51135" w:rsidRPr="00162978" w:rsidRDefault="00C51135" w:rsidP="00C51135">
      <w:pPr>
        <w:pStyle w:val="a3"/>
        <w:ind w:firstLine="709"/>
        <w:rPr>
          <w:rFonts w:ascii="Times New Roman" w:hAnsi="Times New Roman"/>
          <w:sz w:val="28"/>
          <w:szCs w:val="28"/>
        </w:rPr>
      </w:pPr>
      <w:r w:rsidRPr="00162978">
        <w:rPr>
          <w:rFonts w:ascii="Times New Roman" w:hAnsi="Times New Roman"/>
          <w:sz w:val="28"/>
          <w:szCs w:val="28"/>
        </w:rPr>
        <w:t xml:space="preserve">8. Встановлення накопичувачів енергії виробниками електричної енергії, яким встановлено "зелений" тариф або які за результатами аукціону отримали право на підтримку, не є підставою для перегляду встановленого "зеленого" </w:t>
      </w:r>
      <w:r w:rsidRPr="00162978">
        <w:rPr>
          <w:rFonts w:ascii="Times New Roman" w:hAnsi="Times New Roman"/>
          <w:sz w:val="28"/>
          <w:szCs w:val="28"/>
        </w:rPr>
        <w:lastRenderedPageBreak/>
        <w:t>тарифу або аукціонної ціни,</w:t>
      </w:r>
      <w:r w:rsidR="00DB39DC">
        <w:rPr>
          <w:rFonts w:ascii="Times New Roman" w:hAnsi="Times New Roman"/>
          <w:sz w:val="28"/>
          <w:szCs w:val="28"/>
        </w:rPr>
        <w:t xml:space="preserve"> </w:t>
      </w:r>
      <w:r w:rsidRPr="00162978">
        <w:rPr>
          <w:rFonts w:ascii="Times New Roman" w:hAnsi="Times New Roman"/>
          <w:sz w:val="28"/>
          <w:szCs w:val="28"/>
        </w:rPr>
        <w:t>якщо виконуються всі умови, визначені частиною 7 цієї статті.</w:t>
      </w:r>
    </w:p>
    <w:p w14:paraId="09AE63C1" w14:textId="6A0B8544" w:rsidR="00C51135" w:rsidRPr="00162978" w:rsidRDefault="00C51135" w:rsidP="00C51135">
      <w:pPr>
        <w:pStyle w:val="a3"/>
        <w:spacing w:before="0"/>
        <w:ind w:firstLine="709"/>
        <w:rPr>
          <w:rFonts w:ascii="Times New Roman" w:hAnsi="Times New Roman"/>
          <w:sz w:val="28"/>
          <w:szCs w:val="28"/>
        </w:rPr>
      </w:pPr>
      <w:r w:rsidRPr="00162978">
        <w:rPr>
          <w:rFonts w:ascii="Times New Roman" w:hAnsi="Times New Roman"/>
          <w:sz w:val="28"/>
          <w:szCs w:val="28"/>
        </w:rPr>
        <w:t xml:space="preserve">9. Виробники електричної енергії, яким встановлено "зелений" тариф або які за результатами аукціону набули право на підтримку, повинні забезпечити окремий облік електричної енергії, перетікання якої здійснено </w:t>
      </w:r>
      <w:r w:rsidR="009F2534" w:rsidRPr="009F2534">
        <w:rPr>
          <w:rFonts w:ascii="Times New Roman" w:hAnsi="Times New Roman"/>
          <w:sz w:val="28"/>
          <w:szCs w:val="28"/>
        </w:rPr>
        <w:t>до та з накопичувача енергії</w:t>
      </w:r>
      <w:r w:rsidRPr="00162978">
        <w:rPr>
          <w:rFonts w:ascii="Times New Roman" w:hAnsi="Times New Roman"/>
          <w:sz w:val="28"/>
          <w:szCs w:val="28"/>
        </w:rPr>
        <w:t>, з відповідною фіксацією даних»;</w:t>
      </w:r>
    </w:p>
    <w:p w14:paraId="3CF78713" w14:textId="7F05B5B8" w:rsidR="00C51135" w:rsidRPr="00162978" w:rsidRDefault="00C51135" w:rsidP="00C51135">
      <w:pPr>
        <w:pStyle w:val="a3"/>
        <w:spacing w:before="0"/>
        <w:ind w:firstLine="709"/>
        <w:rPr>
          <w:rFonts w:ascii="Times New Roman" w:hAnsi="Times New Roman"/>
          <w:sz w:val="28"/>
          <w:szCs w:val="28"/>
        </w:rPr>
      </w:pPr>
    </w:p>
    <w:p w14:paraId="441B71D4" w14:textId="0CDDDA58" w:rsidR="00C51135" w:rsidRPr="00162978" w:rsidRDefault="00C51135" w:rsidP="007A1B7C">
      <w:pPr>
        <w:pStyle w:val="a3"/>
        <w:spacing w:before="0"/>
        <w:ind w:firstLine="709"/>
        <w:rPr>
          <w:rFonts w:ascii="Times New Roman" w:hAnsi="Times New Roman"/>
          <w:sz w:val="28"/>
          <w:szCs w:val="28"/>
        </w:rPr>
      </w:pPr>
      <w:r w:rsidRPr="00162978">
        <w:rPr>
          <w:rFonts w:ascii="Times New Roman" w:hAnsi="Times New Roman"/>
          <w:sz w:val="28"/>
          <w:szCs w:val="28"/>
        </w:rPr>
        <w:t xml:space="preserve">2. У </w:t>
      </w:r>
      <w:r w:rsidR="005501AC" w:rsidRPr="00162978">
        <w:rPr>
          <w:rFonts w:ascii="Times New Roman" w:hAnsi="Times New Roman"/>
          <w:sz w:val="28"/>
          <w:szCs w:val="28"/>
        </w:rPr>
        <w:t xml:space="preserve">статті 2 </w:t>
      </w:r>
      <w:r w:rsidRPr="00162978">
        <w:rPr>
          <w:rFonts w:ascii="Times New Roman" w:hAnsi="Times New Roman"/>
          <w:sz w:val="28"/>
          <w:szCs w:val="28"/>
        </w:rPr>
        <w:t>Закон</w:t>
      </w:r>
      <w:r w:rsidR="005501AC" w:rsidRPr="00162978">
        <w:rPr>
          <w:rFonts w:ascii="Times New Roman" w:hAnsi="Times New Roman"/>
          <w:sz w:val="28"/>
          <w:szCs w:val="28"/>
        </w:rPr>
        <w:t>у</w:t>
      </w:r>
      <w:r w:rsidRPr="00162978">
        <w:rPr>
          <w:rFonts w:ascii="Times New Roman" w:hAnsi="Times New Roman"/>
          <w:sz w:val="28"/>
          <w:szCs w:val="28"/>
        </w:rPr>
        <w:t xml:space="preserve"> України «Про Національну комісію, що здійснює державне регулювання у сферах енергетики та комунальних послуг» (Відомості Верховної Ради (ВВР), 2016, № 51, ст.833)</w:t>
      </w:r>
      <w:r w:rsidR="005501AC" w:rsidRPr="00162978">
        <w:rPr>
          <w:rFonts w:ascii="Times New Roman" w:hAnsi="Times New Roman"/>
          <w:sz w:val="28"/>
          <w:szCs w:val="28"/>
        </w:rPr>
        <w:t xml:space="preserve"> абзац другий пункту 1 частини першої після слів «діяльності з» доповнити словами «накопичення енергії</w:t>
      </w:r>
      <w:r w:rsidR="00562ACF">
        <w:rPr>
          <w:rFonts w:ascii="Times New Roman" w:hAnsi="Times New Roman"/>
          <w:sz w:val="28"/>
          <w:szCs w:val="28"/>
        </w:rPr>
        <w:t>,</w:t>
      </w:r>
      <w:r w:rsidR="005501AC" w:rsidRPr="00162978">
        <w:rPr>
          <w:rFonts w:ascii="Times New Roman" w:hAnsi="Times New Roman"/>
          <w:sz w:val="28"/>
          <w:szCs w:val="28"/>
        </w:rPr>
        <w:t>».</w:t>
      </w:r>
    </w:p>
    <w:p w14:paraId="2711883D" w14:textId="66A44EEB" w:rsidR="00C51135" w:rsidRPr="00162978" w:rsidRDefault="00C51135" w:rsidP="007A1B7C">
      <w:pPr>
        <w:pStyle w:val="a3"/>
        <w:spacing w:before="0"/>
        <w:ind w:firstLine="709"/>
        <w:rPr>
          <w:rFonts w:ascii="Times New Roman" w:hAnsi="Times New Roman"/>
          <w:sz w:val="28"/>
          <w:szCs w:val="28"/>
        </w:rPr>
      </w:pPr>
    </w:p>
    <w:p w14:paraId="4B447398" w14:textId="77777777" w:rsidR="00040A50" w:rsidRPr="00162978" w:rsidRDefault="00267B32">
      <w:pPr>
        <w:pStyle w:val="a3"/>
        <w:spacing w:after="120"/>
        <w:ind w:firstLine="709"/>
        <w:rPr>
          <w:rFonts w:ascii="Times New Roman" w:hAnsi="Times New Roman"/>
          <w:sz w:val="28"/>
          <w:szCs w:val="28"/>
        </w:rPr>
      </w:pPr>
      <w:r w:rsidRPr="00162978">
        <w:rPr>
          <w:rFonts w:ascii="Times New Roman" w:hAnsi="Times New Roman"/>
          <w:sz w:val="28"/>
          <w:szCs w:val="28"/>
        </w:rPr>
        <w:t>ІІ.</w:t>
      </w:r>
      <w:r w:rsidRPr="00162978">
        <w:rPr>
          <w:rFonts w:ascii="Times New Roman" w:hAnsi="Times New Roman"/>
          <w:sz w:val="28"/>
          <w:szCs w:val="28"/>
        </w:rPr>
        <w:tab/>
        <w:t>Цей Закон набирає чинності з дня його опублікування.</w:t>
      </w:r>
    </w:p>
    <w:p w14:paraId="1C136091" w14:textId="77777777" w:rsidR="00040A50" w:rsidRPr="00162978" w:rsidRDefault="00040A50">
      <w:pPr>
        <w:pStyle w:val="a3"/>
        <w:spacing w:before="0" w:after="120"/>
        <w:rPr>
          <w:rFonts w:ascii="Times New Roman" w:hAnsi="Times New Roman"/>
          <w:sz w:val="28"/>
          <w:szCs w:val="28"/>
        </w:rPr>
      </w:pPr>
    </w:p>
    <w:p w14:paraId="6BEF604F" w14:textId="77777777" w:rsidR="00562ACF" w:rsidRPr="00E65641" w:rsidRDefault="00562ACF" w:rsidP="00562ACF">
      <w:pPr>
        <w:spacing w:line="276" w:lineRule="auto"/>
        <w:jc w:val="both"/>
        <w:rPr>
          <w:rFonts w:ascii="Times New Roman" w:hAnsi="Times New Roman"/>
          <w:b/>
          <w:bCs/>
          <w:sz w:val="28"/>
          <w:szCs w:val="28"/>
          <w:lang w:eastAsia="en-US" w:bidi="en-US"/>
        </w:rPr>
      </w:pPr>
      <w:r w:rsidRPr="00E65641">
        <w:rPr>
          <w:rFonts w:ascii="Times New Roman" w:hAnsi="Times New Roman"/>
          <w:b/>
          <w:bCs/>
          <w:sz w:val="28"/>
          <w:szCs w:val="28"/>
          <w:lang w:eastAsia="en-US" w:bidi="en-US"/>
        </w:rPr>
        <w:t xml:space="preserve">             Голова </w:t>
      </w:r>
    </w:p>
    <w:p w14:paraId="3E20AE76" w14:textId="3F461AEA" w:rsidR="00162978" w:rsidRPr="00162978" w:rsidRDefault="00562ACF" w:rsidP="00562ACF">
      <w:pPr>
        <w:spacing w:line="276" w:lineRule="auto"/>
        <w:jc w:val="both"/>
        <w:rPr>
          <w:rFonts w:ascii="Times New Roman" w:hAnsi="Times New Roman"/>
          <w:b/>
          <w:bCs/>
          <w:sz w:val="28"/>
          <w:szCs w:val="28"/>
          <w:lang w:eastAsia="en-US" w:bidi="en-US"/>
        </w:rPr>
      </w:pPr>
      <w:r w:rsidRPr="00E65641">
        <w:rPr>
          <w:rFonts w:ascii="Times New Roman" w:hAnsi="Times New Roman"/>
          <w:b/>
          <w:bCs/>
          <w:sz w:val="28"/>
          <w:szCs w:val="28"/>
          <w:lang w:eastAsia="en-US" w:bidi="en-US"/>
        </w:rPr>
        <w:t>Верховної Ради України</w:t>
      </w:r>
    </w:p>
    <w:sectPr w:rsidR="00162978" w:rsidRPr="00162978" w:rsidSect="00084594">
      <w:headerReference w:type="default" r:id="rId10"/>
      <w:pgSz w:w="11906" w:h="16838"/>
      <w:pgMar w:top="850" w:right="850" w:bottom="850"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8859" w14:textId="77777777" w:rsidR="003E6C9B" w:rsidRDefault="003E6C9B">
      <w:r>
        <w:separator/>
      </w:r>
    </w:p>
  </w:endnote>
  <w:endnote w:type="continuationSeparator" w:id="0">
    <w:p w14:paraId="56651D00" w14:textId="77777777" w:rsidR="003E6C9B" w:rsidRDefault="003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Segoe UI">
    <w:altName w:val="Century Gothic"/>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7D52" w14:textId="77777777" w:rsidR="003E6C9B" w:rsidRDefault="003E6C9B">
      <w:r>
        <w:separator/>
      </w:r>
    </w:p>
  </w:footnote>
  <w:footnote w:type="continuationSeparator" w:id="0">
    <w:p w14:paraId="1261F369" w14:textId="77777777" w:rsidR="003E6C9B" w:rsidRDefault="003E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5726"/>
      <w:docPartObj>
        <w:docPartGallery w:val="Page Numbers (Top of Page)"/>
        <w:docPartUnique/>
      </w:docPartObj>
    </w:sdtPr>
    <w:sdtEndPr/>
    <w:sdtContent>
      <w:p w14:paraId="185676B6" w14:textId="56F4FBDF" w:rsidR="00084594" w:rsidRDefault="00084594">
        <w:pPr>
          <w:pStyle w:val="aa"/>
          <w:jc w:val="center"/>
        </w:pPr>
        <w:r>
          <w:fldChar w:fldCharType="begin"/>
        </w:r>
        <w:r>
          <w:instrText>PAGE   \* MERGEFORMAT</w:instrText>
        </w:r>
        <w:r>
          <w:fldChar w:fldCharType="separate"/>
        </w:r>
        <w:r w:rsidR="00255822" w:rsidRPr="00255822">
          <w:rPr>
            <w:noProof/>
            <w:lang w:val="ru-RU"/>
          </w:rPr>
          <w:t>11</w:t>
        </w:r>
        <w:r>
          <w:fldChar w:fldCharType="end"/>
        </w:r>
      </w:p>
    </w:sdtContent>
  </w:sdt>
  <w:p w14:paraId="4A46478D" w14:textId="77777777" w:rsidR="00084594" w:rsidRDefault="0008459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2815"/>
    <w:multiLevelType w:val="hybridMultilevel"/>
    <w:tmpl w:val="15C0DC08"/>
    <w:lvl w:ilvl="0" w:tplc="1FC646D6">
      <w:start w:val="2"/>
      <w:numFmt w:val="decimal"/>
      <w:lvlText w:val="%1)"/>
      <w:lvlJc w:val="left"/>
      <w:pPr>
        <w:ind w:left="720" w:hanging="360"/>
      </w:pPr>
      <w:rPr>
        <w:rFonts w:asciiTheme="minorHAnsi"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C15294E"/>
    <w:multiLevelType w:val="hybridMultilevel"/>
    <w:tmpl w:val="D08E6CC6"/>
    <w:lvl w:ilvl="0" w:tplc="4E40787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81229CD"/>
    <w:multiLevelType w:val="hybridMultilevel"/>
    <w:tmpl w:val="1CC874C8"/>
    <w:lvl w:ilvl="0" w:tplc="5888CFF2">
      <w:start w:val="4"/>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5A604FF3"/>
    <w:multiLevelType w:val="hybridMultilevel"/>
    <w:tmpl w:val="D08E6CC6"/>
    <w:lvl w:ilvl="0" w:tplc="4E40787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2773FF0"/>
    <w:multiLevelType w:val="hybridMultilevel"/>
    <w:tmpl w:val="5FFCCC62"/>
    <w:lvl w:ilvl="0" w:tplc="53E25B7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690539BB"/>
    <w:multiLevelType w:val="hybridMultilevel"/>
    <w:tmpl w:val="7EA28CF8"/>
    <w:lvl w:ilvl="0" w:tplc="2880179E">
      <w:start w:val="4"/>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6DC26CA9"/>
    <w:multiLevelType w:val="hybridMultilevel"/>
    <w:tmpl w:val="674EB4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50"/>
    <w:rsid w:val="00040A50"/>
    <w:rsid w:val="000718D8"/>
    <w:rsid w:val="0007281D"/>
    <w:rsid w:val="00084594"/>
    <w:rsid w:val="000867F7"/>
    <w:rsid w:val="00162221"/>
    <w:rsid w:val="00162978"/>
    <w:rsid w:val="002341BC"/>
    <w:rsid w:val="00255822"/>
    <w:rsid w:val="00267B32"/>
    <w:rsid w:val="003E6C9B"/>
    <w:rsid w:val="004433AD"/>
    <w:rsid w:val="00472628"/>
    <w:rsid w:val="004D7F06"/>
    <w:rsid w:val="005501AC"/>
    <w:rsid w:val="00551E84"/>
    <w:rsid w:val="00562ACF"/>
    <w:rsid w:val="00580790"/>
    <w:rsid w:val="005E7B5D"/>
    <w:rsid w:val="00627DFB"/>
    <w:rsid w:val="007359D4"/>
    <w:rsid w:val="007A1B7C"/>
    <w:rsid w:val="009655B6"/>
    <w:rsid w:val="009E2C38"/>
    <w:rsid w:val="009F2534"/>
    <w:rsid w:val="009F30A5"/>
    <w:rsid w:val="00A52B54"/>
    <w:rsid w:val="00A71794"/>
    <w:rsid w:val="00AA6F12"/>
    <w:rsid w:val="00B130C5"/>
    <w:rsid w:val="00B32ACB"/>
    <w:rsid w:val="00B46918"/>
    <w:rsid w:val="00C51135"/>
    <w:rsid w:val="00C90D00"/>
    <w:rsid w:val="00CA45CD"/>
    <w:rsid w:val="00D14A03"/>
    <w:rsid w:val="00DA15D1"/>
    <w:rsid w:val="00DB39DC"/>
    <w:rsid w:val="00E40194"/>
    <w:rsid w:val="00E41DA7"/>
    <w:rsid w:val="00E4361C"/>
    <w:rsid w:val="00EF3467"/>
    <w:rsid w:val="00F124C5"/>
    <w:rsid w:val="00FF5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534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pPr>
      <w:spacing w:before="120"/>
      <w:ind w:firstLine="567"/>
      <w:jc w:val="both"/>
    </w:pPr>
  </w:style>
  <w:style w:type="paragraph" w:customStyle="1" w:styleId="a4">
    <w:name w:val="Установа"/>
    <w:basedOn w:val="a"/>
    <w:uiPriority w:val="99"/>
    <w:pPr>
      <w:keepNext/>
      <w:keepLines/>
      <w:spacing w:before="120"/>
      <w:jc w:val="center"/>
    </w:pPr>
    <w:rPr>
      <w:b/>
      <w:i/>
      <w:caps/>
      <w:sz w:val="48"/>
    </w:rPr>
  </w:style>
  <w:style w:type="paragraph" w:customStyle="1" w:styleId="a5">
    <w:name w:val="Вид документа"/>
    <w:basedOn w:val="a4"/>
    <w:next w:val="a"/>
    <w:uiPriority w:val="99"/>
    <w:pPr>
      <w:spacing w:before="0" w:after="240"/>
      <w:jc w:val="right"/>
    </w:pPr>
    <w:rPr>
      <w:b w:val="0"/>
      <w:i w:val="0"/>
      <w:caps w:val="0"/>
      <w:spacing w:val="20"/>
      <w:sz w:val="26"/>
    </w:rPr>
  </w:style>
  <w:style w:type="paragraph" w:styleId="a6">
    <w:name w:val="Normal (Web)"/>
    <w:basedOn w:val="a"/>
    <w:uiPriority w:val="99"/>
    <w:semiHidden/>
    <w:unhideWhenUsed/>
    <w:rPr>
      <w:rFonts w:ascii="Times New Roman" w:hAnsi="Times New Roman"/>
      <w:sz w:val="24"/>
      <w:szCs w:val="24"/>
    </w:rPr>
  </w:style>
  <w:style w:type="character" w:styleId="a7">
    <w:name w:val="Hyperlink"/>
    <w:basedOn w:val="a0"/>
    <w:uiPriority w:val="99"/>
    <w:unhideWhenUsed/>
    <w:rPr>
      <w:rFonts w:cs="Times New Roman"/>
      <w:color w:val="0000FF" w:themeColor="hyperlink"/>
      <w:u w:val="single"/>
    </w:rPr>
  </w:style>
  <w:style w:type="paragraph" w:customStyle="1" w:styleId="rvps2">
    <w:name w:val="rvps2"/>
    <w:basedOn w:val="a"/>
    <w:pPr>
      <w:spacing w:before="100" w:beforeAutospacing="1" w:after="100" w:afterAutospacing="1"/>
    </w:pPr>
    <w:rPr>
      <w:rFonts w:ascii="Times New Roman" w:hAnsi="Times New Roman"/>
      <w:sz w:val="24"/>
      <w:szCs w:val="24"/>
      <w:lang w:eastAsia="uk-UA"/>
    </w:rPr>
  </w:style>
  <w:style w:type="paragraph" w:styleId="a8">
    <w:name w:val="List Paragraph"/>
    <w:basedOn w:val="a"/>
    <w:link w:val="a9"/>
    <w:uiPriority w:val="34"/>
    <w:qFormat/>
    <w:pPr>
      <w:spacing w:after="160" w:line="259" w:lineRule="auto"/>
      <w:ind w:left="720"/>
      <w:contextualSpacing/>
    </w:pPr>
    <w:rPr>
      <w:rFonts w:asciiTheme="minorHAnsi" w:hAnsiTheme="minorHAnsi"/>
      <w:sz w:val="22"/>
      <w:szCs w:val="22"/>
      <w:lang w:eastAsia="en-US"/>
    </w:rPr>
  </w:style>
  <w:style w:type="paragraph" w:styleId="aa">
    <w:name w:val="header"/>
    <w:basedOn w:val="a"/>
    <w:link w:val="ab"/>
    <w:uiPriority w:val="99"/>
    <w:unhideWhenUsed/>
    <w:pPr>
      <w:tabs>
        <w:tab w:val="center" w:pos="4819"/>
        <w:tab w:val="right" w:pos="9639"/>
      </w:tabs>
    </w:pPr>
  </w:style>
  <w:style w:type="paragraph" w:styleId="ac">
    <w:name w:val="footer"/>
    <w:basedOn w:val="a"/>
    <w:link w:val="ad"/>
    <w:uiPriority w:val="99"/>
    <w:unhideWhenUsed/>
    <w:pPr>
      <w:tabs>
        <w:tab w:val="center" w:pos="4819"/>
        <w:tab w:val="right" w:pos="9639"/>
      </w:tabs>
    </w:pPr>
  </w:style>
  <w:style w:type="character" w:customStyle="1" w:styleId="ab">
    <w:name w:val="Верхній колонтитул Знак"/>
    <w:basedOn w:val="a0"/>
    <w:link w:val="aa"/>
    <w:uiPriority w:val="99"/>
    <w:locked/>
    <w:rPr>
      <w:rFonts w:ascii="Antiqua" w:hAnsi="Antiqua" w:cs="Times New Roman"/>
      <w:sz w:val="20"/>
      <w:szCs w:val="20"/>
      <w:lang w:val="x-none" w:eastAsia="ru-RU"/>
    </w:rPr>
  </w:style>
  <w:style w:type="paragraph" w:styleId="ae">
    <w:name w:val="Balloon Text"/>
    <w:basedOn w:val="a"/>
    <w:link w:val="af"/>
    <w:uiPriority w:val="99"/>
    <w:semiHidden/>
    <w:unhideWhenUsed/>
    <w:rPr>
      <w:rFonts w:ascii="Segoe UI" w:hAnsi="Segoe UI" w:cs="Segoe UI"/>
      <w:sz w:val="18"/>
      <w:szCs w:val="18"/>
    </w:rPr>
  </w:style>
  <w:style w:type="character" w:customStyle="1" w:styleId="ad">
    <w:name w:val="Нижній колонтитул Знак"/>
    <w:basedOn w:val="a0"/>
    <w:link w:val="ac"/>
    <w:uiPriority w:val="99"/>
    <w:locked/>
    <w:rPr>
      <w:rFonts w:ascii="Antiqua" w:hAnsi="Antiqua" w:cs="Times New Roman"/>
      <w:sz w:val="20"/>
      <w:szCs w:val="20"/>
      <w:lang w:val="x-none" w:eastAsia="ru-RU"/>
    </w:rPr>
  </w:style>
  <w:style w:type="character" w:customStyle="1" w:styleId="a9">
    <w:name w:val="Абзац списку Знак"/>
    <w:basedOn w:val="a0"/>
    <w:link w:val="a8"/>
    <w:uiPriority w:val="34"/>
    <w:locked/>
    <w:rPr>
      <w:rFonts w:cs="Times New Roman"/>
    </w:rPr>
  </w:style>
  <w:style w:type="character" w:customStyle="1" w:styleId="af">
    <w:name w:val="Текст у виносці Знак"/>
    <w:basedOn w:val="a0"/>
    <w:link w:val="ae"/>
    <w:uiPriority w:val="99"/>
    <w:semiHidden/>
    <w:locked/>
    <w:rPr>
      <w:rFonts w:ascii="Segoe UI" w:hAnsi="Segoe UI" w:cs="Segoe UI"/>
      <w:sz w:val="18"/>
      <w:szCs w:val="18"/>
      <w:lang w:val="x-none" w:eastAsia="ru-RU"/>
    </w:rPr>
  </w:style>
  <w:style w:type="paragraph" w:customStyle="1" w:styleId="m7409218796952919595rvps2">
    <w:name w:val="m_7409218796952919595rvps2"/>
    <w:basedOn w:val="a"/>
    <w:pPr>
      <w:spacing w:before="100" w:beforeAutospacing="1" w:after="100" w:afterAutospacing="1"/>
    </w:pPr>
    <w:rPr>
      <w:rFonts w:ascii="Times New Roman" w:hAnsi="Times New Roman"/>
      <w:sz w:val="24"/>
      <w:szCs w:val="24"/>
      <w:lang w:val="ru-RU"/>
    </w:rPr>
  </w:style>
  <w:style w:type="character" w:customStyle="1" w:styleId="StyleZakonu">
    <w:name w:val="StyleZakonu Знак"/>
    <w:link w:val="StyleZakonu0"/>
    <w:locked/>
    <w:rPr>
      <w:rFonts w:ascii="Times New Roman" w:hAnsi="Times New Roman"/>
      <w:lang w:val="x-none" w:eastAsia="ru-RU"/>
    </w:rPr>
  </w:style>
  <w:style w:type="paragraph" w:customStyle="1" w:styleId="StyleZakonu0">
    <w:name w:val="StyleZakonu"/>
    <w:basedOn w:val="a"/>
    <w:link w:val="StyleZakonu"/>
    <w:pPr>
      <w:spacing w:after="60" w:line="220" w:lineRule="exact"/>
      <w:ind w:firstLine="284"/>
      <w:jc w:val="both"/>
    </w:pPr>
    <w:rPr>
      <w:rFonts w:ascii="Times New Roman" w:hAnsi="Times New Roman"/>
      <w:sz w:val="22"/>
      <w:szCs w:val="22"/>
    </w:rPr>
  </w:style>
  <w:style w:type="table" w:styleId="af0">
    <w:name w:val="Table Grid"/>
    <w:basedOn w:val="a1"/>
    <w:uiPriority w:val="39"/>
    <w:pPr>
      <w:spacing w:after="0" w:line="240" w:lineRule="auto"/>
    </w:pPr>
    <w:rPr>
      <w:rFonts w:ascii="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162978"/>
    <w:pPr>
      <w:spacing w:after="0" w:line="240" w:lineRule="auto"/>
    </w:pPr>
    <w:rPr>
      <w:rFonts w:ascii="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68698">
      <w:marLeft w:val="0"/>
      <w:marRight w:val="0"/>
      <w:marTop w:val="0"/>
      <w:marBottom w:val="0"/>
      <w:divBdr>
        <w:top w:val="none" w:sz="0" w:space="0" w:color="auto"/>
        <w:left w:val="none" w:sz="0" w:space="0" w:color="auto"/>
        <w:bottom w:val="none" w:sz="0" w:space="0" w:color="auto"/>
        <w:right w:val="none" w:sz="0" w:space="0" w:color="auto"/>
      </w:divBdr>
    </w:div>
    <w:div w:id="1016268699">
      <w:marLeft w:val="0"/>
      <w:marRight w:val="0"/>
      <w:marTop w:val="0"/>
      <w:marBottom w:val="0"/>
      <w:divBdr>
        <w:top w:val="none" w:sz="0" w:space="0" w:color="auto"/>
        <w:left w:val="none" w:sz="0" w:space="0" w:color="auto"/>
        <w:bottom w:val="none" w:sz="0" w:space="0" w:color="auto"/>
        <w:right w:val="none" w:sz="0" w:space="0" w:color="auto"/>
      </w:divBdr>
    </w:div>
    <w:div w:id="1016268701">
      <w:marLeft w:val="0"/>
      <w:marRight w:val="0"/>
      <w:marTop w:val="0"/>
      <w:marBottom w:val="0"/>
      <w:divBdr>
        <w:top w:val="none" w:sz="0" w:space="0" w:color="auto"/>
        <w:left w:val="none" w:sz="0" w:space="0" w:color="auto"/>
        <w:bottom w:val="none" w:sz="0" w:space="0" w:color="auto"/>
        <w:right w:val="none" w:sz="0" w:space="0" w:color="auto"/>
      </w:divBdr>
    </w:div>
    <w:div w:id="1016268702">
      <w:marLeft w:val="0"/>
      <w:marRight w:val="0"/>
      <w:marTop w:val="0"/>
      <w:marBottom w:val="0"/>
      <w:divBdr>
        <w:top w:val="none" w:sz="0" w:space="0" w:color="auto"/>
        <w:left w:val="none" w:sz="0" w:space="0" w:color="auto"/>
        <w:bottom w:val="none" w:sz="0" w:space="0" w:color="auto"/>
        <w:right w:val="none" w:sz="0" w:space="0" w:color="auto"/>
      </w:divBdr>
    </w:div>
    <w:div w:id="1016268703">
      <w:marLeft w:val="0"/>
      <w:marRight w:val="0"/>
      <w:marTop w:val="0"/>
      <w:marBottom w:val="0"/>
      <w:divBdr>
        <w:top w:val="none" w:sz="0" w:space="0" w:color="auto"/>
        <w:left w:val="none" w:sz="0" w:space="0" w:color="auto"/>
        <w:bottom w:val="none" w:sz="0" w:space="0" w:color="auto"/>
        <w:right w:val="none" w:sz="0" w:space="0" w:color="auto"/>
      </w:divBdr>
    </w:div>
    <w:div w:id="1016268704">
      <w:marLeft w:val="0"/>
      <w:marRight w:val="0"/>
      <w:marTop w:val="0"/>
      <w:marBottom w:val="0"/>
      <w:divBdr>
        <w:top w:val="none" w:sz="0" w:space="0" w:color="auto"/>
        <w:left w:val="none" w:sz="0" w:space="0" w:color="auto"/>
        <w:bottom w:val="none" w:sz="0" w:space="0" w:color="auto"/>
        <w:right w:val="none" w:sz="0" w:space="0" w:color="auto"/>
      </w:divBdr>
      <w:divsChild>
        <w:div w:id="1016268700">
          <w:marLeft w:val="146"/>
          <w:marRight w:val="0"/>
          <w:marTop w:val="0"/>
          <w:marBottom w:val="0"/>
          <w:divBdr>
            <w:top w:val="none" w:sz="0" w:space="0" w:color="auto"/>
            <w:left w:val="none" w:sz="0" w:space="0" w:color="auto"/>
            <w:bottom w:val="none" w:sz="0" w:space="0" w:color="auto"/>
            <w:right w:val="none" w:sz="0" w:space="0" w:color="auto"/>
          </w:divBdr>
        </w:div>
      </w:divsChild>
    </w:div>
    <w:div w:id="1016268705">
      <w:marLeft w:val="0"/>
      <w:marRight w:val="0"/>
      <w:marTop w:val="0"/>
      <w:marBottom w:val="0"/>
      <w:divBdr>
        <w:top w:val="none" w:sz="0" w:space="0" w:color="auto"/>
        <w:left w:val="none" w:sz="0" w:space="0" w:color="auto"/>
        <w:bottom w:val="none" w:sz="0" w:space="0" w:color="auto"/>
        <w:right w:val="none" w:sz="0" w:space="0" w:color="auto"/>
      </w:divBdr>
    </w:div>
    <w:div w:id="1016268706">
      <w:marLeft w:val="0"/>
      <w:marRight w:val="0"/>
      <w:marTop w:val="0"/>
      <w:marBottom w:val="0"/>
      <w:divBdr>
        <w:top w:val="none" w:sz="0" w:space="0" w:color="auto"/>
        <w:left w:val="none" w:sz="0" w:space="0" w:color="auto"/>
        <w:bottom w:val="none" w:sz="0" w:space="0" w:color="auto"/>
        <w:right w:val="none" w:sz="0" w:space="0" w:color="auto"/>
      </w:divBdr>
    </w:div>
    <w:div w:id="1016268707">
      <w:marLeft w:val="0"/>
      <w:marRight w:val="0"/>
      <w:marTop w:val="0"/>
      <w:marBottom w:val="0"/>
      <w:divBdr>
        <w:top w:val="none" w:sz="0" w:space="0" w:color="auto"/>
        <w:left w:val="none" w:sz="0" w:space="0" w:color="auto"/>
        <w:bottom w:val="none" w:sz="0" w:space="0" w:color="auto"/>
        <w:right w:val="none" w:sz="0" w:space="0" w:color="auto"/>
      </w:divBdr>
    </w:div>
    <w:div w:id="1016268708">
      <w:marLeft w:val="0"/>
      <w:marRight w:val="0"/>
      <w:marTop w:val="0"/>
      <w:marBottom w:val="0"/>
      <w:divBdr>
        <w:top w:val="none" w:sz="0" w:space="0" w:color="auto"/>
        <w:left w:val="none" w:sz="0" w:space="0" w:color="auto"/>
        <w:bottom w:val="none" w:sz="0" w:space="0" w:color="auto"/>
        <w:right w:val="none" w:sz="0" w:space="0" w:color="auto"/>
      </w:divBdr>
    </w:div>
    <w:div w:id="1016268709">
      <w:marLeft w:val="0"/>
      <w:marRight w:val="0"/>
      <w:marTop w:val="0"/>
      <w:marBottom w:val="0"/>
      <w:divBdr>
        <w:top w:val="none" w:sz="0" w:space="0" w:color="auto"/>
        <w:left w:val="none" w:sz="0" w:space="0" w:color="auto"/>
        <w:bottom w:val="none" w:sz="0" w:space="0" w:color="auto"/>
        <w:right w:val="none" w:sz="0" w:space="0" w:color="auto"/>
      </w:divBdr>
    </w:div>
    <w:div w:id="1016268710">
      <w:marLeft w:val="0"/>
      <w:marRight w:val="0"/>
      <w:marTop w:val="0"/>
      <w:marBottom w:val="0"/>
      <w:divBdr>
        <w:top w:val="none" w:sz="0" w:space="0" w:color="auto"/>
        <w:left w:val="none" w:sz="0" w:space="0" w:color="auto"/>
        <w:bottom w:val="none" w:sz="0" w:space="0" w:color="auto"/>
        <w:right w:val="none" w:sz="0" w:space="0" w:color="auto"/>
      </w:divBdr>
    </w:div>
    <w:div w:id="1016268711">
      <w:marLeft w:val="0"/>
      <w:marRight w:val="0"/>
      <w:marTop w:val="0"/>
      <w:marBottom w:val="0"/>
      <w:divBdr>
        <w:top w:val="none" w:sz="0" w:space="0" w:color="auto"/>
        <w:left w:val="none" w:sz="0" w:space="0" w:color="auto"/>
        <w:bottom w:val="none" w:sz="0" w:space="0" w:color="auto"/>
        <w:right w:val="none" w:sz="0" w:space="0" w:color="auto"/>
      </w:divBdr>
    </w:div>
    <w:div w:id="1016268712">
      <w:marLeft w:val="0"/>
      <w:marRight w:val="0"/>
      <w:marTop w:val="0"/>
      <w:marBottom w:val="0"/>
      <w:divBdr>
        <w:top w:val="none" w:sz="0" w:space="0" w:color="auto"/>
        <w:left w:val="none" w:sz="0" w:space="0" w:color="auto"/>
        <w:bottom w:val="none" w:sz="0" w:space="0" w:color="auto"/>
        <w:right w:val="none" w:sz="0" w:space="0" w:color="auto"/>
      </w:divBdr>
    </w:div>
    <w:div w:id="1016268713">
      <w:marLeft w:val="0"/>
      <w:marRight w:val="0"/>
      <w:marTop w:val="0"/>
      <w:marBottom w:val="0"/>
      <w:divBdr>
        <w:top w:val="none" w:sz="0" w:space="0" w:color="auto"/>
        <w:left w:val="none" w:sz="0" w:space="0" w:color="auto"/>
        <w:bottom w:val="none" w:sz="0" w:space="0" w:color="auto"/>
        <w:right w:val="none" w:sz="0" w:space="0" w:color="auto"/>
      </w:divBdr>
    </w:div>
    <w:div w:id="1016268714">
      <w:marLeft w:val="0"/>
      <w:marRight w:val="0"/>
      <w:marTop w:val="0"/>
      <w:marBottom w:val="0"/>
      <w:divBdr>
        <w:top w:val="none" w:sz="0" w:space="0" w:color="auto"/>
        <w:left w:val="none" w:sz="0" w:space="0" w:color="auto"/>
        <w:bottom w:val="none" w:sz="0" w:space="0" w:color="auto"/>
        <w:right w:val="none" w:sz="0" w:space="0" w:color="auto"/>
      </w:divBdr>
    </w:div>
    <w:div w:id="1016268715">
      <w:marLeft w:val="0"/>
      <w:marRight w:val="0"/>
      <w:marTop w:val="0"/>
      <w:marBottom w:val="0"/>
      <w:divBdr>
        <w:top w:val="none" w:sz="0" w:space="0" w:color="auto"/>
        <w:left w:val="none" w:sz="0" w:space="0" w:color="auto"/>
        <w:bottom w:val="none" w:sz="0" w:space="0" w:color="auto"/>
        <w:right w:val="none" w:sz="0" w:space="0" w:color="auto"/>
      </w:divBdr>
    </w:div>
    <w:div w:id="1016268716">
      <w:marLeft w:val="0"/>
      <w:marRight w:val="0"/>
      <w:marTop w:val="0"/>
      <w:marBottom w:val="0"/>
      <w:divBdr>
        <w:top w:val="none" w:sz="0" w:space="0" w:color="auto"/>
        <w:left w:val="none" w:sz="0" w:space="0" w:color="auto"/>
        <w:bottom w:val="none" w:sz="0" w:space="0" w:color="auto"/>
        <w:right w:val="none" w:sz="0" w:space="0" w:color="auto"/>
      </w:divBdr>
    </w:div>
    <w:div w:id="101626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66FE2-D7BA-4D0F-8977-490C027EB44D}">
  <ds:schemaRefs>
    <ds:schemaRef ds:uri="http://schemas.microsoft.com/sharepoint/v3/contenttype/forms"/>
  </ds:schemaRefs>
</ds:datastoreItem>
</file>

<file path=customXml/itemProps2.xml><?xml version="1.0" encoding="utf-8"?>
<ds:datastoreItem xmlns:ds="http://schemas.openxmlformats.org/officeDocument/2006/customXml" ds:itemID="{DB82A042-B786-4200-8599-DBBFBA5FF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125A5-C6DA-4EA7-A399-C93497F65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15097</Words>
  <Characters>8606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2021-04-28T08:57:00Z</dcterms:created>
  <dcterms:modified xsi:type="dcterms:W3CDTF">2021-04-28T08:57:00Z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