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14" w:rsidRPr="002759DD" w:rsidRDefault="00507514" w:rsidP="00507514">
      <w:pPr>
        <w:pStyle w:val="a5"/>
        <w:tabs>
          <w:tab w:val="clear" w:pos="4677"/>
          <w:tab w:val="clear" w:pos="9355"/>
        </w:tabs>
        <w:jc w:val="center"/>
        <w:rPr>
          <w:color w:val="002060"/>
          <w:sz w:val="32"/>
          <w:szCs w:val="32"/>
        </w:rPr>
      </w:pPr>
      <w:r w:rsidRPr="002759DD">
        <w:rPr>
          <w:noProof/>
          <w:lang w:eastAsia="uk-UA"/>
        </w:rPr>
        <w:drawing>
          <wp:anchor distT="360045" distB="0" distL="114300" distR="114300" simplePos="0" relativeHeight="251659264" behindDoc="0" locked="0" layoutInCell="1" allowOverlap="1" wp14:anchorId="6C6B47D6" wp14:editId="6AAFBE5F">
            <wp:simplePos x="0" y="0"/>
            <wp:positionH relativeFrom="margin">
              <wp:posOffset>2758440</wp:posOffset>
            </wp:positionH>
            <wp:positionV relativeFrom="paragraph">
              <wp:posOffset>0</wp:posOffset>
            </wp:positionV>
            <wp:extent cx="461010" cy="636905"/>
            <wp:effectExtent l="0" t="0" r="0" b="0"/>
            <wp:wrapSquare wrapText="bothSides"/>
            <wp:docPr id="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6B098B">
        <w:rPr>
          <w:color w:val="002060"/>
          <w:sz w:val="32"/>
          <w:szCs w:val="32"/>
        </w:rPr>
        <w:t xml:space="preserve"> </w:t>
      </w:r>
    </w:p>
    <w:p w:rsidR="00507514" w:rsidRPr="002759DD" w:rsidRDefault="00507514" w:rsidP="00507514">
      <w:pPr>
        <w:pStyle w:val="a5"/>
        <w:tabs>
          <w:tab w:val="clear" w:pos="4677"/>
          <w:tab w:val="clear" w:pos="9355"/>
        </w:tabs>
        <w:jc w:val="center"/>
        <w:rPr>
          <w:color w:val="002060"/>
          <w:sz w:val="32"/>
          <w:szCs w:val="32"/>
        </w:rPr>
      </w:pPr>
    </w:p>
    <w:p w:rsidR="00507514" w:rsidRPr="002759DD" w:rsidRDefault="00507514" w:rsidP="00507514">
      <w:pPr>
        <w:pStyle w:val="a5"/>
        <w:tabs>
          <w:tab w:val="clear" w:pos="4677"/>
          <w:tab w:val="clear" w:pos="9355"/>
        </w:tabs>
        <w:jc w:val="center"/>
        <w:rPr>
          <w:color w:val="002060"/>
          <w:sz w:val="32"/>
          <w:szCs w:val="32"/>
        </w:rPr>
      </w:pPr>
    </w:p>
    <w:p w:rsidR="00507514" w:rsidRPr="002759DD" w:rsidRDefault="00507514" w:rsidP="00507514">
      <w:pPr>
        <w:pStyle w:val="a5"/>
        <w:tabs>
          <w:tab w:val="clear" w:pos="4677"/>
          <w:tab w:val="clear" w:pos="9355"/>
        </w:tabs>
        <w:spacing w:before="80"/>
        <w:jc w:val="center"/>
        <w:rPr>
          <w:color w:val="1829A8"/>
          <w:spacing w:val="20"/>
          <w:sz w:val="34"/>
          <w:szCs w:val="34"/>
        </w:rPr>
      </w:pPr>
      <w:r w:rsidRPr="002759DD">
        <w:rPr>
          <w:color w:val="1829A8"/>
          <w:spacing w:val="20"/>
          <w:sz w:val="34"/>
          <w:szCs w:val="34"/>
        </w:rPr>
        <w:t>ВЕРХОВНА РАДА УКРАЇНИ</w:t>
      </w:r>
    </w:p>
    <w:p w:rsidR="00507514" w:rsidRPr="002759DD" w:rsidRDefault="00507514" w:rsidP="00507514">
      <w:pPr>
        <w:pStyle w:val="a5"/>
        <w:tabs>
          <w:tab w:val="clear" w:pos="4677"/>
          <w:tab w:val="clear" w:pos="9355"/>
        </w:tabs>
        <w:spacing w:before="100"/>
        <w:jc w:val="center"/>
        <w:rPr>
          <w:b/>
          <w:color w:val="1829A8"/>
          <w:spacing w:val="20"/>
          <w:sz w:val="24"/>
          <w:szCs w:val="24"/>
        </w:rPr>
      </w:pPr>
      <w:r w:rsidRPr="002759DD">
        <w:rPr>
          <w:b/>
          <w:color w:val="1829A8"/>
          <w:spacing w:val="20"/>
          <w:sz w:val="24"/>
          <w:szCs w:val="24"/>
        </w:rPr>
        <w:t>Комітет з питань інтеграції України до Європейського Союзу</w:t>
      </w:r>
    </w:p>
    <w:p w:rsidR="00507514" w:rsidRPr="002759DD" w:rsidRDefault="00507514" w:rsidP="00507514">
      <w:pPr>
        <w:jc w:val="center"/>
        <w:rPr>
          <w:lang w:val="uk-UA"/>
        </w:rPr>
      </w:pPr>
      <w:r w:rsidRPr="002759DD">
        <w:rPr>
          <w:color w:val="1829A8"/>
          <w:sz w:val="20"/>
          <w:szCs w:val="20"/>
          <w:lang w:val="uk-UA"/>
        </w:rPr>
        <w:t xml:space="preserve">01008, м.Київ-8, вул. М. Грушевського, 5, </w:t>
      </w:r>
      <w:proofErr w:type="spellStart"/>
      <w:r w:rsidRPr="002759DD">
        <w:rPr>
          <w:color w:val="1829A8"/>
          <w:sz w:val="20"/>
          <w:szCs w:val="20"/>
          <w:lang w:val="uk-UA"/>
        </w:rPr>
        <w:t>тел</w:t>
      </w:r>
      <w:proofErr w:type="spellEnd"/>
      <w:r w:rsidRPr="002759DD">
        <w:rPr>
          <w:color w:val="1829A8"/>
          <w:sz w:val="20"/>
          <w:szCs w:val="20"/>
          <w:lang w:val="uk-UA"/>
        </w:rPr>
        <w:t>.: 255-34-42, факс: 255-33-13, e-</w:t>
      </w:r>
      <w:proofErr w:type="spellStart"/>
      <w:r w:rsidRPr="002759DD">
        <w:rPr>
          <w:color w:val="1829A8"/>
          <w:sz w:val="20"/>
          <w:szCs w:val="20"/>
          <w:lang w:val="uk-UA"/>
        </w:rPr>
        <w:t>mail</w:t>
      </w:r>
      <w:proofErr w:type="spellEnd"/>
      <w:r w:rsidRPr="002759DD">
        <w:rPr>
          <w:color w:val="1829A8"/>
          <w:sz w:val="20"/>
          <w:szCs w:val="20"/>
          <w:lang w:val="uk-UA"/>
        </w:rPr>
        <w:t>: comeuroint@v.rada.gov.ua</w:t>
      </w:r>
    </w:p>
    <w:p w:rsidR="00507514" w:rsidRPr="002759DD" w:rsidRDefault="00507514" w:rsidP="00917BEA">
      <w:pPr>
        <w:jc w:val="center"/>
        <w:rPr>
          <w:rFonts w:eastAsia="Calibri"/>
          <w:b/>
          <w:sz w:val="28"/>
          <w:szCs w:val="28"/>
          <w:lang w:val="uk-UA"/>
        </w:rPr>
      </w:pPr>
    </w:p>
    <w:p w:rsidR="003E597A" w:rsidRPr="003E597A" w:rsidRDefault="003E597A" w:rsidP="003E597A">
      <w:pPr>
        <w:jc w:val="center"/>
        <w:rPr>
          <w:rFonts w:eastAsia="Calibri"/>
          <w:b/>
          <w:sz w:val="28"/>
          <w:szCs w:val="28"/>
          <w:lang w:val="uk-UA"/>
        </w:rPr>
      </w:pPr>
      <w:r w:rsidRPr="003E597A">
        <w:rPr>
          <w:rFonts w:eastAsia="Calibri"/>
          <w:b/>
          <w:sz w:val="28"/>
          <w:szCs w:val="28"/>
          <w:lang w:val="uk-UA"/>
        </w:rPr>
        <w:t>ВИСНОВОК</w:t>
      </w:r>
    </w:p>
    <w:p w:rsidR="003E597A" w:rsidRPr="003E597A" w:rsidRDefault="003E597A" w:rsidP="003E597A">
      <w:pPr>
        <w:jc w:val="center"/>
        <w:rPr>
          <w:rFonts w:eastAsia="Calibri"/>
          <w:b/>
          <w:sz w:val="28"/>
          <w:szCs w:val="28"/>
          <w:lang w:val="uk-UA"/>
        </w:rPr>
      </w:pPr>
      <w:r w:rsidRPr="003E597A">
        <w:rPr>
          <w:rFonts w:eastAsia="Calibri"/>
          <w:b/>
          <w:sz w:val="28"/>
          <w:szCs w:val="28"/>
          <w:lang w:val="uk-UA"/>
        </w:rPr>
        <w:t xml:space="preserve">щодо </w:t>
      </w:r>
      <w:proofErr w:type="spellStart"/>
      <w:r w:rsidRPr="003E597A">
        <w:rPr>
          <w:rFonts w:eastAsia="Calibri"/>
          <w:b/>
          <w:sz w:val="28"/>
          <w:szCs w:val="28"/>
          <w:lang w:val="uk-UA"/>
        </w:rPr>
        <w:t>проєкту</w:t>
      </w:r>
      <w:proofErr w:type="spellEnd"/>
      <w:r w:rsidRPr="003E597A">
        <w:rPr>
          <w:rFonts w:eastAsia="Calibri"/>
          <w:b/>
          <w:sz w:val="28"/>
          <w:szCs w:val="28"/>
          <w:lang w:val="uk-UA"/>
        </w:rPr>
        <w:t xml:space="preserve"> Закону України </w:t>
      </w:r>
    </w:p>
    <w:p w:rsidR="003E597A" w:rsidRPr="003E597A" w:rsidRDefault="003E597A" w:rsidP="003E597A">
      <w:pPr>
        <w:jc w:val="center"/>
        <w:outlineLvl w:val="2"/>
        <w:rPr>
          <w:rFonts w:eastAsia="Calibri"/>
          <w:bCs/>
          <w:sz w:val="28"/>
          <w:szCs w:val="28"/>
          <w:lang w:val="uk-UA" w:eastAsia="uk-UA"/>
        </w:rPr>
      </w:pPr>
      <w:r w:rsidRPr="003E597A">
        <w:rPr>
          <w:rFonts w:eastAsia="Calibri"/>
          <w:b/>
          <w:bCs/>
          <w:sz w:val="28"/>
          <w:szCs w:val="28"/>
          <w:lang w:val="uk-UA" w:eastAsia="uk-UA"/>
        </w:rPr>
        <w:t>«П</w:t>
      </w:r>
      <w:r w:rsidRPr="003E597A">
        <w:rPr>
          <w:b/>
          <w:bCs/>
          <w:sz w:val="27"/>
          <w:szCs w:val="27"/>
          <w:lang w:val="uk-UA" w:eastAsia="uk-UA"/>
        </w:rPr>
        <w:t>ро внесення змін до деяких законів актів України щодо адаптації законодавства до вимог Директиви Європейського Парламенту і Ради 2014/40/ЄС (щодо охорони здоров'я населення від шкідливого впливу тютюну)»</w:t>
      </w:r>
    </w:p>
    <w:p w:rsidR="003E597A" w:rsidRPr="003E597A" w:rsidRDefault="003E597A" w:rsidP="003E597A">
      <w:pPr>
        <w:jc w:val="center"/>
        <w:rPr>
          <w:bCs/>
          <w:sz w:val="28"/>
          <w:szCs w:val="28"/>
          <w:lang w:val="uk-UA" w:eastAsia="en-US"/>
        </w:rPr>
      </w:pPr>
      <w:r w:rsidRPr="003E597A">
        <w:rPr>
          <w:bCs/>
          <w:sz w:val="28"/>
          <w:szCs w:val="28"/>
          <w:lang w:val="uk-UA"/>
        </w:rPr>
        <w:t>(реєстр. № 5447,</w:t>
      </w:r>
      <w:r w:rsidRPr="003E597A">
        <w:rPr>
          <w:sz w:val="28"/>
          <w:lang w:val="uk-UA"/>
        </w:rPr>
        <w:t xml:space="preserve"> </w:t>
      </w:r>
      <w:r w:rsidRPr="003E597A">
        <w:rPr>
          <w:bCs/>
          <w:sz w:val="28"/>
          <w:szCs w:val="28"/>
          <w:lang w:val="uk-UA"/>
        </w:rPr>
        <w:t>КМУ</w:t>
      </w:r>
      <w:r w:rsidRPr="003E597A">
        <w:rPr>
          <w:bCs/>
          <w:sz w:val="28"/>
          <w:szCs w:val="28"/>
          <w:lang w:val="uk-UA" w:eastAsia="en-US"/>
        </w:rPr>
        <w:t>)</w:t>
      </w:r>
    </w:p>
    <w:p w:rsidR="003E597A" w:rsidRPr="003E597A" w:rsidRDefault="003E597A" w:rsidP="003E597A">
      <w:pPr>
        <w:shd w:val="clear" w:color="auto" w:fill="FFFFFF"/>
        <w:ind w:firstLine="709"/>
        <w:textAlignment w:val="baseline"/>
        <w:rPr>
          <w:rFonts w:eastAsia="Calibri"/>
          <w:b/>
          <w:bCs/>
          <w:sz w:val="28"/>
          <w:szCs w:val="28"/>
          <w:lang w:val="uk-UA"/>
        </w:rPr>
      </w:pPr>
    </w:p>
    <w:p w:rsidR="003E597A" w:rsidRPr="003E597A" w:rsidRDefault="003E597A" w:rsidP="003E597A">
      <w:pPr>
        <w:shd w:val="clear" w:color="auto" w:fill="FFFFFF"/>
        <w:ind w:firstLine="709"/>
        <w:jc w:val="both"/>
        <w:textAlignment w:val="baseline"/>
        <w:rPr>
          <w:rFonts w:eastAsia="Calibri"/>
          <w:b/>
          <w:sz w:val="28"/>
          <w:szCs w:val="28"/>
          <w:lang w:val="uk-UA"/>
        </w:rPr>
      </w:pPr>
      <w:r w:rsidRPr="003E597A">
        <w:rPr>
          <w:rFonts w:eastAsia="Calibri"/>
          <w:b/>
          <w:bCs/>
          <w:sz w:val="28"/>
          <w:szCs w:val="28"/>
          <w:lang w:val="uk-UA"/>
        </w:rPr>
        <w:t xml:space="preserve">1. </w:t>
      </w:r>
      <w:r w:rsidRPr="003E597A">
        <w:rPr>
          <w:rFonts w:eastAsia="Calibri"/>
          <w:b/>
          <w:sz w:val="28"/>
          <w:szCs w:val="28"/>
          <w:lang w:val="uk-UA"/>
        </w:rPr>
        <w:t xml:space="preserve">Загальна характеристика </w:t>
      </w:r>
      <w:proofErr w:type="spellStart"/>
      <w:r w:rsidRPr="003E597A">
        <w:rPr>
          <w:rFonts w:eastAsia="Calibri"/>
          <w:b/>
          <w:sz w:val="28"/>
          <w:szCs w:val="28"/>
          <w:lang w:val="uk-UA"/>
        </w:rPr>
        <w:t>законопроєкту</w:t>
      </w:r>
      <w:proofErr w:type="spellEnd"/>
    </w:p>
    <w:p w:rsidR="003E597A" w:rsidRPr="003E597A" w:rsidRDefault="003E597A" w:rsidP="003E597A">
      <w:pPr>
        <w:widowControl w:val="0"/>
        <w:ind w:firstLine="709"/>
        <w:jc w:val="both"/>
        <w:rPr>
          <w:sz w:val="28"/>
          <w:szCs w:val="28"/>
          <w:lang w:val="uk-UA"/>
        </w:rPr>
      </w:pPr>
      <w:proofErr w:type="spellStart"/>
      <w:r w:rsidRPr="003E597A">
        <w:rPr>
          <w:sz w:val="28"/>
          <w:szCs w:val="28"/>
          <w:lang w:val="uk-UA"/>
        </w:rPr>
        <w:t>Законопроєкт</w:t>
      </w:r>
      <w:proofErr w:type="spellEnd"/>
      <w:r w:rsidRPr="003E597A">
        <w:rPr>
          <w:sz w:val="28"/>
          <w:szCs w:val="28"/>
          <w:lang w:val="uk-UA"/>
        </w:rPr>
        <w:t xml:space="preserve"> розроблено з метою </w:t>
      </w:r>
      <w:r w:rsidRPr="003E597A">
        <w:rPr>
          <w:kern w:val="1"/>
          <w:sz w:val="28"/>
          <w:szCs w:val="28"/>
          <w:lang w:val="uk-UA"/>
        </w:rPr>
        <w:t>скорочення поширеності куріння, покращення здоров’я населення та зростання тривалості життя в Україні, а також досягнення Цілей сталого розвитку ООН, щодо яких України взяла на себе зобов’язання скоротити поширеність куріння до 15% у 2025 році</w:t>
      </w:r>
      <w:r w:rsidRPr="003E597A">
        <w:rPr>
          <w:sz w:val="28"/>
          <w:szCs w:val="28"/>
          <w:lang w:val="uk-UA"/>
        </w:rPr>
        <w:t xml:space="preserve">. </w:t>
      </w:r>
    </w:p>
    <w:p w:rsidR="003E597A" w:rsidRPr="003E597A" w:rsidRDefault="003E597A" w:rsidP="003E597A">
      <w:pPr>
        <w:ind w:firstLine="720"/>
        <w:contextualSpacing/>
        <w:jc w:val="both"/>
        <w:rPr>
          <w:sz w:val="28"/>
          <w:szCs w:val="28"/>
          <w:lang w:val="uk-UA"/>
        </w:rPr>
      </w:pPr>
    </w:p>
    <w:p w:rsidR="003E597A" w:rsidRPr="003E597A" w:rsidRDefault="003E597A" w:rsidP="003E597A">
      <w:pPr>
        <w:ind w:firstLine="708"/>
        <w:jc w:val="both"/>
        <w:rPr>
          <w:b/>
          <w:sz w:val="28"/>
          <w:szCs w:val="28"/>
          <w:lang w:val="uk-UA"/>
        </w:rPr>
      </w:pPr>
      <w:r w:rsidRPr="003E597A">
        <w:rPr>
          <w:b/>
          <w:sz w:val="28"/>
          <w:szCs w:val="28"/>
          <w:lang w:val="uk-UA"/>
        </w:rPr>
        <w:t xml:space="preserve">2. Належність </w:t>
      </w:r>
      <w:proofErr w:type="spellStart"/>
      <w:r w:rsidRPr="003E597A">
        <w:rPr>
          <w:b/>
          <w:sz w:val="28"/>
          <w:szCs w:val="28"/>
          <w:lang w:val="uk-UA"/>
        </w:rPr>
        <w:t>законопроєкту</w:t>
      </w:r>
      <w:proofErr w:type="spellEnd"/>
      <w:r w:rsidRPr="003E597A">
        <w:rPr>
          <w:b/>
          <w:sz w:val="28"/>
          <w:szCs w:val="28"/>
          <w:lang w:val="uk-UA"/>
        </w:rPr>
        <w:t xml:space="preserve"> за предметом правового регулювання до сфери дії права Європейського Союзу</w:t>
      </w:r>
    </w:p>
    <w:p w:rsidR="003E597A" w:rsidRPr="003E597A" w:rsidRDefault="003E597A" w:rsidP="003E597A">
      <w:pPr>
        <w:ind w:firstLine="709"/>
        <w:jc w:val="both"/>
        <w:rPr>
          <w:sz w:val="28"/>
          <w:szCs w:val="28"/>
          <w:lang w:val="uk-UA"/>
        </w:rPr>
      </w:pPr>
      <w:r w:rsidRPr="003E597A">
        <w:rPr>
          <w:sz w:val="28"/>
          <w:szCs w:val="28"/>
          <w:lang w:val="uk-UA"/>
        </w:rPr>
        <w:t xml:space="preserve">Правовідносини захисту здоров’я людини від шкідливого впливу тютюнопаління </w:t>
      </w:r>
      <w:bookmarkStart w:id="0" w:name="OLE_LINK6"/>
      <w:bookmarkStart w:id="1" w:name="OLE_LINK7"/>
      <w:r w:rsidRPr="003E597A">
        <w:rPr>
          <w:sz w:val="28"/>
          <w:szCs w:val="28"/>
          <w:lang w:val="uk-UA"/>
        </w:rPr>
        <w:t xml:space="preserve">охоплюються  Главою 22 «Громадське здоров’я», в якій, зокрема, зазначено, що Україна поступово наближуватиме своє законодавство та практики до принципів права ЄС, зокрема у сфері інфекційних </w:t>
      </w:r>
      <w:proofErr w:type="spellStart"/>
      <w:r w:rsidRPr="003E597A">
        <w:rPr>
          <w:sz w:val="28"/>
          <w:szCs w:val="28"/>
          <w:lang w:val="uk-UA"/>
        </w:rPr>
        <w:t>хвороб</w:t>
      </w:r>
      <w:proofErr w:type="spellEnd"/>
      <w:r w:rsidRPr="003E597A">
        <w:rPr>
          <w:sz w:val="28"/>
          <w:szCs w:val="28"/>
          <w:lang w:val="uk-UA"/>
        </w:rPr>
        <w:t xml:space="preserve">, служби крові, трансплантації тканин і клітин, </w:t>
      </w:r>
      <w:r w:rsidRPr="003E597A">
        <w:rPr>
          <w:b/>
          <w:sz w:val="28"/>
          <w:szCs w:val="28"/>
          <w:lang w:val="uk-UA"/>
        </w:rPr>
        <w:t>а також тютюну</w:t>
      </w:r>
      <w:r w:rsidRPr="003E597A">
        <w:rPr>
          <w:sz w:val="28"/>
          <w:szCs w:val="28"/>
          <w:lang w:val="uk-UA"/>
        </w:rPr>
        <w:t xml:space="preserve">. Перелік відповідних актів права ЄС визначено у Додатку XL до Угоди, відповідно до якого Україна повинна виконувати Рекомендацію Ради від 2 грудня 2002 року про запобігання курінню та ініціативи з покращання контролю над тютюном, а також протягом двох років Україна повинна </w:t>
      </w:r>
      <w:proofErr w:type="spellStart"/>
      <w:r w:rsidRPr="003E597A">
        <w:rPr>
          <w:sz w:val="28"/>
          <w:szCs w:val="28"/>
          <w:lang w:val="uk-UA"/>
        </w:rPr>
        <w:t>імплементувати</w:t>
      </w:r>
      <w:proofErr w:type="spellEnd"/>
      <w:r w:rsidRPr="003E597A">
        <w:rPr>
          <w:sz w:val="28"/>
          <w:szCs w:val="28"/>
          <w:lang w:val="uk-UA"/>
        </w:rPr>
        <w:t xml:space="preserve"> в національне законодавство положення Директиви №2001/37/ЄС Європейського Парламенту та Ради ЄС від 5 червня 2001 року про наближення законодавчих, нормативних та адміністративних актів держав-членів щодо виробництва, презентації та реалізації тютюнових виробів. </w:t>
      </w:r>
    </w:p>
    <w:p w:rsidR="003E597A" w:rsidRPr="003E597A" w:rsidRDefault="003E597A" w:rsidP="003E597A">
      <w:pPr>
        <w:ind w:firstLine="708"/>
        <w:rPr>
          <w:b/>
          <w:sz w:val="28"/>
          <w:szCs w:val="28"/>
          <w:lang w:val="uk-UA"/>
        </w:rPr>
      </w:pPr>
    </w:p>
    <w:p w:rsidR="003E597A" w:rsidRPr="003E597A" w:rsidRDefault="003E597A" w:rsidP="003E597A">
      <w:pPr>
        <w:ind w:firstLine="708"/>
        <w:rPr>
          <w:b/>
          <w:sz w:val="28"/>
          <w:szCs w:val="28"/>
          <w:lang w:val="uk-UA"/>
        </w:rPr>
      </w:pPr>
      <w:r w:rsidRPr="003E597A">
        <w:rPr>
          <w:b/>
          <w:sz w:val="28"/>
          <w:szCs w:val="28"/>
          <w:lang w:val="uk-UA"/>
        </w:rPr>
        <w:t xml:space="preserve">3. Відповідність </w:t>
      </w:r>
      <w:proofErr w:type="spellStart"/>
      <w:r w:rsidRPr="003E597A">
        <w:rPr>
          <w:b/>
          <w:sz w:val="28"/>
          <w:szCs w:val="28"/>
          <w:lang w:val="uk-UA"/>
        </w:rPr>
        <w:t>законопроєкту</w:t>
      </w:r>
      <w:proofErr w:type="spellEnd"/>
      <w:r w:rsidRPr="003E597A">
        <w:rPr>
          <w:b/>
          <w:sz w:val="28"/>
          <w:szCs w:val="28"/>
          <w:lang w:val="uk-UA"/>
        </w:rPr>
        <w:t xml:space="preserve"> праву ЄС</w:t>
      </w:r>
    </w:p>
    <w:p w:rsidR="003E597A" w:rsidRPr="003E597A" w:rsidRDefault="003E597A" w:rsidP="003E597A">
      <w:pPr>
        <w:ind w:firstLine="709"/>
        <w:jc w:val="both"/>
        <w:rPr>
          <w:sz w:val="28"/>
          <w:szCs w:val="28"/>
          <w:lang w:val="uk-UA"/>
        </w:rPr>
      </w:pPr>
      <w:r w:rsidRPr="003E597A">
        <w:rPr>
          <w:sz w:val="28"/>
          <w:szCs w:val="28"/>
          <w:lang w:val="uk-UA"/>
        </w:rPr>
        <w:t xml:space="preserve">З прийняттям 3 квітня 2014 року Директиви 2014/40/ЄС «Про наближення законів, підзаконних та адміністративних положень держав-членів стосовно виробництва, презентації та продажу тютюну та супутніх товарів» припинила дію Директива 2001/37/ЄС, положення якої Україна повинна була </w:t>
      </w:r>
      <w:proofErr w:type="spellStart"/>
      <w:r w:rsidRPr="003E597A">
        <w:rPr>
          <w:sz w:val="28"/>
          <w:szCs w:val="28"/>
          <w:lang w:val="uk-UA"/>
        </w:rPr>
        <w:t>імплементувати</w:t>
      </w:r>
      <w:proofErr w:type="spellEnd"/>
      <w:r w:rsidRPr="003E597A">
        <w:rPr>
          <w:sz w:val="28"/>
          <w:szCs w:val="28"/>
          <w:lang w:val="uk-UA"/>
        </w:rPr>
        <w:t xml:space="preserve"> в національне законодавство.  Директива 2014/40/ЄС встановлює, серед іншого, більш жорсткі вимоги до виробництва, продажу та маркування тютюнових виробів, електронних сигарет та трав’яних </w:t>
      </w:r>
      <w:r w:rsidRPr="003E597A">
        <w:rPr>
          <w:sz w:val="28"/>
          <w:szCs w:val="28"/>
          <w:lang w:val="uk-UA"/>
        </w:rPr>
        <w:lastRenderedPageBreak/>
        <w:t xml:space="preserve">виробів для куріння та відображає останні наукові дослідження в сфері охорони здоров’я. </w:t>
      </w:r>
    </w:p>
    <w:p w:rsidR="003E597A" w:rsidRPr="003E597A" w:rsidRDefault="003E597A" w:rsidP="003E597A">
      <w:pPr>
        <w:ind w:firstLine="709"/>
        <w:jc w:val="both"/>
        <w:rPr>
          <w:sz w:val="28"/>
          <w:szCs w:val="28"/>
          <w:lang w:val="uk-UA"/>
        </w:rPr>
      </w:pPr>
      <w:r w:rsidRPr="003E597A">
        <w:rPr>
          <w:sz w:val="28"/>
          <w:szCs w:val="28"/>
          <w:lang w:val="uk-UA"/>
        </w:rPr>
        <w:t>Постановою КМУ №1106 від 25 жовтня 2017 року «Про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Україна в односторонньому порядку взяла на себе зобов’язання щодо імплементації Директиви 2014/40/ЄС.</w:t>
      </w:r>
    </w:p>
    <w:p w:rsidR="003E597A" w:rsidRPr="003E597A" w:rsidRDefault="003E597A" w:rsidP="003E597A">
      <w:pPr>
        <w:ind w:firstLine="709"/>
        <w:jc w:val="both"/>
        <w:rPr>
          <w:sz w:val="28"/>
          <w:szCs w:val="28"/>
          <w:lang w:val="uk-UA"/>
        </w:rPr>
      </w:pPr>
      <w:r w:rsidRPr="003E597A">
        <w:rPr>
          <w:sz w:val="28"/>
          <w:szCs w:val="28"/>
          <w:lang w:val="uk-UA"/>
        </w:rPr>
        <w:t xml:space="preserve">Постановою передбачено розроблення Міністерством охорони здоров’я спільно з Мінекономіки та Мінфіном </w:t>
      </w:r>
      <w:proofErr w:type="spellStart"/>
      <w:r w:rsidRPr="003E597A">
        <w:rPr>
          <w:sz w:val="28"/>
          <w:szCs w:val="28"/>
          <w:lang w:val="uk-UA"/>
        </w:rPr>
        <w:t>законопроєкту</w:t>
      </w:r>
      <w:proofErr w:type="spellEnd"/>
      <w:r w:rsidRPr="003E597A">
        <w:rPr>
          <w:sz w:val="28"/>
          <w:szCs w:val="28"/>
          <w:lang w:val="uk-UA"/>
        </w:rPr>
        <w:t xml:space="preserve"> про внесення відповідних змін до Закону України “Про державне регулювання виробництва і обігу спирту етилового, коньячного і плодового, алкогольних напоїв та тютюнових виробів” та подання на розгляд Кабінету Міністрів України до 20 березня 2018 року. </w:t>
      </w:r>
    </w:p>
    <w:p w:rsidR="003E597A" w:rsidRPr="003E597A" w:rsidRDefault="003E597A" w:rsidP="003E597A">
      <w:pPr>
        <w:ind w:firstLine="709"/>
        <w:jc w:val="both"/>
        <w:rPr>
          <w:sz w:val="28"/>
          <w:szCs w:val="28"/>
          <w:lang w:val="uk-UA"/>
        </w:rPr>
      </w:pPr>
      <w:r w:rsidRPr="003E597A">
        <w:rPr>
          <w:sz w:val="28"/>
          <w:szCs w:val="28"/>
          <w:lang w:val="uk-UA"/>
        </w:rPr>
        <w:t xml:space="preserve">Положення такого </w:t>
      </w:r>
      <w:proofErr w:type="spellStart"/>
      <w:r w:rsidRPr="003E597A">
        <w:rPr>
          <w:sz w:val="28"/>
          <w:szCs w:val="28"/>
          <w:lang w:val="uk-UA"/>
        </w:rPr>
        <w:t>законопроєкту</w:t>
      </w:r>
      <w:proofErr w:type="spellEnd"/>
      <w:r w:rsidRPr="003E597A">
        <w:rPr>
          <w:sz w:val="28"/>
          <w:szCs w:val="28"/>
          <w:lang w:val="uk-UA"/>
        </w:rPr>
        <w:t xml:space="preserve"> мали передбачати наближення національного законодавства до вимог Директиви 2014/40/ЄС в частині: встановлення обов’язку виробників та експортерів інформувати уповноважені державні органи про склад трав’яних сумішей для куріння; встановлення правил виробництва і продажу електронних сигарет та заправних контейнерів для них; заборони виробництва та продажу тютюнових виробів із смаковими добавками, інформація про які може вводити в оману споживача; заборони виробництва та продажу тютюну перорального вжитку; приведення процедури сертифікації тютюнових виробів у відповідність із нормами ЄС; забезпечення обміну інформацією між виробниками та імпортерами тютюнових виробів і уповноваженими державними органами; посилення вимог до маркування упаковки тютюнових виробів та трав’яних сумішей для куріння, а також  встановлення граничного вмісту смоли, нікотину та </w:t>
      </w:r>
      <w:proofErr w:type="spellStart"/>
      <w:r w:rsidRPr="003E597A">
        <w:rPr>
          <w:sz w:val="28"/>
          <w:szCs w:val="28"/>
          <w:lang w:val="uk-UA"/>
        </w:rPr>
        <w:t>монооксиду</w:t>
      </w:r>
      <w:proofErr w:type="spellEnd"/>
      <w:r w:rsidRPr="003E597A">
        <w:rPr>
          <w:sz w:val="28"/>
          <w:szCs w:val="28"/>
          <w:lang w:val="uk-UA"/>
        </w:rPr>
        <w:t xml:space="preserve"> вуглецю у тютюнових виробах  відповідно до норм ЄС тощо. </w:t>
      </w:r>
    </w:p>
    <w:p w:rsidR="003E597A" w:rsidRPr="003E597A" w:rsidRDefault="003E597A" w:rsidP="003E597A">
      <w:pPr>
        <w:ind w:firstLine="709"/>
        <w:jc w:val="both"/>
        <w:rPr>
          <w:sz w:val="28"/>
          <w:szCs w:val="28"/>
          <w:lang w:val="uk-UA"/>
        </w:rPr>
      </w:pPr>
      <w:proofErr w:type="spellStart"/>
      <w:r w:rsidRPr="003E597A">
        <w:rPr>
          <w:sz w:val="28"/>
          <w:szCs w:val="28"/>
          <w:lang w:val="uk-UA"/>
        </w:rPr>
        <w:t>Законопроєкт</w:t>
      </w:r>
      <w:proofErr w:type="spellEnd"/>
      <w:r w:rsidRPr="003E597A">
        <w:rPr>
          <w:sz w:val="28"/>
          <w:szCs w:val="28"/>
          <w:lang w:val="uk-UA"/>
        </w:rPr>
        <w:t xml:space="preserve"> </w:t>
      </w:r>
      <w:r w:rsidRPr="003E597A">
        <w:rPr>
          <w:bCs/>
          <w:sz w:val="28"/>
          <w:szCs w:val="28"/>
          <w:lang w:val="uk-UA"/>
        </w:rPr>
        <w:t>реєстр. № 5447</w:t>
      </w:r>
      <w:r w:rsidRPr="003E597A">
        <w:rPr>
          <w:sz w:val="28"/>
          <w:szCs w:val="28"/>
          <w:lang w:val="uk-UA"/>
        </w:rPr>
        <w:t xml:space="preserve">, поданий Кабінетом Міністрів України пропонує </w:t>
      </w:r>
      <w:proofErr w:type="spellStart"/>
      <w:r w:rsidRPr="003E597A">
        <w:rPr>
          <w:sz w:val="28"/>
          <w:szCs w:val="28"/>
          <w:lang w:val="uk-UA"/>
        </w:rPr>
        <w:t>внести</w:t>
      </w:r>
      <w:proofErr w:type="spellEnd"/>
      <w:r w:rsidRPr="003E597A">
        <w:rPr>
          <w:sz w:val="28"/>
          <w:szCs w:val="28"/>
          <w:lang w:val="uk-UA"/>
        </w:rPr>
        <w:t xml:space="preserve"> зміни до Закону України «Про заходи щодо попередження та зменшення вживання тютюнових виробів і їх шкідливого впливу на здоров'я населення» та Закону України «Про державне регулювання виробництва і обігу спирту етилового, коньячного і плодового, алкогольних напоїв, тютюнових виробів та пального». </w:t>
      </w:r>
    </w:p>
    <w:p w:rsidR="003E597A" w:rsidRPr="003E597A" w:rsidRDefault="003E597A" w:rsidP="003E597A">
      <w:pPr>
        <w:ind w:firstLine="709"/>
        <w:jc w:val="both"/>
        <w:rPr>
          <w:sz w:val="28"/>
          <w:lang w:val="uk-UA" w:eastAsia="uk-UA"/>
        </w:rPr>
      </w:pPr>
      <w:r w:rsidRPr="003E597A">
        <w:rPr>
          <w:sz w:val="28"/>
          <w:szCs w:val="28"/>
          <w:lang w:val="uk-UA"/>
        </w:rPr>
        <w:t xml:space="preserve">До Закону України № 2899-IV «Про заходи щодо попередження та зменшення вживання тютюнових виробів і їх шкідливого впливу на здоров'я населення» пропонується </w:t>
      </w:r>
      <w:proofErr w:type="spellStart"/>
      <w:r w:rsidRPr="003E597A">
        <w:rPr>
          <w:color w:val="000000"/>
          <w:sz w:val="28"/>
          <w:szCs w:val="28"/>
          <w:lang w:val="uk-UA" w:eastAsia="uk-UA"/>
        </w:rPr>
        <w:t>внести</w:t>
      </w:r>
      <w:proofErr w:type="spellEnd"/>
      <w:r w:rsidRPr="003E597A">
        <w:rPr>
          <w:color w:val="000000"/>
          <w:sz w:val="28"/>
          <w:szCs w:val="28"/>
          <w:lang w:val="uk-UA" w:eastAsia="uk-UA"/>
        </w:rPr>
        <w:t xml:space="preserve"> наступні зміни:</w:t>
      </w:r>
    </w:p>
    <w:p w:rsidR="003E597A" w:rsidRPr="003E597A" w:rsidRDefault="003E597A" w:rsidP="003E597A">
      <w:pPr>
        <w:ind w:firstLine="709"/>
        <w:jc w:val="both"/>
        <w:rPr>
          <w:color w:val="000000"/>
          <w:sz w:val="28"/>
          <w:szCs w:val="28"/>
          <w:lang w:eastAsia="uk-UA"/>
        </w:rPr>
      </w:pPr>
      <w:r w:rsidRPr="003E597A">
        <w:rPr>
          <w:color w:val="000000"/>
          <w:sz w:val="28"/>
          <w:szCs w:val="28"/>
          <w:lang w:val="uk-UA" w:eastAsia="uk-UA"/>
        </w:rPr>
        <w:t>приводиться</w:t>
      </w:r>
      <w:r w:rsidRPr="003E597A">
        <w:rPr>
          <w:color w:val="000000"/>
          <w:sz w:val="28"/>
          <w:szCs w:val="28"/>
          <w:lang w:eastAsia="uk-UA"/>
        </w:rPr>
        <w:t xml:space="preserve"> </w:t>
      </w:r>
      <w:proofErr w:type="spellStart"/>
      <w:r w:rsidRPr="003E597A">
        <w:rPr>
          <w:color w:val="000000"/>
          <w:sz w:val="28"/>
          <w:szCs w:val="28"/>
          <w:lang w:eastAsia="uk-UA"/>
        </w:rPr>
        <w:t>частина</w:t>
      </w:r>
      <w:proofErr w:type="spellEnd"/>
      <w:r w:rsidRPr="003E597A">
        <w:rPr>
          <w:color w:val="000000"/>
          <w:sz w:val="28"/>
          <w:szCs w:val="28"/>
          <w:lang w:eastAsia="uk-UA"/>
        </w:rPr>
        <w:t xml:space="preserve"> </w:t>
      </w:r>
      <w:proofErr w:type="spellStart"/>
      <w:r w:rsidRPr="003E597A">
        <w:rPr>
          <w:color w:val="000000"/>
          <w:sz w:val="28"/>
          <w:szCs w:val="28"/>
          <w:lang w:eastAsia="uk-UA"/>
        </w:rPr>
        <w:t>термінів</w:t>
      </w:r>
      <w:proofErr w:type="spellEnd"/>
      <w:r w:rsidRPr="003E597A">
        <w:rPr>
          <w:color w:val="000000"/>
          <w:sz w:val="28"/>
          <w:szCs w:val="28"/>
          <w:lang w:eastAsia="uk-UA"/>
        </w:rPr>
        <w:t xml:space="preserve"> у </w:t>
      </w:r>
      <w:proofErr w:type="spellStart"/>
      <w:r w:rsidRPr="003E597A">
        <w:rPr>
          <w:color w:val="000000"/>
          <w:sz w:val="28"/>
          <w:szCs w:val="28"/>
          <w:lang w:eastAsia="uk-UA"/>
        </w:rPr>
        <w:t>відповідність</w:t>
      </w:r>
      <w:proofErr w:type="spellEnd"/>
      <w:r w:rsidRPr="003E597A">
        <w:rPr>
          <w:color w:val="000000"/>
          <w:sz w:val="28"/>
          <w:szCs w:val="28"/>
          <w:lang w:eastAsia="uk-UA"/>
        </w:rPr>
        <w:t xml:space="preserve"> до </w:t>
      </w:r>
      <w:proofErr w:type="spellStart"/>
      <w:r w:rsidRPr="003E597A">
        <w:rPr>
          <w:color w:val="000000"/>
          <w:sz w:val="28"/>
          <w:szCs w:val="28"/>
          <w:lang w:eastAsia="uk-UA"/>
        </w:rPr>
        <w:t>термінів</w:t>
      </w:r>
      <w:proofErr w:type="spellEnd"/>
      <w:r w:rsidRPr="003E597A">
        <w:rPr>
          <w:color w:val="000000"/>
          <w:sz w:val="28"/>
          <w:szCs w:val="28"/>
          <w:lang w:eastAsia="uk-UA"/>
        </w:rPr>
        <w:t xml:space="preserve">, </w:t>
      </w:r>
      <w:proofErr w:type="spellStart"/>
      <w:r w:rsidRPr="003E597A">
        <w:rPr>
          <w:color w:val="000000"/>
          <w:sz w:val="28"/>
          <w:szCs w:val="28"/>
          <w:lang w:eastAsia="uk-UA"/>
        </w:rPr>
        <w:t>визначених</w:t>
      </w:r>
      <w:proofErr w:type="spellEnd"/>
      <w:r w:rsidRPr="003E597A">
        <w:rPr>
          <w:color w:val="000000"/>
          <w:sz w:val="28"/>
          <w:szCs w:val="28"/>
          <w:lang w:eastAsia="uk-UA"/>
        </w:rPr>
        <w:t xml:space="preserve"> у </w:t>
      </w:r>
      <w:proofErr w:type="spellStart"/>
      <w:r w:rsidRPr="003E597A">
        <w:rPr>
          <w:color w:val="000000"/>
          <w:sz w:val="28"/>
          <w:szCs w:val="28"/>
          <w:lang w:eastAsia="uk-UA"/>
        </w:rPr>
        <w:t>статті</w:t>
      </w:r>
      <w:proofErr w:type="spellEnd"/>
      <w:r w:rsidRPr="003E597A">
        <w:rPr>
          <w:color w:val="000000"/>
          <w:sz w:val="28"/>
          <w:szCs w:val="28"/>
          <w:lang w:eastAsia="uk-UA"/>
        </w:rPr>
        <w:t xml:space="preserve"> 2 </w:t>
      </w:r>
      <w:proofErr w:type="spellStart"/>
      <w:r w:rsidRPr="003E597A">
        <w:rPr>
          <w:color w:val="000000"/>
          <w:sz w:val="28"/>
          <w:szCs w:val="28"/>
          <w:lang w:eastAsia="uk-UA"/>
        </w:rPr>
        <w:t>Директиви</w:t>
      </w:r>
      <w:proofErr w:type="spellEnd"/>
      <w:r w:rsidRPr="003E597A">
        <w:rPr>
          <w:color w:val="000000"/>
          <w:sz w:val="28"/>
          <w:szCs w:val="28"/>
          <w:lang w:eastAsia="uk-UA"/>
        </w:rPr>
        <w:t xml:space="preserve"> 2014/40/ЄС, </w:t>
      </w:r>
      <w:proofErr w:type="spellStart"/>
      <w:r w:rsidRPr="003E597A">
        <w:rPr>
          <w:color w:val="000000"/>
          <w:sz w:val="28"/>
          <w:szCs w:val="28"/>
          <w:lang w:eastAsia="uk-UA"/>
        </w:rPr>
        <w:t>запроваджуються</w:t>
      </w:r>
      <w:proofErr w:type="spellEnd"/>
      <w:r w:rsidRPr="003E597A">
        <w:rPr>
          <w:color w:val="000000"/>
          <w:sz w:val="28"/>
          <w:szCs w:val="28"/>
          <w:lang w:eastAsia="uk-UA"/>
        </w:rPr>
        <w:t xml:space="preserve"> </w:t>
      </w:r>
      <w:proofErr w:type="spellStart"/>
      <w:r w:rsidRPr="003E597A">
        <w:rPr>
          <w:color w:val="000000"/>
          <w:sz w:val="28"/>
          <w:szCs w:val="28"/>
          <w:lang w:eastAsia="uk-UA"/>
        </w:rPr>
        <w:t>максимальні</w:t>
      </w:r>
      <w:proofErr w:type="spellEnd"/>
      <w:r w:rsidRPr="003E597A">
        <w:rPr>
          <w:color w:val="000000"/>
          <w:sz w:val="28"/>
          <w:szCs w:val="28"/>
          <w:lang w:eastAsia="uk-UA"/>
        </w:rPr>
        <w:t xml:space="preserve"> </w:t>
      </w:r>
      <w:proofErr w:type="spellStart"/>
      <w:r w:rsidRPr="003E597A">
        <w:rPr>
          <w:color w:val="000000"/>
          <w:sz w:val="28"/>
          <w:szCs w:val="28"/>
          <w:lang w:eastAsia="uk-UA"/>
        </w:rPr>
        <w:t>рівні</w:t>
      </w:r>
      <w:proofErr w:type="spellEnd"/>
      <w:r w:rsidRPr="003E597A">
        <w:rPr>
          <w:color w:val="000000"/>
          <w:sz w:val="28"/>
          <w:szCs w:val="28"/>
          <w:lang w:eastAsia="uk-UA"/>
        </w:rPr>
        <w:t xml:space="preserve"> смол, </w:t>
      </w:r>
      <w:proofErr w:type="spellStart"/>
      <w:r w:rsidRPr="003E597A">
        <w:rPr>
          <w:color w:val="000000"/>
          <w:sz w:val="28"/>
          <w:szCs w:val="28"/>
          <w:lang w:eastAsia="uk-UA"/>
        </w:rPr>
        <w:t>нікотину</w:t>
      </w:r>
      <w:proofErr w:type="spellEnd"/>
      <w:r w:rsidRPr="003E597A">
        <w:rPr>
          <w:color w:val="000000"/>
          <w:sz w:val="28"/>
          <w:szCs w:val="28"/>
          <w:lang w:eastAsia="uk-UA"/>
        </w:rPr>
        <w:t xml:space="preserve"> та </w:t>
      </w:r>
      <w:proofErr w:type="spellStart"/>
      <w:r w:rsidRPr="003E597A">
        <w:rPr>
          <w:color w:val="000000"/>
          <w:sz w:val="28"/>
          <w:szCs w:val="28"/>
          <w:lang w:eastAsia="uk-UA"/>
        </w:rPr>
        <w:t>монооксиду</w:t>
      </w:r>
      <w:proofErr w:type="spellEnd"/>
      <w:r w:rsidRPr="003E597A">
        <w:rPr>
          <w:color w:val="000000"/>
          <w:sz w:val="28"/>
          <w:szCs w:val="28"/>
          <w:lang w:eastAsia="uk-UA"/>
        </w:rPr>
        <w:t xml:space="preserve"> </w:t>
      </w:r>
      <w:proofErr w:type="spellStart"/>
      <w:r w:rsidRPr="003E597A">
        <w:rPr>
          <w:color w:val="000000"/>
          <w:sz w:val="28"/>
          <w:szCs w:val="28"/>
          <w:lang w:eastAsia="uk-UA"/>
        </w:rPr>
        <w:t>вуглецю</w:t>
      </w:r>
      <w:proofErr w:type="spellEnd"/>
      <w:r w:rsidRPr="003E597A">
        <w:rPr>
          <w:color w:val="000000"/>
          <w:sz w:val="28"/>
          <w:szCs w:val="28"/>
          <w:lang w:eastAsia="uk-UA"/>
        </w:rPr>
        <w:t xml:space="preserve">, </w:t>
      </w:r>
      <w:proofErr w:type="spellStart"/>
      <w:r w:rsidRPr="003E597A">
        <w:rPr>
          <w:color w:val="000000"/>
          <w:sz w:val="28"/>
          <w:szCs w:val="28"/>
          <w:lang w:eastAsia="uk-UA"/>
        </w:rPr>
        <w:t>запроваджується</w:t>
      </w:r>
      <w:proofErr w:type="spellEnd"/>
      <w:r w:rsidRPr="003E597A">
        <w:rPr>
          <w:color w:val="000000"/>
          <w:sz w:val="28"/>
          <w:szCs w:val="28"/>
          <w:lang w:eastAsia="uk-UA"/>
        </w:rPr>
        <w:t xml:space="preserve"> заборона на </w:t>
      </w:r>
      <w:proofErr w:type="spellStart"/>
      <w:r w:rsidRPr="003E597A">
        <w:rPr>
          <w:color w:val="000000"/>
          <w:sz w:val="28"/>
          <w:szCs w:val="28"/>
          <w:lang w:eastAsia="uk-UA"/>
        </w:rPr>
        <w:t>сигарети</w:t>
      </w:r>
      <w:proofErr w:type="spellEnd"/>
      <w:r w:rsidRPr="003E597A">
        <w:rPr>
          <w:color w:val="000000"/>
          <w:sz w:val="28"/>
          <w:szCs w:val="28"/>
          <w:lang w:eastAsia="uk-UA"/>
        </w:rPr>
        <w:t xml:space="preserve"> з </w:t>
      </w:r>
      <w:proofErr w:type="spellStart"/>
      <w:r w:rsidRPr="003E597A">
        <w:rPr>
          <w:color w:val="000000"/>
          <w:sz w:val="28"/>
          <w:szCs w:val="28"/>
          <w:lang w:eastAsia="uk-UA"/>
        </w:rPr>
        <w:t>характерним</w:t>
      </w:r>
      <w:proofErr w:type="spellEnd"/>
      <w:r w:rsidRPr="003E597A">
        <w:rPr>
          <w:color w:val="000000"/>
          <w:sz w:val="28"/>
          <w:szCs w:val="28"/>
          <w:lang w:eastAsia="uk-UA"/>
        </w:rPr>
        <w:t xml:space="preserve"> запахом </w:t>
      </w:r>
      <w:proofErr w:type="spellStart"/>
      <w:r w:rsidRPr="003E597A">
        <w:rPr>
          <w:color w:val="000000"/>
          <w:sz w:val="28"/>
          <w:szCs w:val="28"/>
          <w:lang w:eastAsia="uk-UA"/>
        </w:rPr>
        <w:t>або</w:t>
      </w:r>
      <w:proofErr w:type="spellEnd"/>
      <w:r w:rsidRPr="003E597A">
        <w:rPr>
          <w:color w:val="000000"/>
          <w:sz w:val="28"/>
          <w:szCs w:val="28"/>
          <w:lang w:eastAsia="uk-UA"/>
        </w:rPr>
        <w:t xml:space="preserve"> смаком, а </w:t>
      </w:r>
      <w:proofErr w:type="spellStart"/>
      <w:r w:rsidRPr="003E597A">
        <w:rPr>
          <w:color w:val="000000"/>
          <w:sz w:val="28"/>
          <w:szCs w:val="28"/>
          <w:lang w:eastAsia="uk-UA"/>
        </w:rPr>
        <w:t>також</w:t>
      </w:r>
      <w:proofErr w:type="spellEnd"/>
      <w:r w:rsidRPr="003E597A">
        <w:rPr>
          <w:color w:val="000000"/>
          <w:sz w:val="28"/>
          <w:szCs w:val="28"/>
          <w:lang w:eastAsia="uk-UA"/>
        </w:rPr>
        <w:t xml:space="preserve"> на </w:t>
      </w:r>
      <w:proofErr w:type="spellStart"/>
      <w:r w:rsidRPr="003E597A">
        <w:rPr>
          <w:color w:val="000000"/>
          <w:sz w:val="28"/>
          <w:szCs w:val="28"/>
          <w:lang w:eastAsia="uk-UA"/>
        </w:rPr>
        <w:t>тютюнові</w:t>
      </w:r>
      <w:proofErr w:type="spellEnd"/>
      <w:r w:rsidRPr="003E597A">
        <w:rPr>
          <w:color w:val="000000"/>
          <w:sz w:val="28"/>
          <w:szCs w:val="28"/>
          <w:lang w:eastAsia="uk-UA"/>
        </w:rPr>
        <w:t xml:space="preserve"> </w:t>
      </w:r>
      <w:proofErr w:type="spellStart"/>
      <w:r w:rsidRPr="003E597A">
        <w:rPr>
          <w:color w:val="000000"/>
          <w:sz w:val="28"/>
          <w:szCs w:val="28"/>
          <w:lang w:eastAsia="uk-UA"/>
        </w:rPr>
        <w:t>вироби</w:t>
      </w:r>
      <w:proofErr w:type="spellEnd"/>
      <w:r w:rsidRPr="003E597A">
        <w:rPr>
          <w:color w:val="000000"/>
          <w:sz w:val="28"/>
          <w:szCs w:val="28"/>
          <w:lang w:eastAsia="uk-UA"/>
        </w:rPr>
        <w:t xml:space="preserve"> з </w:t>
      </w:r>
      <w:proofErr w:type="spellStart"/>
      <w:r w:rsidRPr="003E597A">
        <w:rPr>
          <w:color w:val="000000"/>
          <w:sz w:val="28"/>
          <w:szCs w:val="28"/>
          <w:lang w:eastAsia="uk-UA"/>
        </w:rPr>
        <w:t>певними</w:t>
      </w:r>
      <w:proofErr w:type="spellEnd"/>
      <w:r w:rsidRPr="003E597A">
        <w:rPr>
          <w:color w:val="000000"/>
          <w:sz w:val="28"/>
          <w:szCs w:val="28"/>
          <w:lang w:eastAsia="uk-UA"/>
        </w:rPr>
        <w:t xml:space="preserve"> добавками, </w:t>
      </w:r>
      <w:proofErr w:type="spellStart"/>
      <w:r w:rsidRPr="003E597A">
        <w:rPr>
          <w:color w:val="000000"/>
          <w:sz w:val="28"/>
          <w:szCs w:val="28"/>
          <w:lang w:eastAsia="uk-UA"/>
        </w:rPr>
        <w:t>запроваджується</w:t>
      </w:r>
      <w:proofErr w:type="spellEnd"/>
      <w:r w:rsidRPr="003E597A">
        <w:rPr>
          <w:color w:val="000000"/>
          <w:sz w:val="28"/>
          <w:szCs w:val="28"/>
          <w:lang w:eastAsia="uk-UA"/>
        </w:rPr>
        <w:t xml:space="preserve"> заборона на </w:t>
      </w:r>
      <w:proofErr w:type="spellStart"/>
      <w:r w:rsidRPr="003E597A">
        <w:rPr>
          <w:color w:val="000000"/>
          <w:sz w:val="28"/>
          <w:szCs w:val="28"/>
          <w:lang w:eastAsia="uk-UA"/>
        </w:rPr>
        <w:t>тютюнові</w:t>
      </w:r>
      <w:proofErr w:type="spellEnd"/>
      <w:r w:rsidRPr="003E597A">
        <w:rPr>
          <w:color w:val="000000"/>
          <w:sz w:val="28"/>
          <w:szCs w:val="28"/>
          <w:lang w:eastAsia="uk-UA"/>
        </w:rPr>
        <w:t xml:space="preserve"> </w:t>
      </w:r>
      <w:proofErr w:type="spellStart"/>
      <w:r w:rsidRPr="003E597A">
        <w:rPr>
          <w:color w:val="000000"/>
          <w:sz w:val="28"/>
          <w:szCs w:val="28"/>
          <w:lang w:eastAsia="uk-UA"/>
        </w:rPr>
        <w:t>вироби</w:t>
      </w:r>
      <w:proofErr w:type="spellEnd"/>
      <w:r w:rsidRPr="003E597A">
        <w:rPr>
          <w:color w:val="000000"/>
          <w:sz w:val="28"/>
          <w:szCs w:val="28"/>
          <w:lang w:eastAsia="uk-UA"/>
        </w:rPr>
        <w:t xml:space="preserve"> </w:t>
      </w:r>
      <w:proofErr w:type="spellStart"/>
      <w:r w:rsidRPr="003E597A">
        <w:rPr>
          <w:color w:val="000000"/>
          <w:sz w:val="28"/>
          <w:szCs w:val="28"/>
          <w:lang w:eastAsia="uk-UA"/>
        </w:rPr>
        <w:t>із</w:t>
      </w:r>
      <w:proofErr w:type="spellEnd"/>
      <w:r w:rsidRPr="003E597A">
        <w:rPr>
          <w:color w:val="000000"/>
          <w:sz w:val="28"/>
          <w:szCs w:val="28"/>
          <w:lang w:eastAsia="uk-UA"/>
        </w:rPr>
        <w:t xml:space="preserve"> </w:t>
      </w:r>
      <w:proofErr w:type="spellStart"/>
      <w:r w:rsidRPr="003E597A">
        <w:rPr>
          <w:color w:val="000000"/>
          <w:sz w:val="28"/>
          <w:szCs w:val="28"/>
          <w:lang w:eastAsia="uk-UA"/>
        </w:rPr>
        <w:t>використанням</w:t>
      </w:r>
      <w:proofErr w:type="spellEnd"/>
      <w:r w:rsidRPr="003E597A">
        <w:rPr>
          <w:color w:val="000000"/>
          <w:sz w:val="28"/>
          <w:szCs w:val="28"/>
          <w:lang w:eastAsia="uk-UA"/>
        </w:rPr>
        <w:t xml:space="preserve"> на </w:t>
      </w:r>
      <w:proofErr w:type="spellStart"/>
      <w:r w:rsidRPr="003E597A">
        <w:rPr>
          <w:color w:val="000000"/>
          <w:sz w:val="28"/>
          <w:szCs w:val="28"/>
          <w:lang w:eastAsia="uk-UA"/>
        </w:rPr>
        <w:t>їхній</w:t>
      </w:r>
      <w:proofErr w:type="spellEnd"/>
      <w:r w:rsidRPr="003E597A">
        <w:rPr>
          <w:color w:val="000000"/>
          <w:sz w:val="28"/>
          <w:szCs w:val="28"/>
          <w:lang w:eastAsia="uk-UA"/>
        </w:rPr>
        <w:t xml:space="preserve"> </w:t>
      </w:r>
      <w:proofErr w:type="spellStart"/>
      <w:r w:rsidRPr="003E597A">
        <w:rPr>
          <w:color w:val="000000"/>
          <w:sz w:val="28"/>
          <w:szCs w:val="28"/>
          <w:lang w:eastAsia="uk-UA"/>
        </w:rPr>
        <w:t>упаковці</w:t>
      </w:r>
      <w:proofErr w:type="spellEnd"/>
      <w:r w:rsidRPr="003E597A">
        <w:rPr>
          <w:color w:val="000000"/>
          <w:sz w:val="28"/>
          <w:szCs w:val="28"/>
          <w:lang w:eastAsia="uk-UA"/>
        </w:rPr>
        <w:t xml:space="preserve"> </w:t>
      </w:r>
      <w:proofErr w:type="spellStart"/>
      <w:r w:rsidRPr="003E597A">
        <w:rPr>
          <w:color w:val="000000"/>
          <w:sz w:val="28"/>
          <w:szCs w:val="28"/>
          <w:lang w:eastAsia="uk-UA"/>
        </w:rPr>
        <w:t>або</w:t>
      </w:r>
      <w:proofErr w:type="spellEnd"/>
      <w:r w:rsidRPr="003E597A">
        <w:rPr>
          <w:color w:val="000000"/>
          <w:sz w:val="28"/>
          <w:szCs w:val="28"/>
          <w:lang w:eastAsia="uk-UA"/>
        </w:rPr>
        <w:t xml:space="preserve"> на самих </w:t>
      </w:r>
      <w:proofErr w:type="spellStart"/>
      <w:r w:rsidRPr="003E597A">
        <w:rPr>
          <w:color w:val="000000"/>
          <w:sz w:val="28"/>
          <w:szCs w:val="28"/>
          <w:lang w:eastAsia="uk-UA"/>
        </w:rPr>
        <w:t>тютюнових</w:t>
      </w:r>
      <w:proofErr w:type="spellEnd"/>
      <w:r w:rsidRPr="003E597A">
        <w:rPr>
          <w:color w:val="000000"/>
          <w:sz w:val="28"/>
          <w:szCs w:val="28"/>
          <w:lang w:eastAsia="uk-UA"/>
        </w:rPr>
        <w:t xml:space="preserve"> </w:t>
      </w:r>
      <w:proofErr w:type="spellStart"/>
      <w:r w:rsidRPr="003E597A">
        <w:rPr>
          <w:color w:val="000000"/>
          <w:sz w:val="28"/>
          <w:szCs w:val="28"/>
          <w:lang w:eastAsia="uk-UA"/>
        </w:rPr>
        <w:t>виробах</w:t>
      </w:r>
      <w:proofErr w:type="spellEnd"/>
      <w:r w:rsidRPr="003E597A">
        <w:rPr>
          <w:color w:val="000000"/>
          <w:sz w:val="28"/>
          <w:szCs w:val="28"/>
          <w:lang w:eastAsia="uk-UA"/>
        </w:rPr>
        <w:t xml:space="preserve"> </w:t>
      </w:r>
      <w:proofErr w:type="spellStart"/>
      <w:r w:rsidRPr="003E597A">
        <w:rPr>
          <w:color w:val="000000"/>
          <w:sz w:val="28"/>
          <w:szCs w:val="28"/>
          <w:lang w:eastAsia="uk-UA"/>
        </w:rPr>
        <w:t>певних</w:t>
      </w:r>
      <w:proofErr w:type="spellEnd"/>
      <w:r w:rsidRPr="003E597A">
        <w:rPr>
          <w:color w:val="000000"/>
          <w:sz w:val="28"/>
          <w:szCs w:val="28"/>
          <w:lang w:eastAsia="uk-UA"/>
        </w:rPr>
        <w:t xml:space="preserve"> </w:t>
      </w:r>
      <w:proofErr w:type="spellStart"/>
      <w:r w:rsidRPr="003E597A">
        <w:rPr>
          <w:color w:val="000000"/>
          <w:sz w:val="28"/>
          <w:szCs w:val="28"/>
          <w:lang w:eastAsia="uk-UA"/>
        </w:rPr>
        <w:t>елементів</w:t>
      </w:r>
      <w:proofErr w:type="spellEnd"/>
      <w:r w:rsidRPr="003E597A">
        <w:rPr>
          <w:color w:val="000000"/>
          <w:sz w:val="28"/>
          <w:szCs w:val="28"/>
          <w:lang w:eastAsia="uk-UA"/>
        </w:rPr>
        <w:t xml:space="preserve"> </w:t>
      </w:r>
      <w:proofErr w:type="spellStart"/>
      <w:r w:rsidRPr="003E597A">
        <w:rPr>
          <w:color w:val="000000"/>
          <w:sz w:val="28"/>
          <w:szCs w:val="28"/>
          <w:lang w:eastAsia="uk-UA"/>
        </w:rPr>
        <w:t>або</w:t>
      </w:r>
      <w:proofErr w:type="spellEnd"/>
      <w:r w:rsidRPr="003E597A">
        <w:rPr>
          <w:color w:val="000000"/>
          <w:sz w:val="28"/>
          <w:szCs w:val="28"/>
          <w:lang w:eastAsia="uk-UA"/>
        </w:rPr>
        <w:t xml:space="preserve"> </w:t>
      </w:r>
      <w:proofErr w:type="spellStart"/>
      <w:r w:rsidRPr="003E597A">
        <w:rPr>
          <w:color w:val="000000"/>
          <w:sz w:val="28"/>
          <w:szCs w:val="28"/>
          <w:lang w:eastAsia="uk-UA"/>
        </w:rPr>
        <w:t>ознак</w:t>
      </w:r>
      <w:proofErr w:type="spellEnd"/>
      <w:r w:rsidRPr="003E597A">
        <w:rPr>
          <w:color w:val="000000"/>
          <w:sz w:val="28"/>
          <w:szCs w:val="28"/>
          <w:lang w:eastAsia="uk-UA"/>
        </w:rPr>
        <w:t xml:space="preserve"> (</w:t>
      </w:r>
      <w:proofErr w:type="spellStart"/>
      <w:r w:rsidRPr="003E597A">
        <w:rPr>
          <w:color w:val="000000"/>
          <w:sz w:val="28"/>
          <w:szCs w:val="28"/>
          <w:lang w:eastAsia="uk-UA"/>
        </w:rPr>
        <w:t>тексти</w:t>
      </w:r>
      <w:proofErr w:type="spellEnd"/>
      <w:r w:rsidRPr="003E597A">
        <w:rPr>
          <w:color w:val="000000"/>
          <w:sz w:val="28"/>
          <w:szCs w:val="28"/>
          <w:lang w:eastAsia="uk-UA"/>
        </w:rPr>
        <w:t xml:space="preserve">, </w:t>
      </w:r>
      <w:proofErr w:type="spellStart"/>
      <w:r w:rsidRPr="003E597A">
        <w:rPr>
          <w:color w:val="000000"/>
          <w:sz w:val="28"/>
          <w:szCs w:val="28"/>
          <w:lang w:eastAsia="uk-UA"/>
        </w:rPr>
        <w:t>символи</w:t>
      </w:r>
      <w:proofErr w:type="spellEnd"/>
      <w:r w:rsidRPr="003E597A">
        <w:rPr>
          <w:color w:val="000000"/>
          <w:sz w:val="28"/>
          <w:szCs w:val="28"/>
          <w:lang w:eastAsia="uk-UA"/>
        </w:rPr>
        <w:t xml:space="preserve">, </w:t>
      </w:r>
      <w:proofErr w:type="spellStart"/>
      <w:r w:rsidRPr="003E597A">
        <w:rPr>
          <w:color w:val="000000"/>
          <w:sz w:val="28"/>
          <w:szCs w:val="28"/>
          <w:lang w:eastAsia="uk-UA"/>
        </w:rPr>
        <w:t>назви</w:t>
      </w:r>
      <w:proofErr w:type="spellEnd"/>
      <w:r w:rsidRPr="003E597A">
        <w:rPr>
          <w:color w:val="000000"/>
          <w:sz w:val="28"/>
          <w:szCs w:val="28"/>
          <w:lang w:eastAsia="uk-UA"/>
        </w:rPr>
        <w:t xml:space="preserve">, </w:t>
      </w:r>
      <w:proofErr w:type="spellStart"/>
      <w:r w:rsidRPr="003E597A">
        <w:rPr>
          <w:color w:val="000000"/>
          <w:sz w:val="28"/>
          <w:szCs w:val="28"/>
          <w:lang w:eastAsia="uk-UA"/>
        </w:rPr>
        <w:t>торговельні</w:t>
      </w:r>
      <w:proofErr w:type="spellEnd"/>
      <w:r w:rsidRPr="003E597A">
        <w:rPr>
          <w:color w:val="000000"/>
          <w:sz w:val="28"/>
          <w:szCs w:val="28"/>
          <w:lang w:eastAsia="uk-UA"/>
        </w:rPr>
        <w:t xml:space="preserve"> марки </w:t>
      </w:r>
      <w:proofErr w:type="spellStart"/>
      <w:r w:rsidRPr="003E597A">
        <w:rPr>
          <w:color w:val="000000"/>
          <w:sz w:val="28"/>
          <w:szCs w:val="28"/>
          <w:lang w:eastAsia="uk-UA"/>
        </w:rPr>
        <w:t>або</w:t>
      </w:r>
      <w:proofErr w:type="spellEnd"/>
      <w:r w:rsidRPr="003E597A">
        <w:rPr>
          <w:color w:val="000000"/>
          <w:sz w:val="28"/>
          <w:szCs w:val="28"/>
          <w:lang w:eastAsia="uk-UA"/>
        </w:rPr>
        <w:t xml:space="preserve"> </w:t>
      </w:r>
      <w:proofErr w:type="spellStart"/>
      <w:r w:rsidRPr="003E597A">
        <w:rPr>
          <w:color w:val="000000"/>
          <w:sz w:val="28"/>
          <w:szCs w:val="28"/>
          <w:lang w:eastAsia="uk-UA"/>
        </w:rPr>
        <w:t>інші</w:t>
      </w:r>
      <w:proofErr w:type="spellEnd"/>
      <w:r w:rsidRPr="003E597A">
        <w:rPr>
          <w:color w:val="000000"/>
          <w:sz w:val="28"/>
          <w:szCs w:val="28"/>
          <w:lang w:eastAsia="uk-UA"/>
        </w:rPr>
        <w:t xml:space="preserve"> </w:t>
      </w:r>
      <w:proofErr w:type="spellStart"/>
      <w:r w:rsidRPr="003E597A">
        <w:rPr>
          <w:color w:val="000000"/>
          <w:sz w:val="28"/>
          <w:szCs w:val="28"/>
          <w:lang w:eastAsia="uk-UA"/>
        </w:rPr>
        <w:t>ознаки</w:t>
      </w:r>
      <w:proofErr w:type="spellEnd"/>
      <w:r w:rsidRPr="003E597A">
        <w:rPr>
          <w:color w:val="000000"/>
          <w:sz w:val="28"/>
          <w:szCs w:val="28"/>
          <w:lang w:eastAsia="uk-UA"/>
        </w:rPr>
        <w:t xml:space="preserve">), </w:t>
      </w:r>
      <w:proofErr w:type="spellStart"/>
      <w:r w:rsidRPr="003E597A">
        <w:rPr>
          <w:color w:val="000000"/>
          <w:sz w:val="28"/>
          <w:szCs w:val="28"/>
          <w:lang w:eastAsia="uk-UA"/>
        </w:rPr>
        <w:t>запроваджується</w:t>
      </w:r>
      <w:proofErr w:type="spellEnd"/>
      <w:r w:rsidRPr="003E597A">
        <w:rPr>
          <w:color w:val="000000"/>
          <w:sz w:val="28"/>
          <w:szCs w:val="28"/>
          <w:lang w:eastAsia="uk-UA"/>
        </w:rPr>
        <w:t xml:space="preserve"> заборона тютюну для перорального </w:t>
      </w:r>
      <w:proofErr w:type="spellStart"/>
      <w:r w:rsidRPr="003E597A">
        <w:rPr>
          <w:color w:val="000000"/>
          <w:sz w:val="28"/>
          <w:szCs w:val="28"/>
          <w:lang w:eastAsia="uk-UA"/>
        </w:rPr>
        <w:t>застосування</w:t>
      </w:r>
      <w:proofErr w:type="spellEnd"/>
      <w:r w:rsidRPr="003E597A">
        <w:rPr>
          <w:color w:val="000000"/>
          <w:sz w:val="28"/>
          <w:szCs w:val="28"/>
          <w:lang w:eastAsia="uk-UA"/>
        </w:rPr>
        <w:t xml:space="preserve">, вноситься нова </w:t>
      </w:r>
      <w:proofErr w:type="spellStart"/>
      <w:r w:rsidRPr="003E597A">
        <w:rPr>
          <w:color w:val="000000"/>
          <w:sz w:val="28"/>
          <w:szCs w:val="28"/>
          <w:lang w:eastAsia="uk-UA"/>
        </w:rPr>
        <w:t>стаття</w:t>
      </w:r>
      <w:proofErr w:type="spellEnd"/>
      <w:r w:rsidRPr="003E597A">
        <w:rPr>
          <w:color w:val="000000"/>
          <w:sz w:val="28"/>
          <w:szCs w:val="28"/>
          <w:lang w:eastAsia="uk-UA"/>
        </w:rPr>
        <w:t xml:space="preserve"> 10-1. «</w:t>
      </w:r>
      <w:proofErr w:type="spellStart"/>
      <w:r w:rsidRPr="003E597A">
        <w:rPr>
          <w:color w:val="000000"/>
          <w:sz w:val="28"/>
          <w:szCs w:val="28"/>
          <w:lang w:eastAsia="uk-UA"/>
        </w:rPr>
        <w:t>Електронні</w:t>
      </w:r>
      <w:proofErr w:type="spellEnd"/>
      <w:r w:rsidRPr="003E597A">
        <w:rPr>
          <w:color w:val="000000"/>
          <w:sz w:val="28"/>
          <w:szCs w:val="28"/>
          <w:lang w:eastAsia="uk-UA"/>
        </w:rPr>
        <w:t xml:space="preserve"> </w:t>
      </w:r>
      <w:proofErr w:type="spellStart"/>
      <w:r w:rsidRPr="003E597A">
        <w:rPr>
          <w:color w:val="000000"/>
          <w:sz w:val="28"/>
          <w:szCs w:val="28"/>
          <w:lang w:eastAsia="uk-UA"/>
        </w:rPr>
        <w:t>сигарети</w:t>
      </w:r>
      <w:proofErr w:type="spellEnd"/>
      <w:r w:rsidRPr="003E597A">
        <w:rPr>
          <w:color w:val="000000"/>
          <w:sz w:val="28"/>
          <w:szCs w:val="28"/>
          <w:lang w:eastAsia="uk-UA"/>
        </w:rPr>
        <w:t xml:space="preserve">», вноситься нова </w:t>
      </w:r>
      <w:proofErr w:type="spellStart"/>
      <w:r w:rsidRPr="003E597A">
        <w:rPr>
          <w:color w:val="000000"/>
          <w:sz w:val="28"/>
          <w:szCs w:val="28"/>
          <w:lang w:eastAsia="uk-UA"/>
        </w:rPr>
        <w:t>стаття</w:t>
      </w:r>
      <w:proofErr w:type="spellEnd"/>
      <w:r w:rsidRPr="003E597A">
        <w:rPr>
          <w:color w:val="000000"/>
          <w:sz w:val="28"/>
          <w:szCs w:val="28"/>
          <w:lang w:eastAsia="uk-UA"/>
        </w:rPr>
        <w:t xml:space="preserve"> 11-1. «</w:t>
      </w:r>
      <w:proofErr w:type="spellStart"/>
      <w:r w:rsidRPr="003E597A">
        <w:rPr>
          <w:color w:val="000000"/>
          <w:sz w:val="28"/>
          <w:szCs w:val="28"/>
          <w:lang w:eastAsia="uk-UA"/>
        </w:rPr>
        <w:t>Звітність</w:t>
      </w:r>
      <w:proofErr w:type="spellEnd"/>
      <w:r w:rsidRPr="003E597A">
        <w:rPr>
          <w:color w:val="000000"/>
          <w:sz w:val="28"/>
          <w:szCs w:val="28"/>
          <w:lang w:eastAsia="uk-UA"/>
        </w:rPr>
        <w:t xml:space="preserve"> про </w:t>
      </w:r>
      <w:proofErr w:type="spellStart"/>
      <w:r w:rsidRPr="003E597A">
        <w:rPr>
          <w:color w:val="000000"/>
          <w:sz w:val="28"/>
          <w:szCs w:val="28"/>
          <w:lang w:eastAsia="uk-UA"/>
        </w:rPr>
        <w:t>інгредієнти</w:t>
      </w:r>
      <w:proofErr w:type="spellEnd"/>
      <w:r w:rsidRPr="003E597A">
        <w:rPr>
          <w:color w:val="000000"/>
          <w:sz w:val="28"/>
          <w:szCs w:val="28"/>
          <w:lang w:eastAsia="uk-UA"/>
        </w:rPr>
        <w:t xml:space="preserve"> та </w:t>
      </w:r>
      <w:proofErr w:type="spellStart"/>
      <w:r w:rsidRPr="003E597A">
        <w:rPr>
          <w:color w:val="000000"/>
          <w:sz w:val="28"/>
          <w:szCs w:val="28"/>
          <w:lang w:eastAsia="uk-UA"/>
        </w:rPr>
        <w:t>викиди</w:t>
      </w:r>
      <w:proofErr w:type="spellEnd"/>
      <w:r w:rsidRPr="003E597A">
        <w:rPr>
          <w:color w:val="000000"/>
          <w:sz w:val="28"/>
          <w:szCs w:val="28"/>
          <w:lang w:eastAsia="uk-UA"/>
        </w:rPr>
        <w:t xml:space="preserve">», </w:t>
      </w:r>
      <w:proofErr w:type="spellStart"/>
      <w:r w:rsidRPr="003E597A">
        <w:rPr>
          <w:color w:val="000000"/>
          <w:sz w:val="28"/>
          <w:szCs w:val="28"/>
          <w:lang w:eastAsia="uk-UA"/>
        </w:rPr>
        <w:t>носяться</w:t>
      </w:r>
      <w:proofErr w:type="spellEnd"/>
      <w:r w:rsidRPr="003E597A">
        <w:rPr>
          <w:color w:val="000000"/>
          <w:sz w:val="28"/>
          <w:szCs w:val="28"/>
          <w:lang w:eastAsia="uk-UA"/>
        </w:rPr>
        <w:t xml:space="preserve"> </w:t>
      </w:r>
      <w:proofErr w:type="spellStart"/>
      <w:r w:rsidRPr="003E597A">
        <w:rPr>
          <w:color w:val="000000"/>
          <w:sz w:val="28"/>
          <w:szCs w:val="28"/>
          <w:lang w:eastAsia="uk-UA"/>
        </w:rPr>
        <w:t>зміни</w:t>
      </w:r>
      <w:proofErr w:type="spellEnd"/>
      <w:r w:rsidRPr="003E597A">
        <w:rPr>
          <w:color w:val="000000"/>
          <w:sz w:val="28"/>
          <w:szCs w:val="28"/>
          <w:lang w:eastAsia="uk-UA"/>
        </w:rPr>
        <w:t xml:space="preserve"> до </w:t>
      </w:r>
      <w:proofErr w:type="spellStart"/>
      <w:r w:rsidRPr="003E597A">
        <w:rPr>
          <w:color w:val="000000"/>
          <w:sz w:val="28"/>
          <w:szCs w:val="28"/>
          <w:lang w:eastAsia="uk-UA"/>
        </w:rPr>
        <w:t>статті</w:t>
      </w:r>
      <w:proofErr w:type="spellEnd"/>
      <w:r w:rsidRPr="003E597A">
        <w:rPr>
          <w:color w:val="000000"/>
          <w:sz w:val="28"/>
          <w:szCs w:val="28"/>
          <w:lang w:eastAsia="uk-UA"/>
        </w:rPr>
        <w:t xml:space="preserve"> 12, </w:t>
      </w:r>
      <w:proofErr w:type="spellStart"/>
      <w:r w:rsidRPr="003E597A">
        <w:rPr>
          <w:color w:val="000000"/>
          <w:sz w:val="28"/>
          <w:szCs w:val="28"/>
          <w:lang w:eastAsia="uk-UA"/>
        </w:rPr>
        <w:t>відповідно</w:t>
      </w:r>
      <w:proofErr w:type="spellEnd"/>
      <w:r w:rsidRPr="003E597A">
        <w:rPr>
          <w:color w:val="000000"/>
          <w:sz w:val="28"/>
          <w:szCs w:val="28"/>
          <w:lang w:eastAsia="uk-UA"/>
        </w:rPr>
        <w:t xml:space="preserve"> до </w:t>
      </w:r>
      <w:proofErr w:type="spellStart"/>
      <w:r w:rsidRPr="003E597A">
        <w:rPr>
          <w:color w:val="000000"/>
          <w:sz w:val="28"/>
          <w:szCs w:val="28"/>
          <w:lang w:eastAsia="uk-UA"/>
        </w:rPr>
        <w:t>вимоги</w:t>
      </w:r>
      <w:proofErr w:type="spellEnd"/>
      <w:r w:rsidRPr="003E597A">
        <w:rPr>
          <w:color w:val="000000"/>
          <w:sz w:val="28"/>
          <w:szCs w:val="28"/>
          <w:lang w:eastAsia="uk-UA"/>
        </w:rPr>
        <w:t xml:space="preserve"> про </w:t>
      </w:r>
      <w:proofErr w:type="spellStart"/>
      <w:r w:rsidRPr="003E597A">
        <w:rPr>
          <w:color w:val="000000"/>
          <w:sz w:val="28"/>
          <w:szCs w:val="28"/>
          <w:lang w:eastAsia="uk-UA"/>
        </w:rPr>
        <w:t>медичні</w:t>
      </w:r>
      <w:proofErr w:type="spellEnd"/>
      <w:r w:rsidRPr="003E597A">
        <w:rPr>
          <w:color w:val="000000"/>
          <w:sz w:val="28"/>
          <w:szCs w:val="28"/>
          <w:lang w:eastAsia="uk-UA"/>
        </w:rPr>
        <w:t xml:space="preserve"> </w:t>
      </w:r>
      <w:proofErr w:type="spellStart"/>
      <w:r w:rsidRPr="003E597A">
        <w:rPr>
          <w:color w:val="000000"/>
          <w:sz w:val="28"/>
          <w:szCs w:val="28"/>
          <w:lang w:eastAsia="uk-UA"/>
        </w:rPr>
        <w:lastRenderedPageBreak/>
        <w:t>попередження</w:t>
      </w:r>
      <w:proofErr w:type="spellEnd"/>
      <w:r w:rsidRPr="003E597A">
        <w:rPr>
          <w:color w:val="000000"/>
          <w:sz w:val="28"/>
          <w:szCs w:val="28"/>
          <w:lang w:eastAsia="uk-UA"/>
        </w:rPr>
        <w:t xml:space="preserve"> </w:t>
      </w:r>
      <w:proofErr w:type="spellStart"/>
      <w:r w:rsidRPr="003E597A">
        <w:rPr>
          <w:color w:val="000000"/>
          <w:sz w:val="28"/>
          <w:szCs w:val="28"/>
          <w:lang w:eastAsia="uk-UA"/>
        </w:rPr>
        <w:t>тютюнових</w:t>
      </w:r>
      <w:proofErr w:type="spellEnd"/>
      <w:r w:rsidRPr="003E597A">
        <w:rPr>
          <w:color w:val="000000"/>
          <w:sz w:val="28"/>
          <w:szCs w:val="28"/>
          <w:lang w:eastAsia="uk-UA"/>
        </w:rPr>
        <w:t xml:space="preserve"> </w:t>
      </w:r>
      <w:proofErr w:type="spellStart"/>
      <w:r w:rsidRPr="003E597A">
        <w:rPr>
          <w:color w:val="000000"/>
          <w:sz w:val="28"/>
          <w:szCs w:val="28"/>
          <w:lang w:eastAsia="uk-UA"/>
        </w:rPr>
        <w:t>виробів</w:t>
      </w:r>
      <w:proofErr w:type="spellEnd"/>
      <w:r w:rsidRPr="003E597A">
        <w:rPr>
          <w:color w:val="000000"/>
          <w:sz w:val="28"/>
          <w:szCs w:val="28"/>
          <w:lang w:eastAsia="uk-UA"/>
        </w:rPr>
        <w:t xml:space="preserve"> для </w:t>
      </w:r>
      <w:proofErr w:type="spellStart"/>
      <w:r w:rsidRPr="003E597A">
        <w:rPr>
          <w:color w:val="000000"/>
          <w:sz w:val="28"/>
          <w:szCs w:val="28"/>
          <w:lang w:eastAsia="uk-UA"/>
        </w:rPr>
        <w:t>куріння</w:t>
      </w:r>
      <w:proofErr w:type="spellEnd"/>
      <w:r w:rsidRPr="003E597A">
        <w:rPr>
          <w:color w:val="000000"/>
          <w:sz w:val="28"/>
          <w:szCs w:val="28"/>
          <w:lang w:eastAsia="uk-UA"/>
        </w:rPr>
        <w:t xml:space="preserve">, вноситься нова </w:t>
      </w:r>
      <w:proofErr w:type="spellStart"/>
      <w:r w:rsidRPr="003E597A">
        <w:rPr>
          <w:color w:val="000000"/>
          <w:sz w:val="28"/>
          <w:szCs w:val="28"/>
          <w:lang w:eastAsia="uk-UA"/>
        </w:rPr>
        <w:t>стаття</w:t>
      </w:r>
      <w:proofErr w:type="spellEnd"/>
      <w:r w:rsidRPr="003E597A">
        <w:rPr>
          <w:color w:val="000000"/>
          <w:sz w:val="28"/>
          <w:szCs w:val="28"/>
          <w:lang w:eastAsia="uk-UA"/>
        </w:rPr>
        <w:t xml:space="preserve"> 12-1. «</w:t>
      </w:r>
      <w:proofErr w:type="spellStart"/>
      <w:r w:rsidRPr="003E597A">
        <w:rPr>
          <w:color w:val="000000"/>
          <w:sz w:val="28"/>
          <w:szCs w:val="28"/>
          <w:lang w:eastAsia="uk-UA"/>
        </w:rPr>
        <w:t>Медичні</w:t>
      </w:r>
      <w:proofErr w:type="spellEnd"/>
      <w:r w:rsidRPr="003E597A">
        <w:rPr>
          <w:color w:val="000000"/>
          <w:sz w:val="28"/>
          <w:szCs w:val="28"/>
          <w:lang w:eastAsia="uk-UA"/>
        </w:rPr>
        <w:t xml:space="preserve"> </w:t>
      </w:r>
      <w:proofErr w:type="spellStart"/>
      <w:r w:rsidRPr="003E597A">
        <w:rPr>
          <w:color w:val="000000"/>
          <w:sz w:val="28"/>
          <w:szCs w:val="28"/>
          <w:lang w:eastAsia="uk-UA"/>
        </w:rPr>
        <w:t>попередження</w:t>
      </w:r>
      <w:proofErr w:type="spellEnd"/>
      <w:r w:rsidRPr="003E597A">
        <w:rPr>
          <w:color w:val="000000"/>
          <w:sz w:val="28"/>
          <w:szCs w:val="28"/>
          <w:lang w:eastAsia="uk-UA"/>
        </w:rPr>
        <w:t xml:space="preserve"> </w:t>
      </w:r>
      <w:proofErr w:type="spellStart"/>
      <w:r w:rsidRPr="003E597A">
        <w:rPr>
          <w:color w:val="000000"/>
          <w:sz w:val="28"/>
          <w:szCs w:val="28"/>
          <w:lang w:eastAsia="uk-UA"/>
        </w:rPr>
        <w:t>тютюнових</w:t>
      </w:r>
      <w:proofErr w:type="spellEnd"/>
      <w:r w:rsidRPr="003E597A">
        <w:rPr>
          <w:color w:val="000000"/>
          <w:sz w:val="28"/>
          <w:szCs w:val="28"/>
          <w:lang w:eastAsia="uk-UA"/>
        </w:rPr>
        <w:t xml:space="preserve"> </w:t>
      </w:r>
      <w:proofErr w:type="spellStart"/>
      <w:r w:rsidRPr="003E597A">
        <w:rPr>
          <w:color w:val="000000"/>
          <w:sz w:val="28"/>
          <w:szCs w:val="28"/>
          <w:lang w:eastAsia="uk-UA"/>
        </w:rPr>
        <w:t>виробів</w:t>
      </w:r>
      <w:proofErr w:type="spellEnd"/>
      <w:r w:rsidRPr="003E597A">
        <w:rPr>
          <w:color w:val="000000"/>
          <w:sz w:val="28"/>
          <w:szCs w:val="28"/>
          <w:lang w:eastAsia="uk-UA"/>
        </w:rPr>
        <w:t xml:space="preserve"> для </w:t>
      </w:r>
      <w:proofErr w:type="spellStart"/>
      <w:r w:rsidRPr="003E597A">
        <w:rPr>
          <w:color w:val="000000"/>
          <w:sz w:val="28"/>
          <w:szCs w:val="28"/>
          <w:lang w:eastAsia="uk-UA"/>
        </w:rPr>
        <w:t>куріння</w:t>
      </w:r>
      <w:proofErr w:type="spellEnd"/>
      <w:r w:rsidRPr="003E597A">
        <w:rPr>
          <w:color w:val="000000"/>
          <w:sz w:val="28"/>
          <w:szCs w:val="28"/>
          <w:lang w:eastAsia="uk-UA"/>
        </w:rPr>
        <w:t xml:space="preserve">, </w:t>
      </w:r>
      <w:proofErr w:type="spellStart"/>
      <w:r w:rsidRPr="003E597A">
        <w:rPr>
          <w:color w:val="000000"/>
          <w:sz w:val="28"/>
          <w:szCs w:val="28"/>
          <w:lang w:eastAsia="uk-UA"/>
        </w:rPr>
        <w:t>інших</w:t>
      </w:r>
      <w:proofErr w:type="spellEnd"/>
      <w:r w:rsidRPr="003E597A">
        <w:rPr>
          <w:color w:val="000000"/>
          <w:sz w:val="28"/>
          <w:szCs w:val="28"/>
          <w:lang w:eastAsia="uk-UA"/>
        </w:rPr>
        <w:t xml:space="preserve"> </w:t>
      </w:r>
      <w:proofErr w:type="spellStart"/>
      <w:r w:rsidRPr="003E597A">
        <w:rPr>
          <w:color w:val="000000"/>
          <w:sz w:val="28"/>
          <w:szCs w:val="28"/>
          <w:lang w:eastAsia="uk-UA"/>
        </w:rPr>
        <w:t>ніж</w:t>
      </w:r>
      <w:proofErr w:type="spellEnd"/>
      <w:r w:rsidRPr="003E597A">
        <w:rPr>
          <w:color w:val="000000"/>
          <w:sz w:val="28"/>
          <w:szCs w:val="28"/>
          <w:lang w:eastAsia="uk-UA"/>
        </w:rPr>
        <w:t xml:space="preserve"> </w:t>
      </w:r>
      <w:proofErr w:type="spellStart"/>
      <w:r w:rsidRPr="003E597A">
        <w:rPr>
          <w:color w:val="000000"/>
          <w:sz w:val="28"/>
          <w:szCs w:val="28"/>
          <w:lang w:eastAsia="uk-UA"/>
        </w:rPr>
        <w:t>сигарети</w:t>
      </w:r>
      <w:proofErr w:type="spellEnd"/>
      <w:r w:rsidRPr="003E597A">
        <w:rPr>
          <w:color w:val="000000"/>
          <w:sz w:val="28"/>
          <w:szCs w:val="28"/>
          <w:lang w:eastAsia="uk-UA"/>
        </w:rPr>
        <w:t xml:space="preserve">, тютюн для самокруток та тютюн для кальяну», вноситься нова </w:t>
      </w:r>
      <w:proofErr w:type="spellStart"/>
      <w:r w:rsidRPr="003E597A">
        <w:rPr>
          <w:color w:val="000000"/>
          <w:sz w:val="28"/>
          <w:szCs w:val="28"/>
          <w:lang w:eastAsia="uk-UA"/>
        </w:rPr>
        <w:t>стаття</w:t>
      </w:r>
      <w:proofErr w:type="spellEnd"/>
      <w:r w:rsidRPr="003E597A">
        <w:rPr>
          <w:color w:val="000000"/>
          <w:sz w:val="28"/>
          <w:szCs w:val="28"/>
          <w:lang w:eastAsia="uk-UA"/>
        </w:rPr>
        <w:t xml:space="preserve"> 12-2. «</w:t>
      </w:r>
      <w:proofErr w:type="spellStart"/>
      <w:r w:rsidRPr="003E597A">
        <w:rPr>
          <w:color w:val="000000"/>
          <w:sz w:val="28"/>
          <w:szCs w:val="28"/>
          <w:lang w:eastAsia="uk-UA"/>
        </w:rPr>
        <w:t>Медичні</w:t>
      </w:r>
      <w:proofErr w:type="spellEnd"/>
      <w:r w:rsidRPr="003E597A">
        <w:rPr>
          <w:color w:val="000000"/>
          <w:sz w:val="28"/>
          <w:szCs w:val="28"/>
          <w:lang w:eastAsia="uk-UA"/>
        </w:rPr>
        <w:t xml:space="preserve"> </w:t>
      </w:r>
      <w:proofErr w:type="spellStart"/>
      <w:r w:rsidRPr="003E597A">
        <w:rPr>
          <w:color w:val="000000"/>
          <w:sz w:val="28"/>
          <w:szCs w:val="28"/>
          <w:lang w:eastAsia="uk-UA"/>
        </w:rPr>
        <w:t>попередження</w:t>
      </w:r>
      <w:proofErr w:type="spellEnd"/>
      <w:r w:rsidRPr="003E597A">
        <w:rPr>
          <w:color w:val="000000"/>
          <w:sz w:val="28"/>
          <w:szCs w:val="28"/>
          <w:lang w:eastAsia="uk-UA"/>
        </w:rPr>
        <w:t xml:space="preserve"> та упаковка </w:t>
      </w:r>
      <w:proofErr w:type="spellStart"/>
      <w:r w:rsidRPr="003E597A">
        <w:rPr>
          <w:color w:val="000000"/>
          <w:sz w:val="28"/>
          <w:szCs w:val="28"/>
          <w:lang w:eastAsia="uk-UA"/>
        </w:rPr>
        <w:t>електронних</w:t>
      </w:r>
      <w:proofErr w:type="spellEnd"/>
      <w:r w:rsidRPr="003E597A">
        <w:rPr>
          <w:color w:val="000000"/>
          <w:sz w:val="28"/>
          <w:szCs w:val="28"/>
          <w:lang w:eastAsia="uk-UA"/>
        </w:rPr>
        <w:t xml:space="preserve"> сигарет і </w:t>
      </w:r>
      <w:proofErr w:type="spellStart"/>
      <w:r w:rsidRPr="003E597A">
        <w:rPr>
          <w:color w:val="000000"/>
          <w:sz w:val="28"/>
          <w:szCs w:val="28"/>
          <w:lang w:eastAsia="uk-UA"/>
        </w:rPr>
        <w:t>заправних</w:t>
      </w:r>
      <w:proofErr w:type="spellEnd"/>
      <w:r w:rsidRPr="003E597A">
        <w:rPr>
          <w:color w:val="000000"/>
          <w:sz w:val="28"/>
          <w:szCs w:val="28"/>
          <w:lang w:eastAsia="uk-UA"/>
        </w:rPr>
        <w:t xml:space="preserve"> </w:t>
      </w:r>
      <w:proofErr w:type="spellStart"/>
      <w:r w:rsidRPr="003E597A">
        <w:rPr>
          <w:color w:val="000000"/>
          <w:sz w:val="28"/>
          <w:szCs w:val="28"/>
          <w:lang w:eastAsia="uk-UA"/>
        </w:rPr>
        <w:t>контейнерів</w:t>
      </w:r>
      <w:proofErr w:type="spellEnd"/>
      <w:r w:rsidRPr="003E597A">
        <w:rPr>
          <w:color w:val="000000"/>
          <w:sz w:val="28"/>
          <w:szCs w:val="28"/>
          <w:lang w:eastAsia="uk-UA"/>
        </w:rPr>
        <w:t xml:space="preserve">», вноситься нова </w:t>
      </w:r>
      <w:proofErr w:type="spellStart"/>
      <w:r w:rsidRPr="003E597A">
        <w:rPr>
          <w:color w:val="000000"/>
          <w:sz w:val="28"/>
          <w:szCs w:val="28"/>
          <w:lang w:eastAsia="uk-UA"/>
        </w:rPr>
        <w:t>стаття</w:t>
      </w:r>
      <w:proofErr w:type="spellEnd"/>
      <w:r w:rsidRPr="003E597A">
        <w:rPr>
          <w:color w:val="000000"/>
          <w:sz w:val="28"/>
          <w:szCs w:val="28"/>
          <w:lang w:eastAsia="uk-UA"/>
        </w:rPr>
        <w:t xml:space="preserve"> 12-3. «</w:t>
      </w:r>
      <w:proofErr w:type="spellStart"/>
      <w:r w:rsidRPr="003E597A">
        <w:rPr>
          <w:color w:val="000000"/>
          <w:sz w:val="28"/>
          <w:szCs w:val="28"/>
          <w:lang w:eastAsia="uk-UA"/>
        </w:rPr>
        <w:t>Медичні</w:t>
      </w:r>
      <w:proofErr w:type="spellEnd"/>
      <w:r w:rsidRPr="003E597A">
        <w:rPr>
          <w:color w:val="000000"/>
          <w:sz w:val="28"/>
          <w:szCs w:val="28"/>
          <w:lang w:eastAsia="uk-UA"/>
        </w:rPr>
        <w:t xml:space="preserve"> </w:t>
      </w:r>
      <w:proofErr w:type="spellStart"/>
      <w:r w:rsidRPr="003E597A">
        <w:rPr>
          <w:color w:val="000000"/>
          <w:sz w:val="28"/>
          <w:szCs w:val="28"/>
          <w:lang w:eastAsia="uk-UA"/>
        </w:rPr>
        <w:t>попередження</w:t>
      </w:r>
      <w:proofErr w:type="spellEnd"/>
      <w:r w:rsidRPr="003E597A">
        <w:rPr>
          <w:color w:val="000000"/>
          <w:sz w:val="28"/>
          <w:szCs w:val="28"/>
          <w:lang w:eastAsia="uk-UA"/>
        </w:rPr>
        <w:t xml:space="preserve"> та упаковка </w:t>
      </w:r>
      <w:proofErr w:type="spellStart"/>
      <w:r w:rsidRPr="003E597A">
        <w:rPr>
          <w:color w:val="000000"/>
          <w:sz w:val="28"/>
          <w:szCs w:val="28"/>
          <w:lang w:eastAsia="uk-UA"/>
        </w:rPr>
        <w:t>трав’яних</w:t>
      </w:r>
      <w:proofErr w:type="spellEnd"/>
      <w:r w:rsidRPr="003E597A">
        <w:rPr>
          <w:color w:val="000000"/>
          <w:sz w:val="28"/>
          <w:szCs w:val="28"/>
          <w:lang w:eastAsia="uk-UA"/>
        </w:rPr>
        <w:t xml:space="preserve"> </w:t>
      </w:r>
      <w:proofErr w:type="spellStart"/>
      <w:r w:rsidRPr="003E597A">
        <w:rPr>
          <w:color w:val="000000"/>
          <w:sz w:val="28"/>
          <w:szCs w:val="28"/>
          <w:lang w:eastAsia="uk-UA"/>
        </w:rPr>
        <w:t>виробів</w:t>
      </w:r>
      <w:proofErr w:type="spellEnd"/>
      <w:r w:rsidRPr="003E597A">
        <w:rPr>
          <w:color w:val="000000"/>
          <w:sz w:val="28"/>
          <w:szCs w:val="28"/>
          <w:lang w:eastAsia="uk-UA"/>
        </w:rPr>
        <w:t xml:space="preserve"> для </w:t>
      </w:r>
      <w:proofErr w:type="spellStart"/>
      <w:r w:rsidRPr="003E597A">
        <w:rPr>
          <w:color w:val="000000"/>
          <w:sz w:val="28"/>
          <w:szCs w:val="28"/>
          <w:lang w:eastAsia="uk-UA"/>
        </w:rPr>
        <w:t>куріння</w:t>
      </w:r>
      <w:proofErr w:type="spellEnd"/>
      <w:r w:rsidRPr="003E597A">
        <w:rPr>
          <w:color w:val="000000"/>
          <w:sz w:val="28"/>
          <w:szCs w:val="28"/>
          <w:lang w:eastAsia="uk-UA"/>
        </w:rPr>
        <w:t xml:space="preserve">» </w:t>
      </w:r>
      <w:proofErr w:type="spellStart"/>
      <w:r w:rsidRPr="003E597A">
        <w:rPr>
          <w:color w:val="000000"/>
          <w:sz w:val="28"/>
          <w:szCs w:val="28"/>
          <w:lang w:eastAsia="uk-UA"/>
        </w:rPr>
        <w:t>відповідно</w:t>
      </w:r>
      <w:proofErr w:type="spellEnd"/>
      <w:r w:rsidRPr="003E597A">
        <w:rPr>
          <w:color w:val="000000"/>
          <w:sz w:val="28"/>
          <w:szCs w:val="28"/>
          <w:lang w:eastAsia="uk-UA"/>
        </w:rPr>
        <w:t xml:space="preserve"> до </w:t>
      </w:r>
      <w:proofErr w:type="spellStart"/>
      <w:r w:rsidRPr="003E597A">
        <w:rPr>
          <w:color w:val="000000"/>
          <w:sz w:val="28"/>
          <w:szCs w:val="28"/>
          <w:lang w:eastAsia="uk-UA"/>
        </w:rPr>
        <w:t>положень</w:t>
      </w:r>
      <w:proofErr w:type="spellEnd"/>
      <w:r w:rsidRPr="003E597A">
        <w:rPr>
          <w:color w:val="000000"/>
          <w:sz w:val="28"/>
          <w:szCs w:val="28"/>
          <w:lang w:eastAsia="uk-UA"/>
        </w:rPr>
        <w:t xml:space="preserve"> </w:t>
      </w:r>
      <w:proofErr w:type="spellStart"/>
      <w:r w:rsidRPr="003E597A">
        <w:rPr>
          <w:color w:val="000000"/>
          <w:sz w:val="28"/>
          <w:szCs w:val="28"/>
          <w:lang w:eastAsia="uk-UA"/>
        </w:rPr>
        <w:t>Директиви</w:t>
      </w:r>
      <w:proofErr w:type="spellEnd"/>
      <w:r w:rsidRPr="003E597A">
        <w:rPr>
          <w:color w:val="000000"/>
          <w:sz w:val="28"/>
          <w:szCs w:val="28"/>
          <w:lang w:eastAsia="uk-UA"/>
        </w:rPr>
        <w:t xml:space="preserve"> 2014/40/ЄС</w:t>
      </w:r>
    </w:p>
    <w:p w:rsidR="003E597A" w:rsidRPr="003E597A" w:rsidRDefault="003E597A" w:rsidP="003E597A">
      <w:pPr>
        <w:ind w:firstLine="709"/>
        <w:jc w:val="both"/>
        <w:rPr>
          <w:sz w:val="28"/>
          <w:szCs w:val="28"/>
        </w:rPr>
      </w:pPr>
      <w:proofErr w:type="spellStart"/>
      <w:r w:rsidRPr="003E597A">
        <w:rPr>
          <w:color w:val="000000"/>
          <w:sz w:val="28"/>
          <w:szCs w:val="28"/>
          <w:lang w:eastAsia="uk-UA"/>
        </w:rPr>
        <w:t>Вносяться</w:t>
      </w:r>
      <w:proofErr w:type="spellEnd"/>
      <w:r w:rsidRPr="003E597A">
        <w:rPr>
          <w:color w:val="000000"/>
          <w:sz w:val="28"/>
          <w:szCs w:val="28"/>
          <w:lang w:eastAsia="uk-UA"/>
        </w:rPr>
        <w:t xml:space="preserve"> </w:t>
      </w:r>
      <w:proofErr w:type="spellStart"/>
      <w:r w:rsidRPr="003E597A">
        <w:rPr>
          <w:color w:val="000000"/>
          <w:sz w:val="28"/>
          <w:szCs w:val="28"/>
          <w:lang w:eastAsia="uk-UA"/>
        </w:rPr>
        <w:t>зміни</w:t>
      </w:r>
      <w:proofErr w:type="spellEnd"/>
      <w:r w:rsidRPr="003E597A">
        <w:rPr>
          <w:color w:val="000000"/>
          <w:sz w:val="28"/>
          <w:szCs w:val="28"/>
          <w:lang w:eastAsia="uk-UA"/>
        </w:rPr>
        <w:t xml:space="preserve"> до Закону </w:t>
      </w:r>
      <w:proofErr w:type="spellStart"/>
      <w:r w:rsidRPr="003E597A">
        <w:rPr>
          <w:color w:val="000000"/>
          <w:sz w:val="28"/>
          <w:szCs w:val="28"/>
          <w:lang w:eastAsia="uk-UA"/>
        </w:rPr>
        <w:t>України</w:t>
      </w:r>
      <w:proofErr w:type="spellEnd"/>
      <w:r w:rsidRPr="003E597A">
        <w:rPr>
          <w:color w:val="000000"/>
          <w:sz w:val="28"/>
          <w:szCs w:val="28"/>
          <w:lang w:eastAsia="uk-UA"/>
        </w:rPr>
        <w:t xml:space="preserve"> Про </w:t>
      </w:r>
      <w:proofErr w:type="spellStart"/>
      <w:r w:rsidRPr="003E597A">
        <w:rPr>
          <w:color w:val="000000"/>
          <w:sz w:val="28"/>
          <w:szCs w:val="28"/>
          <w:lang w:eastAsia="uk-UA"/>
        </w:rPr>
        <w:t>державне</w:t>
      </w:r>
      <w:proofErr w:type="spellEnd"/>
      <w:r w:rsidRPr="003E597A">
        <w:rPr>
          <w:color w:val="000000"/>
          <w:sz w:val="28"/>
          <w:szCs w:val="28"/>
          <w:lang w:eastAsia="uk-UA"/>
        </w:rPr>
        <w:t xml:space="preserve"> </w:t>
      </w:r>
      <w:proofErr w:type="spellStart"/>
      <w:r w:rsidRPr="003E597A">
        <w:rPr>
          <w:color w:val="000000"/>
          <w:sz w:val="28"/>
          <w:szCs w:val="28"/>
          <w:lang w:eastAsia="uk-UA"/>
        </w:rPr>
        <w:t>регулювання</w:t>
      </w:r>
      <w:proofErr w:type="spellEnd"/>
      <w:r w:rsidRPr="003E597A">
        <w:rPr>
          <w:color w:val="000000"/>
          <w:sz w:val="28"/>
          <w:szCs w:val="28"/>
          <w:lang w:eastAsia="uk-UA"/>
        </w:rPr>
        <w:t xml:space="preserve"> </w:t>
      </w:r>
      <w:proofErr w:type="spellStart"/>
      <w:r w:rsidRPr="003E597A">
        <w:rPr>
          <w:color w:val="000000"/>
          <w:sz w:val="28"/>
          <w:szCs w:val="28"/>
          <w:lang w:eastAsia="uk-UA"/>
        </w:rPr>
        <w:t>виробництва</w:t>
      </w:r>
      <w:proofErr w:type="spellEnd"/>
      <w:r w:rsidRPr="003E597A">
        <w:rPr>
          <w:color w:val="000000"/>
          <w:sz w:val="28"/>
          <w:szCs w:val="28"/>
          <w:lang w:eastAsia="uk-UA"/>
        </w:rPr>
        <w:t xml:space="preserve"> і </w:t>
      </w:r>
      <w:proofErr w:type="spellStart"/>
      <w:r w:rsidRPr="003E597A">
        <w:rPr>
          <w:color w:val="000000"/>
          <w:sz w:val="28"/>
          <w:szCs w:val="28"/>
          <w:lang w:eastAsia="uk-UA"/>
        </w:rPr>
        <w:t>обігу</w:t>
      </w:r>
      <w:proofErr w:type="spellEnd"/>
      <w:r w:rsidRPr="003E597A">
        <w:rPr>
          <w:color w:val="000000"/>
          <w:sz w:val="28"/>
          <w:szCs w:val="28"/>
          <w:lang w:eastAsia="uk-UA"/>
        </w:rPr>
        <w:t xml:space="preserve"> спирту </w:t>
      </w:r>
      <w:proofErr w:type="spellStart"/>
      <w:r w:rsidRPr="003E597A">
        <w:rPr>
          <w:color w:val="000000"/>
          <w:sz w:val="28"/>
          <w:szCs w:val="28"/>
          <w:lang w:eastAsia="uk-UA"/>
        </w:rPr>
        <w:t>етилового</w:t>
      </w:r>
      <w:proofErr w:type="spellEnd"/>
      <w:r w:rsidRPr="003E597A">
        <w:rPr>
          <w:color w:val="000000"/>
          <w:sz w:val="28"/>
          <w:szCs w:val="28"/>
          <w:lang w:eastAsia="uk-UA"/>
        </w:rPr>
        <w:t xml:space="preserve">, коньячного і плодового, </w:t>
      </w:r>
      <w:proofErr w:type="spellStart"/>
      <w:r w:rsidRPr="003E597A">
        <w:rPr>
          <w:color w:val="000000"/>
          <w:sz w:val="28"/>
          <w:szCs w:val="28"/>
          <w:lang w:eastAsia="uk-UA"/>
        </w:rPr>
        <w:t>алкогольних</w:t>
      </w:r>
      <w:proofErr w:type="spellEnd"/>
      <w:r w:rsidRPr="003E597A">
        <w:rPr>
          <w:color w:val="000000"/>
          <w:sz w:val="28"/>
          <w:szCs w:val="28"/>
          <w:lang w:eastAsia="uk-UA"/>
        </w:rPr>
        <w:t xml:space="preserve"> </w:t>
      </w:r>
      <w:proofErr w:type="spellStart"/>
      <w:r w:rsidRPr="003E597A">
        <w:rPr>
          <w:color w:val="000000"/>
          <w:sz w:val="28"/>
          <w:szCs w:val="28"/>
          <w:lang w:eastAsia="uk-UA"/>
        </w:rPr>
        <w:t>напоїв</w:t>
      </w:r>
      <w:proofErr w:type="spellEnd"/>
      <w:r w:rsidRPr="003E597A">
        <w:rPr>
          <w:color w:val="000000"/>
          <w:sz w:val="28"/>
          <w:szCs w:val="28"/>
          <w:lang w:eastAsia="uk-UA"/>
        </w:rPr>
        <w:t xml:space="preserve">, </w:t>
      </w:r>
      <w:proofErr w:type="spellStart"/>
      <w:r w:rsidRPr="003E597A">
        <w:rPr>
          <w:color w:val="000000"/>
          <w:sz w:val="28"/>
          <w:szCs w:val="28"/>
          <w:lang w:eastAsia="uk-UA"/>
        </w:rPr>
        <w:t>тютюнових</w:t>
      </w:r>
      <w:proofErr w:type="spellEnd"/>
      <w:r w:rsidRPr="003E597A">
        <w:rPr>
          <w:color w:val="000000"/>
          <w:sz w:val="28"/>
          <w:szCs w:val="28"/>
          <w:lang w:eastAsia="uk-UA"/>
        </w:rPr>
        <w:t xml:space="preserve"> </w:t>
      </w:r>
      <w:proofErr w:type="spellStart"/>
      <w:r w:rsidRPr="003E597A">
        <w:rPr>
          <w:color w:val="000000"/>
          <w:sz w:val="28"/>
          <w:szCs w:val="28"/>
          <w:lang w:eastAsia="uk-UA"/>
        </w:rPr>
        <w:t>виробів</w:t>
      </w:r>
      <w:proofErr w:type="spellEnd"/>
      <w:r w:rsidRPr="003E597A">
        <w:rPr>
          <w:color w:val="000000"/>
          <w:sz w:val="28"/>
          <w:szCs w:val="28"/>
          <w:lang w:eastAsia="uk-UA"/>
        </w:rPr>
        <w:t xml:space="preserve"> </w:t>
      </w:r>
      <w:proofErr w:type="spellStart"/>
      <w:r w:rsidRPr="003E597A">
        <w:rPr>
          <w:color w:val="000000"/>
          <w:sz w:val="28"/>
          <w:szCs w:val="28"/>
          <w:lang w:eastAsia="uk-UA"/>
        </w:rPr>
        <w:t>щодо</w:t>
      </w:r>
      <w:proofErr w:type="spellEnd"/>
      <w:r w:rsidRPr="003E597A">
        <w:t xml:space="preserve"> </w:t>
      </w:r>
      <w:proofErr w:type="spellStart"/>
      <w:r w:rsidRPr="003E597A">
        <w:rPr>
          <w:color w:val="000000"/>
          <w:sz w:val="28"/>
          <w:szCs w:val="28"/>
          <w:lang w:eastAsia="uk-UA"/>
        </w:rPr>
        <w:t>визначення</w:t>
      </w:r>
      <w:proofErr w:type="spellEnd"/>
      <w:r w:rsidRPr="003E597A">
        <w:rPr>
          <w:color w:val="000000"/>
          <w:sz w:val="28"/>
          <w:szCs w:val="28"/>
          <w:lang w:eastAsia="uk-UA"/>
        </w:rPr>
        <w:t xml:space="preserve"> </w:t>
      </w:r>
      <w:proofErr w:type="spellStart"/>
      <w:r w:rsidRPr="003E597A">
        <w:rPr>
          <w:color w:val="000000"/>
          <w:sz w:val="28"/>
          <w:szCs w:val="28"/>
          <w:lang w:eastAsia="uk-UA"/>
        </w:rPr>
        <w:t>термінів</w:t>
      </w:r>
      <w:proofErr w:type="spellEnd"/>
      <w:r w:rsidRPr="003E597A">
        <w:rPr>
          <w:color w:val="000000"/>
          <w:sz w:val="28"/>
          <w:szCs w:val="28"/>
          <w:lang w:eastAsia="uk-UA"/>
        </w:rPr>
        <w:t xml:space="preserve"> для </w:t>
      </w:r>
      <w:proofErr w:type="spellStart"/>
      <w:r w:rsidRPr="003E597A">
        <w:rPr>
          <w:color w:val="000000"/>
          <w:sz w:val="28"/>
          <w:szCs w:val="28"/>
          <w:lang w:eastAsia="uk-UA"/>
        </w:rPr>
        <w:t>усунення</w:t>
      </w:r>
      <w:proofErr w:type="spellEnd"/>
      <w:r w:rsidRPr="003E597A">
        <w:rPr>
          <w:color w:val="000000"/>
          <w:sz w:val="28"/>
          <w:szCs w:val="28"/>
          <w:lang w:eastAsia="uk-UA"/>
        </w:rPr>
        <w:t xml:space="preserve"> </w:t>
      </w:r>
      <w:proofErr w:type="spellStart"/>
      <w:r w:rsidRPr="003E597A">
        <w:rPr>
          <w:color w:val="000000"/>
          <w:sz w:val="28"/>
          <w:szCs w:val="28"/>
          <w:lang w:eastAsia="uk-UA"/>
        </w:rPr>
        <w:t>дублювання</w:t>
      </w:r>
      <w:proofErr w:type="spellEnd"/>
      <w:r w:rsidRPr="003E597A">
        <w:rPr>
          <w:color w:val="000000"/>
          <w:sz w:val="28"/>
          <w:szCs w:val="28"/>
          <w:lang w:eastAsia="uk-UA"/>
        </w:rPr>
        <w:t xml:space="preserve"> та </w:t>
      </w:r>
      <w:proofErr w:type="spellStart"/>
      <w:r w:rsidRPr="003E597A">
        <w:rPr>
          <w:color w:val="000000"/>
          <w:sz w:val="28"/>
          <w:szCs w:val="28"/>
          <w:lang w:eastAsia="uk-UA"/>
        </w:rPr>
        <w:t>узгодження</w:t>
      </w:r>
      <w:proofErr w:type="spellEnd"/>
      <w:r w:rsidRPr="003E597A">
        <w:rPr>
          <w:color w:val="000000"/>
          <w:sz w:val="28"/>
          <w:szCs w:val="28"/>
          <w:lang w:eastAsia="uk-UA"/>
        </w:rPr>
        <w:t xml:space="preserve"> </w:t>
      </w:r>
      <w:proofErr w:type="spellStart"/>
      <w:r w:rsidRPr="003E597A">
        <w:rPr>
          <w:color w:val="000000"/>
          <w:sz w:val="28"/>
          <w:szCs w:val="28"/>
          <w:lang w:eastAsia="uk-UA"/>
        </w:rPr>
        <w:t>термінології</w:t>
      </w:r>
      <w:proofErr w:type="spellEnd"/>
      <w:r w:rsidRPr="003E597A">
        <w:rPr>
          <w:color w:val="000000"/>
          <w:sz w:val="28"/>
          <w:szCs w:val="28"/>
          <w:lang w:eastAsia="uk-UA"/>
        </w:rPr>
        <w:t xml:space="preserve"> та </w:t>
      </w:r>
      <w:proofErr w:type="spellStart"/>
      <w:r w:rsidRPr="003E597A">
        <w:rPr>
          <w:color w:val="000000"/>
          <w:sz w:val="28"/>
          <w:szCs w:val="28"/>
          <w:lang w:eastAsia="uk-UA"/>
        </w:rPr>
        <w:t>щодо</w:t>
      </w:r>
      <w:proofErr w:type="spellEnd"/>
      <w:r w:rsidRPr="003E597A">
        <w:rPr>
          <w:color w:val="000000"/>
          <w:sz w:val="28"/>
          <w:szCs w:val="28"/>
          <w:lang w:eastAsia="uk-UA"/>
        </w:rPr>
        <w:t xml:space="preserve"> </w:t>
      </w:r>
      <w:proofErr w:type="spellStart"/>
      <w:r w:rsidRPr="003E597A">
        <w:rPr>
          <w:color w:val="000000"/>
          <w:sz w:val="28"/>
          <w:szCs w:val="28"/>
          <w:lang w:eastAsia="uk-UA"/>
        </w:rPr>
        <w:t>усунення</w:t>
      </w:r>
      <w:proofErr w:type="spellEnd"/>
      <w:r w:rsidRPr="003E597A">
        <w:rPr>
          <w:color w:val="000000"/>
          <w:sz w:val="28"/>
          <w:szCs w:val="28"/>
          <w:lang w:eastAsia="uk-UA"/>
        </w:rPr>
        <w:t xml:space="preserve"> </w:t>
      </w:r>
      <w:proofErr w:type="spellStart"/>
      <w:r w:rsidRPr="003E597A">
        <w:rPr>
          <w:color w:val="000000"/>
          <w:sz w:val="28"/>
          <w:szCs w:val="28"/>
          <w:lang w:eastAsia="uk-UA"/>
        </w:rPr>
        <w:t>дублювання</w:t>
      </w:r>
      <w:proofErr w:type="spellEnd"/>
      <w:r w:rsidRPr="003E597A">
        <w:rPr>
          <w:color w:val="000000"/>
          <w:sz w:val="28"/>
          <w:szCs w:val="28"/>
          <w:lang w:eastAsia="uk-UA"/>
        </w:rPr>
        <w:t xml:space="preserve"> норм, </w:t>
      </w:r>
      <w:proofErr w:type="spellStart"/>
      <w:r w:rsidRPr="003E597A">
        <w:rPr>
          <w:color w:val="000000"/>
          <w:sz w:val="28"/>
          <w:szCs w:val="28"/>
          <w:lang w:eastAsia="uk-UA"/>
        </w:rPr>
        <w:t>які</w:t>
      </w:r>
      <w:proofErr w:type="spellEnd"/>
      <w:r w:rsidRPr="003E597A">
        <w:rPr>
          <w:color w:val="000000"/>
          <w:sz w:val="28"/>
          <w:szCs w:val="28"/>
          <w:lang w:eastAsia="uk-UA"/>
        </w:rPr>
        <w:t xml:space="preserve"> </w:t>
      </w:r>
      <w:proofErr w:type="spellStart"/>
      <w:r w:rsidRPr="003E597A">
        <w:rPr>
          <w:color w:val="000000"/>
          <w:sz w:val="28"/>
          <w:szCs w:val="28"/>
          <w:lang w:eastAsia="uk-UA"/>
        </w:rPr>
        <w:t>застосовуються</w:t>
      </w:r>
      <w:proofErr w:type="spellEnd"/>
      <w:r w:rsidRPr="003E597A">
        <w:rPr>
          <w:color w:val="000000"/>
          <w:sz w:val="28"/>
          <w:szCs w:val="28"/>
          <w:lang w:eastAsia="uk-UA"/>
        </w:rPr>
        <w:t xml:space="preserve"> до </w:t>
      </w:r>
      <w:proofErr w:type="spellStart"/>
      <w:r w:rsidRPr="003E597A">
        <w:rPr>
          <w:color w:val="000000"/>
          <w:sz w:val="28"/>
          <w:szCs w:val="28"/>
          <w:lang w:eastAsia="uk-UA"/>
        </w:rPr>
        <w:t>медичних</w:t>
      </w:r>
      <w:proofErr w:type="spellEnd"/>
      <w:r w:rsidRPr="003E597A">
        <w:rPr>
          <w:color w:val="000000"/>
          <w:sz w:val="28"/>
          <w:szCs w:val="28"/>
          <w:lang w:eastAsia="uk-UA"/>
        </w:rPr>
        <w:t xml:space="preserve"> </w:t>
      </w:r>
      <w:proofErr w:type="spellStart"/>
      <w:r w:rsidRPr="003E597A">
        <w:rPr>
          <w:color w:val="000000"/>
          <w:sz w:val="28"/>
          <w:szCs w:val="28"/>
          <w:lang w:eastAsia="uk-UA"/>
        </w:rPr>
        <w:t>попереджень</w:t>
      </w:r>
      <w:proofErr w:type="spellEnd"/>
      <w:r w:rsidRPr="003E597A">
        <w:rPr>
          <w:color w:val="000000"/>
          <w:sz w:val="28"/>
          <w:szCs w:val="28"/>
          <w:lang w:eastAsia="uk-UA"/>
        </w:rPr>
        <w:t xml:space="preserve"> </w:t>
      </w:r>
      <w:proofErr w:type="spellStart"/>
      <w:r w:rsidRPr="003E597A">
        <w:rPr>
          <w:color w:val="000000"/>
          <w:sz w:val="28"/>
          <w:szCs w:val="28"/>
          <w:lang w:eastAsia="uk-UA"/>
        </w:rPr>
        <w:t>тютюнових</w:t>
      </w:r>
      <w:proofErr w:type="spellEnd"/>
      <w:r w:rsidRPr="003E597A">
        <w:rPr>
          <w:color w:val="000000"/>
          <w:sz w:val="28"/>
          <w:szCs w:val="28"/>
          <w:lang w:eastAsia="uk-UA"/>
        </w:rPr>
        <w:t xml:space="preserve"> </w:t>
      </w:r>
      <w:proofErr w:type="spellStart"/>
      <w:r w:rsidRPr="003E597A">
        <w:rPr>
          <w:color w:val="000000"/>
          <w:sz w:val="28"/>
          <w:szCs w:val="28"/>
          <w:lang w:eastAsia="uk-UA"/>
        </w:rPr>
        <w:t>виробів</w:t>
      </w:r>
      <w:proofErr w:type="spellEnd"/>
      <w:r w:rsidRPr="003E597A">
        <w:rPr>
          <w:sz w:val="28"/>
          <w:szCs w:val="28"/>
        </w:rPr>
        <w:t>.</w:t>
      </w:r>
    </w:p>
    <w:p w:rsidR="003E597A" w:rsidRPr="003E597A" w:rsidRDefault="003E597A" w:rsidP="003E597A">
      <w:pPr>
        <w:ind w:firstLine="709"/>
        <w:jc w:val="both"/>
        <w:rPr>
          <w:sz w:val="28"/>
          <w:szCs w:val="28"/>
          <w:lang w:val="uk-UA"/>
        </w:rPr>
      </w:pPr>
      <w:r w:rsidRPr="003E597A">
        <w:rPr>
          <w:sz w:val="28"/>
          <w:szCs w:val="28"/>
          <w:lang w:val="uk-UA"/>
        </w:rPr>
        <w:t>Зазначені зміни, в цілому, не суперечать цілям статей 426 - 427 та статті 428 Угоди про асоціацію, які закріплюють зобов’язання України щодо співробітництва в галузі охорони здоров’я з метою підвищення рівня його безпеки та захисту здоров’я людини як передумови сталого розвитку та економічного зростання. Таке співробітництво, серед іншого, охоплює попередження та контроль за неінфекційними хворобами шляхом обміну інформацією та найкращими практиками, пропагування здорового способу життя, визначення основних детермінант здоров’я та проблем в галузі охорони здоров’я, зокрема, наркотична та тютюнова залежність. Водночас, запропоновані зміни лише частково враховують положення Директиви 2014/40/ЄС.</w:t>
      </w:r>
    </w:p>
    <w:p w:rsidR="003E597A" w:rsidRPr="003E597A" w:rsidRDefault="003E597A" w:rsidP="003E597A">
      <w:pPr>
        <w:ind w:firstLine="709"/>
        <w:jc w:val="both"/>
        <w:rPr>
          <w:sz w:val="28"/>
          <w:szCs w:val="28"/>
          <w:lang w:val="uk-UA"/>
        </w:rPr>
      </w:pPr>
      <w:r w:rsidRPr="003E597A">
        <w:rPr>
          <w:sz w:val="28"/>
          <w:szCs w:val="28"/>
          <w:lang w:val="uk-UA"/>
        </w:rPr>
        <w:t xml:space="preserve">Зокрема, такі терміни як тютюнові вироби, сигарета, сигара, </w:t>
      </w:r>
      <w:proofErr w:type="spellStart"/>
      <w:r w:rsidRPr="003E597A">
        <w:rPr>
          <w:sz w:val="28"/>
          <w:szCs w:val="28"/>
          <w:lang w:val="uk-UA"/>
        </w:rPr>
        <w:t>сигарила</w:t>
      </w:r>
      <w:proofErr w:type="spellEnd"/>
      <w:r w:rsidRPr="003E597A">
        <w:rPr>
          <w:sz w:val="28"/>
          <w:szCs w:val="28"/>
          <w:lang w:val="uk-UA"/>
        </w:rPr>
        <w:t xml:space="preserve">, тютюн для кальяну, електронна сигарета не повною мірою узгоджуються з вимогами Директиви 2014/40/ЄС, а визначення таких термінів як «кисет» та «система перевірки віка» відсутні у </w:t>
      </w:r>
      <w:proofErr w:type="spellStart"/>
      <w:r w:rsidRPr="003E597A">
        <w:rPr>
          <w:sz w:val="28"/>
          <w:szCs w:val="28"/>
          <w:lang w:val="uk-UA"/>
        </w:rPr>
        <w:t>законопроєкті</w:t>
      </w:r>
      <w:proofErr w:type="spellEnd"/>
      <w:r w:rsidRPr="003E597A">
        <w:rPr>
          <w:sz w:val="28"/>
          <w:szCs w:val="28"/>
          <w:lang w:val="uk-UA"/>
        </w:rPr>
        <w:t>.</w:t>
      </w:r>
    </w:p>
    <w:p w:rsidR="003E597A" w:rsidRPr="003E597A" w:rsidRDefault="003E597A" w:rsidP="003E597A">
      <w:pPr>
        <w:ind w:firstLine="709"/>
        <w:jc w:val="both"/>
        <w:rPr>
          <w:sz w:val="28"/>
          <w:szCs w:val="28"/>
          <w:lang w:val="uk-UA"/>
        </w:rPr>
      </w:pPr>
      <w:r w:rsidRPr="003E597A">
        <w:rPr>
          <w:sz w:val="28"/>
          <w:szCs w:val="28"/>
          <w:lang w:val="uk-UA"/>
        </w:rPr>
        <w:t xml:space="preserve">Визначення терміну «електронна сигарета» як виробу, який може бути використаний для споживання (вдихання) парів, що утворюються внаслідок нагрівання компонентами такого виробу рідин, що містять або не містять нікотин», не відповідає визначенню цього поняття у Директиві 2014/40/ЄС, згідно з якої «електронна сигарета» це - виріб, який може бути використаний для споживання </w:t>
      </w:r>
      <w:proofErr w:type="spellStart"/>
      <w:r w:rsidRPr="003E597A">
        <w:rPr>
          <w:sz w:val="28"/>
          <w:szCs w:val="28"/>
          <w:lang w:val="uk-UA"/>
        </w:rPr>
        <w:t>нікотиновмісної</w:t>
      </w:r>
      <w:proofErr w:type="spellEnd"/>
      <w:r w:rsidRPr="003E597A">
        <w:rPr>
          <w:sz w:val="28"/>
          <w:szCs w:val="28"/>
          <w:lang w:val="uk-UA"/>
        </w:rPr>
        <w:t xml:space="preserve"> пари через мундштук, або будь-який компонент такого виробу, у тому числі картридж, резервуар та пристрій без картриджа чи резервуара. </w:t>
      </w:r>
    </w:p>
    <w:p w:rsidR="003E597A" w:rsidRPr="003E597A" w:rsidRDefault="003E597A" w:rsidP="003E597A">
      <w:pPr>
        <w:ind w:firstLine="709"/>
        <w:jc w:val="both"/>
        <w:rPr>
          <w:sz w:val="28"/>
          <w:szCs w:val="28"/>
          <w:lang w:val="uk-UA"/>
        </w:rPr>
      </w:pPr>
      <w:r w:rsidRPr="003E597A">
        <w:rPr>
          <w:sz w:val="28"/>
          <w:szCs w:val="28"/>
          <w:lang w:val="uk-UA"/>
        </w:rPr>
        <w:t xml:space="preserve">Термін «тютюнові вироби», який відповідно до </w:t>
      </w:r>
      <w:proofErr w:type="spellStart"/>
      <w:r w:rsidRPr="003E597A">
        <w:rPr>
          <w:sz w:val="28"/>
          <w:szCs w:val="28"/>
          <w:lang w:val="uk-UA"/>
        </w:rPr>
        <w:t>законопроєкту</w:t>
      </w:r>
      <w:proofErr w:type="spellEnd"/>
      <w:r w:rsidRPr="003E597A">
        <w:rPr>
          <w:sz w:val="28"/>
          <w:szCs w:val="28"/>
          <w:lang w:val="uk-UA"/>
        </w:rPr>
        <w:t xml:space="preserve"> означає «сигарети з фільтром або без фільтру, цигарки, сигари, </w:t>
      </w:r>
      <w:proofErr w:type="spellStart"/>
      <w:r w:rsidRPr="003E597A">
        <w:rPr>
          <w:sz w:val="28"/>
          <w:szCs w:val="28"/>
          <w:lang w:val="uk-UA"/>
        </w:rPr>
        <w:t>сигарили</w:t>
      </w:r>
      <w:proofErr w:type="spellEnd"/>
      <w:r w:rsidRPr="003E597A">
        <w:rPr>
          <w:sz w:val="28"/>
          <w:szCs w:val="28"/>
          <w:lang w:val="uk-UA"/>
        </w:rPr>
        <w:t xml:space="preserve">, а також люльковий, нюхальний, смоктальний, жувальний тютюн, махорка та інші вироби з тютюну чи його замінників для куріння, нюхання, смоктання чи жування», відрізняється від визначення передбаченого Директивою 2014/40/ЄС. </w:t>
      </w:r>
    </w:p>
    <w:p w:rsidR="003E597A" w:rsidRPr="003E597A" w:rsidRDefault="003E597A" w:rsidP="003E597A">
      <w:pPr>
        <w:ind w:firstLine="709"/>
        <w:jc w:val="both"/>
        <w:rPr>
          <w:sz w:val="28"/>
          <w:szCs w:val="28"/>
          <w:lang w:val="uk-UA"/>
        </w:rPr>
      </w:pPr>
      <w:r w:rsidRPr="003E597A">
        <w:rPr>
          <w:sz w:val="28"/>
          <w:szCs w:val="28"/>
          <w:lang w:val="uk-UA"/>
        </w:rPr>
        <w:t>Директива також передбачає, що при її імплементації в національне законодавство визначення термінів «сигарета», «сигара» та «</w:t>
      </w:r>
      <w:proofErr w:type="spellStart"/>
      <w:r w:rsidRPr="003E597A">
        <w:rPr>
          <w:sz w:val="28"/>
          <w:szCs w:val="28"/>
          <w:lang w:val="uk-UA"/>
        </w:rPr>
        <w:t>сигарила</w:t>
      </w:r>
      <w:proofErr w:type="spellEnd"/>
      <w:r w:rsidRPr="003E597A">
        <w:rPr>
          <w:sz w:val="28"/>
          <w:szCs w:val="28"/>
          <w:lang w:val="uk-UA"/>
        </w:rPr>
        <w:t xml:space="preserve">» мають бути деталізовані відповідно до вимог Директиви Ради 2011/64/ЄС та Директиви Ради 2007/74/ЄC, а термін тютюн для кальяну має  визначатись як </w:t>
      </w:r>
      <w:r w:rsidRPr="003E597A">
        <w:rPr>
          <w:sz w:val="28"/>
          <w:szCs w:val="28"/>
          <w:lang w:val="uk-UA"/>
        </w:rPr>
        <w:lastRenderedPageBreak/>
        <w:t>тютюн для самокрутки, якщо він може бути використаний як для кальяну, так і для самокрутки.</w:t>
      </w:r>
    </w:p>
    <w:p w:rsidR="003E597A" w:rsidRPr="003E597A" w:rsidRDefault="003E597A" w:rsidP="003E597A">
      <w:pPr>
        <w:ind w:firstLine="709"/>
        <w:jc w:val="both"/>
        <w:rPr>
          <w:sz w:val="28"/>
          <w:szCs w:val="28"/>
          <w:lang w:val="uk-UA"/>
        </w:rPr>
      </w:pPr>
      <w:r w:rsidRPr="003E597A">
        <w:rPr>
          <w:sz w:val="28"/>
          <w:szCs w:val="28"/>
          <w:lang w:val="uk-UA"/>
        </w:rPr>
        <w:t xml:space="preserve">Визначення терміну «кисет» в </w:t>
      </w:r>
      <w:proofErr w:type="spellStart"/>
      <w:r w:rsidRPr="003E597A">
        <w:rPr>
          <w:sz w:val="28"/>
          <w:szCs w:val="28"/>
          <w:lang w:val="uk-UA"/>
        </w:rPr>
        <w:t>законопроєкті</w:t>
      </w:r>
      <w:proofErr w:type="spellEnd"/>
      <w:r w:rsidRPr="003E597A">
        <w:rPr>
          <w:sz w:val="28"/>
          <w:szCs w:val="28"/>
          <w:lang w:val="uk-UA"/>
        </w:rPr>
        <w:t xml:space="preserve"> також необхідне для імплементації положень статті 9 Директиви «Загальні попередження та інформаційні повідомлення на тютюнових виробах для куріння» стосовно розташування загального попередження та інформаційного повідомлення щодо тютюну для самокруток, який реалізується у кисетах.</w:t>
      </w:r>
    </w:p>
    <w:p w:rsidR="003E597A" w:rsidRPr="003E597A" w:rsidRDefault="003E597A" w:rsidP="003E597A">
      <w:pPr>
        <w:ind w:firstLine="709"/>
        <w:jc w:val="both"/>
        <w:rPr>
          <w:sz w:val="28"/>
          <w:szCs w:val="28"/>
          <w:lang w:val="uk-UA"/>
        </w:rPr>
      </w:pPr>
      <w:r w:rsidRPr="003E597A">
        <w:rPr>
          <w:sz w:val="28"/>
          <w:szCs w:val="28"/>
          <w:lang w:val="uk-UA"/>
        </w:rPr>
        <w:t xml:space="preserve">Також, </w:t>
      </w:r>
      <w:proofErr w:type="spellStart"/>
      <w:r w:rsidRPr="003E597A">
        <w:rPr>
          <w:sz w:val="28"/>
          <w:szCs w:val="28"/>
          <w:lang w:val="uk-UA"/>
        </w:rPr>
        <w:t>законопроєктом</w:t>
      </w:r>
      <w:proofErr w:type="spellEnd"/>
      <w:r w:rsidRPr="003E597A">
        <w:rPr>
          <w:sz w:val="28"/>
          <w:szCs w:val="28"/>
          <w:lang w:val="uk-UA"/>
        </w:rPr>
        <w:t xml:space="preserve"> пропонується залишити незмінним непоширення заборони на виробництво, оптову та роздрібну торгівлю та імпорт для реалізації на території України сигарет, в яких показники вмісту в диму однієї сигарети перевищують: нікотину 1,0 мг, смоли - 10 мг, </w:t>
      </w:r>
      <w:proofErr w:type="spellStart"/>
      <w:r w:rsidRPr="003E597A">
        <w:rPr>
          <w:sz w:val="28"/>
          <w:szCs w:val="28"/>
          <w:lang w:val="uk-UA"/>
        </w:rPr>
        <w:t>монооксиду</w:t>
      </w:r>
      <w:proofErr w:type="spellEnd"/>
      <w:r w:rsidRPr="003E597A">
        <w:rPr>
          <w:sz w:val="28"/>
          <w:szCs w:val="28"/>
          <w:lang w:val="uk-UA"/>
        </w:rPr>
        <w:t xml:space="preserve"> вуглецю – 10 мг на виробництво сигарет для експорту. Водночас, відповідно до положень  Директиви 2014/40/ЄС максимально можливий рівень вмісту смоли, нікотину і </w:t>
      </w:r>
      <w:proofErr w:type="spellStart"/>
      <w:r w:rsidRPr="003E597A">
        <w:rPr>
          <w:sz w:val="28"/>
          <w:szCs w:val="28"/>
          <w:lang w:val="uk-UA"/>
        </w:rPr>
        <w:t>монооксиду</w:t>
      </w:r>
      <w:proofErr w:type="spellEnd"/>
      <w:r w:rsidRPr="003E597A">
        <w:rPr>
          <w:sz w:val="28"/>
          <w:szCs w:val="28"/>
          <w:lang w:val="uk-UA"/>
        </w:rPr>
        <w:t xml:space="preserve"> вуглецю в сигаретах також має застосовуватися до сигарет, що експортуються. Так, в п. 10 Преамбули Директиви зазначається, що «у Директиві 2001/37/ЄС встановлено максимальні рівні смоли, нікотину та </w:t>
      </w:r>
      <w:proofErr w:type="spellStart"/>
      <w:r w:rsidRPr="003E597A">
        <w:rPr>
          <w:sz w:val="28"/>
          <w:szCs w:val="28"/>
          <w:lang w:val="uk-UA"/>
        </w:rPr>
        <w:t>монооксиду</w:t>
      </w:r>
      <w:proofErr w:type="spellEnd"/>
      <w:r w:rsidRPr="003E597A">
        <w:rPr>
          <w:sz w:val="28"/>
          <w:szCs w:val="28"/>
          <w:lang w:val="uk-UA"/>
        </w:rPr>
        <w:t xml:space="preserve"> вуглецю сигарет, які також необхідно застосовувати до сигарет, які експортують з Союзу. Такі максимальні рівні і такий підхід залишаються дійсними».</w:t>
      </w:r>
    </w:p>
    <w:p w:rsidR="003E597A" w:rsidRPr="003E597A" w:rsidRDefault="003E597A" w:rsidP="003E597A">
      <w:pPr>
        <w:ind w:firstLine="709"/>
        <w:jc w:val="both"/>
        <w:rPr>
          <w:sz w:val="28"/>
          <w:szCs w:val="28"/>
          <w:lang w:val="uk-UA"/>
        </w:rPr>
      </w:pPr>
      <w:r w:rsidRPr="003E597A">
        <w:rPr>
          <w:sz w:val="28"/>
          <w:szCs w:val="28"/>
          <w:lang w:val="uk-UA"/>
        </w:rPr>
        <w:t xml:space="preserve">Не повною мірою узгоджуються положення </w:t>
      </w:r>
      <w:proofErr w:type="spellStart"/>
      <w:r w:rsidRPr="003E597A">
        <w:rPr>
          <w:sz w:val="28"/>
          <w:szCs w:val="28"/>
          <w:lang w:val="uk-UA"/>
        </w:rPr>
        <w:t>законопроєкту</w:t>
      </w:r>
      <w:proofErr w:type="spellEnd"/>
      <w:r w:rsidRPr="003E597A">
        <w:rPr>
          <w:sz w:val="28"/>
          <w:szCs w:val="28"/>
          <w:lang w:val="uk-UA"/>
        </w:rPr>
        <w:t xml:space="preserve"> з нормами Директиви 2014/14/ЄС щодо звітування про інгредієнти та викиди (стаття 5), загальних попереджень та інформаційних повідомлень на тютюнових виробах для куріння (стаття 9), комбінованих медичних попереджень на тютюнових виробах для куріння (стаття 10),  маркування тютюнових виробів для куріння, інших ніж сигарети, тютюн для самокруток та тютюн для кальяну (стаття 11), маркування бездимних тютюнових виробів  (стаття 12). </w:t>
      </w:r>
    </w:p>
    <w:p w:rsidR="003E597A" w:rsidRPr="003E597A" w:rsidRDefault="003E597A" w:rsidP="003E597A">
      <w:pPr>
        <w:ind w:firstLine="709"/>
        <w:jc w:val="both"/>
        <w:rPr>
          <w:sz w:val="28"/>
          <w:lang w:val="uk-UA"/>
        </w:rPr>
      </w:pPr>
      <w:r w:rsidRPr="003E597A">
        <w:rPr>
          <w:sz w:val="28"/>
          <w:szCs w:val="28"/>
          <w:lang w:val="uk-UA"/>
        </w:rPr>
        <w:t xml:space="preserve">В </w:t>
      </w:r>
      <w:proofErr w:type="spellStart"/>
      <w:r w:rsidRPr="003E597A">
        <w:rPr>
          <w:sz w:val="28"/>
          <w:szCs w:val="28"/>
          <w:lang w:val="uk-UA"/>
        </w:rPr>
        <w:t>законопроєкті</w:t>
      </w:r>
      <w:proofErr w:type="spellEnd"/>
      <w:r w:rsidRPr="003E597A">
        <w:rPr>
          <w:sz w:val="28"/>
          <w:szCs w:val="28"/>
          <w:lang w:val="uk-UA"/>
        </w:rPr>
        <w:t xml:space="preserve"> також відсутні положення щодо імплементації в українське законодавство вимог Директиви 2014/40/ЄС щодо пріоритетного переліку добавок та посилених обов'язків щодо звітування (стаття 6 Директиви), а також </w:t>
      </w:r>
      <w:proofErr w:type="spellStart"/>
      <w:r w:rsidRPr="003E597A">
        <w:rPr>
          <w:sz w:val="28"/>
          <w:szCs w:val="28"/>
          <w:lang w:val="uk-UA"/>
        </w:rPr>
        <w:t>простежуваності</w:t>
      </w:r>
      <w:proofErr w:type="spellEnd"/>
      <w:r w:rsidRPr="003E597A">
        <w:rPr>
          <w:sz w:val="28"/>
          <w:szCs w:val="28"/>
          <w:lang w:val="uk-UA"/>
        </w:rPr>
        <w:t xml:space="preserve"> одиничних пачок тютюнових виробів та захисних елементів (статті 15 і 16 Директиви).</w:t>
      </w:r>
      <w:r w:rsidRPr="003E597A">
        <w:rPr>
          <w:sz w:val="28"/>
          <w:lang w:val="uk-UA"/>
        </w:rPr>
        <w:t xml:space="preserve"> </w:t>
      </w:r>
    </w:p>
    <w:p w:rsidR="003E597A" w:rsidRPr="003E597A" w:rsidRDefault="003E597A" w:rsidP="003E597A">
      <w:pPr>
        <w:ind w:firstLine="709"/>
        <w:jc w:val="both"/>
        <w:rPr>
          <w:sz w:val="28"/>
          <w:szCs w:val="28"/>
          <w:lang w:val="uk-UA"/>
        </w:rPr>
      </w:pPr>
      <w:r w:rsidRPr="003E597A">
        <w:rPr>
          <w:sz w:val="28"/>
          <w:szCs w:val="28"/>
          <w:lang w:val="uk-UA"/>
        </w:rPr>
        <w:t>Стаття 15 «</w:t>
      </w:r>
      <w:proofErr w:type="spellStart"/>
      <w:r w:rsidRPr="003E597A">
        <w:rPr>
          <w:sz w:val="28"/>
          <w:szCs w:val="28"/>
          <w:lang w:val="uk-UA"/>
        </w:rPr>
        <w:t>Простежуваність</w:t>
      </w:r>
      <w:proofErr w:type="spellEnd"/>
      <w:r w:rsidRPr="003E597A">
        <w:rPr>
          <w:sz w:val="28"/>
          <w:szCs w:val="28"/>
          <w:lang w:val="uk-UA"/>
        </w:rPr>
        <w:t xml:space="preserve">» Директиви передбачає наявність на усіх одиничних пачках тютюнових виробів унікального ідентифікатора, який повинен бути таким, що, серед іншого, дозволяє визначити передбачений та фактичний маршрут відправлення від виробництва до першого пункту роздрібної торгівлі, в тому числі всі використовувані склади, дату відправлення, місце призначення / відправлення, пункт відправлення та одержувача, рахунок-фактуру, номер замовлення та записи про оплату щодо всіх покупців від виробника до першого пункту роздрібної торгівлі. Додатково до унікального ідентифікатора, зазначеного в статті 15, держави-члени повинні встановити вимогу щодо наявності на всіх одиничних пачках  тютюнових виробів, які  введені  в  обіг,  захищеного  від  несанкціонованого  доступу  захисного  елемента (стаття 16 Директиви),  який складається з видимих і невидимих елементів і повинен бути надрукований у такий спосіб, щоб його було неможливо видалити або стерти, приховати або будь-яким </w:t>
      </w:r>
      <w:r w:rsidRPr="003E597A">
        <w:rPr>
          <w:sz w:val="28"/>
          <w:szCs w:val="28"/>
          <w:lang w:val="uk-UA"/>
        </w:rPr>
        <w:lastRenderedPageBreak/>
        <w:t>чином переривати, у тому числі акцизними марками, цінниками або іншими елементами, встановленими законодавством.</w:t>
      </w:r>
    </w:p>
    <w:p w:rsidR="003E597A" w:rsidRPr="003E597A" w:rsidRDefault="003E597A" w:rsidP="003E597A">
      <w:pPr>
        <w:ind w:firstLine="709"/>
        <w:jc w:val="both"/>
        <w:rPr>
          <w:sz w:val="28"/>
          <w:szCs w:val="28"/>
          <w:lang w:val="uk-UA"/>
        </w:rPr>
      </w:pPr>
      <w:r w:rsidRPr="003E597A">
        <w:rPr>
          <w:sz w:val="28"/>
          <w:szCs w:val="28"/>
          <w:lang w:val="uk-UA"/>
        </w:rPr>
        <w:t xml:space="preserve">Також, на нашу думку, додаткового обґрунтування потребує відсутність перехідних періодів у </w:t>
      </w:r>
      <w:proofErr w:type="spellStart"/>
      <w:r w:rsidRPr="003E597A">
        <w:rPr>
          <w:sz w:val="28"/>
          <w:szCs w:val="28"/>
          <w:lang w:val="uk-UA"/>
        </w:rPr>
        <w:t>законопроєкті</w:t>
      </w:r>
      <w:proofErr w:type="spellEnd"/>
      <w:r w:rsidRPr="003E597A">
        <w:rPr>
          <w:sz w:val="28"/>
          <w:szCs w:val="28"/>
          <w:lang w:val="uk-UA"/>
        </w:rPr>
        <w:t xml:space="preserve">, адже Директивою 2014/40/ЄС передбачається, що «Держави-члени повинні ввести в дію закони, підзаконні нормативно-правові акти та адміністративні положення, необхідні для дотримання вимог цієї Директиви до 20 травня 2016 року», тобто через 2 роки після прийняття Директиви, а окремі норми Директиви передбачають застосування довших перехідних періодів. </w:t>
      </w:r>
    </w:p>
    <w:bookmarkEnd w:id="0"/>
    <w:bookmarkEnd w:id="1"/>
    <w:p w:rsidR="003E597A" w:rsidRPr="003E597A" w:rsidRDefault="003E597A" w:rsidP="003E597A">
      <w:pPr>
        <w:ind w:firstLine="709"/>
        <w:jc w:val="both"/>
        <w:rPr>
          <w:sz w:val="28"/>
          <w:szCs w:val="28"/>
          <w:lang w:val="uk-UA"/>
        </w:rPr>
      </w:pPr>
      <w:r w:rsidRPr="003E597A">
        <w:rPr>
          <w:sz w:val="28"/>
          <w:szCs w:val="28"/>
          <w:lang w:val="uk-UA"/>
        </w:rPr>
        <w:t xml:space="preserve">Положення </w:t>
      </w:r>
      <w:proofErr w:type="spellStart"/>
      <w:r w:rsidRPr="003E597A">
        <w:rPr>
          <w:sz w:val="28"/>
          <w:szCs w:val="28"/>
          <w:lang w:val="uk-UA"/>
        </w:rPr>
        <w:t>проєкту</w:t>
      </w:r>
      <w:proofErr w:type="spellEnd"/>
      <w:r w:rsidRPr="003E597A">
        <w:rPr>
          <w:sz w:val="28"/>
          <w:szCs w:val="28"/>
          <w:lang w:val="uk-UA"/>
        </w:rPr>
        <w:t xml:space="preserve"> Закону </w:t>
      </w:r>
      <w:r w:rsidRPr="003E597A">
        <w:rPr>
          <w:b/>
          <w:bCs/>
          <w:sz w:val="28"/>
          <w:szCs w:val="28"/>
          <w:lang w:val="uk-UA"/>
        </w:rPr>
        <w:t>не суперечать цілям Угоди про асоціацію</w:t>
      </w:r>
      <w:r w:rsidRPr="003E597A">
        <w:rPr>
          <w:sz w:val="28"/>
          <w:szCs w:val="28"/>
          <w:lang w:val="uk-UA"/>
        </w:rPr>
        <w:t xml:space="preserve">, проте </w:t>
      </w:r>
      <w:r w:rsidRPr="003E597A">
        <w:rPr>
          <w:b/>
          <w:sz w:val="28"/>
          <w:szCs w:val="28"/>
          <w:lang w:val="uk-UA"/>
        </w:rPr>
        <w:t>потребують доопрацювання</w:t>
      </w:r>
      <w:r w:rsidRPr="003E597A">
        <w:rPr>
          <w:sz w:val="28"/>
          <w:szCs w:val="28"/>
          <w:lang w:val="uk-UA"/>
        </w:rPr>
        <w:t xml:space="preserve"> з метою їх приведення у відповідність з вимогами Директиви 2014/40/ЄС Європейського Парламенту та Ради  від 3 квітня 2014 року.</w:t>
      </w:r>
    </w:p>
    <w:p w:rsidR="003E597A" w:rsidRPr="003E597A" w:rsidRDefault="003E597A" w:rsidP="003E597A">
      <w:pPr>
        <w:ind w:firstLine="709"/>
        <w:jc w:val="both"/>
        <w:rPr>
          <w:sz w:val="28"/>
          <w:szCs w:val="28"/>
          <w:lang w:val="uk-UA"/>
        </w:rPr>
      </w:pPr>
    </w:p>
    <w:p w:rsidR="003E597A" w:rsidRPr="003E597A" w:rsidRDefault="003E597A" w:rsidP="003E597A">
      <w:pPr>
        <w:ind w:firstLine="709"/>
        <w:jc w:val="both"/>
        <w:rPr>
          <w:sz w:val="28"/>
          <w:szCs w:val="28"/>
          <w:lang w:val="uk-UA"/>
        </w:rPr>
      </w:pPr>
    </w:p>
    <w:p w:rsidR="00567134" w:rsidRPr="002759DD" w:rsidRDefault="00567134" w:rsidP="003E597A">
      <w:pPr>
        <w:jc w:val="center"/>
        <w:rPr>
          <w:sz w:val="28"/>
          <w:szCs w:val="28"/>
          <w:lang w:val="uk-UA"/>
        </w:rPr>
      </w:pPr>
      <w:bookmarkStart w:id="2" w:name="_GoBack"/>
      <w:bookmarkEnd w:id="2"/>
    </w:p>
    <w:sectPr w:rsidR="00567134" w:rsidRPr="002759DD" w:rsidSect="0056713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EA"/>
    <w:rsid w:val="00000310"/>
    <w:rsid w:val="0003744C"/>
    <w:rsid w:val="00066C88"/>
    <w:rsid w:val="001053EA"/>
    <w:rsid w:val="00111C0B"/>
    <w:rsid w:val="001152E9"/>
    <w:rsid w:val="00164411"/>
    <w:rsid w:val="00173C83"/>
    <w:rsid w:val="00185B11"/>
    <w:rsid w:val="001D0BF0"/>
    <w:rsid w:val="00230528"/>
    <w:rsid w:val="00270FC6"/>
    <w:rsid w:val="00272143"/>
    <w:rsid w:val="00275130"/>
    <w:rsid w:val="002759DD"/>
    <w:rsid w:val="00293FD2"/>
    <w:rsid w:val="002A71CC"/>
    <w:rsid w:val="002B0FDD"/>
    <w:rsid w:val="002B26A3"/>
    <w:rsid w:val="002E654B"/>
    <w:rsid w:val="00303426"/>
    <w:rsid w:val="003425AB"/>
    <w:rsid w:val="0037166A"/>
    <w:rsid w:val="0038179F"/>
    <w:rsid w:val="003D79C8"/>
    <w:rsid w:val="003E133A"/>
    <w:rsid w:val="003E597A"/>
    <w:rsid w:val="00457EF0"/>
    <w:rsid w:val="00476AAF"/>
    <w:rsid w:val="00484D30"/>
    <w:rsid w:val="004A1490"/>
    <w:rsid w:val="004D48EE"/>
    <w:rsid w:val="004F672C"/>
    <w:rsid w:val="00507514"/>
    <w:rsid w:val="005655A2"/>
    <w:rsid w:val="00567134"/>
    <w:rsid w:val="00587C8E"/>
    <w:rsid w:val="005C23A0"/>
    <w:rsid w:val="005C490C"/>
    <w:rsid w:val="005D0207"/>
    <w:rsid w:val="005D4601"/>
    <w:rsid w:val="005D4FC7"/>
    <w:rsid w:val="005D6369"/>
    <w:rsid w:val="006826FC"/>
    <w:rsid w:val="006B098B"/>
    <w:rsid w:val="006B4A0A"/>
    <w:rsid w:val="00712C7E"/>
    <w:rsid w:val="00742A2E"/>
    <w:rsid w:val="007577E1"/>
    <w:rsid w:val="00775EA5"/>
    <w:rsid w:val="0077767A"/>
    <w:rsid w:val="007C56AC"/>
    <w:rsid w:val="007D40B9"/>
    <w:rsid w:val="00842DD4"/>
    <w:rsid w:val="00852BBD"/>
    <w:rsid w:val="00864596"/>
    <w:rsid w:val="00873D54"/>
    <w:rsid w:val="00891F9A"/>
    <w:rsid w:val="008C49A8"/>
    <w:rsid w:val="00917BEA"/>
    <w:rsid w:val="00943546"/>
    <w:rsid w:val="0094639E"/>
    <w:rsid w:val="00A751A1"/>
    <w:rsid w:val="00AD305E"/>
    <w:rsid w:val="00AD487E"/>
    <w:rsid w:val="00AE77C3"/>
    <w:rsid w:val="00B25DF7"/>
    <w:rsid w:val="00B8752E"/>
    <w:rsid w:val="00BA6972"/>
    <w:rsid w:val="00BE0E6A"/>
    <w:rsid w:val="00C50B88"/>
    <w:rsid w:val="00C706BC"/>
    <w:rsid w:val="00CE5BD7"/>
    <w:rsid w:val="00DD1168"/>
    <w:rsid w:val="00DF6345"/>
    <w:rsid w:val="00E579E4"/>
    <w:rsid w:val="00E908F5"/>
    <w:rsid w:val="00ED3A0B"/>
    <w:rsid w:val="00F02B66"/>
    <w:rsid w:val="00F052CD"/>
    <w:rsid w:val="00F203A3"/>
    <w:rsid w:val="00F84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C031E-F909-48EB-B526-2410FBB4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B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91F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50751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uiPriority w:val="99"/>
    <w:rsid w:val="00917BEA"/>
    <w:pPr>
      <w:spacing w:after="60" w:line="220" w:lineRule="exact"/>
      <w:ind w:firstLine="284"/>
      <w:jc w:val="both"/>
    </w:pPr>
    <w:rPr>
      <w:sz w:val="20"/>
      <w:szCs w:val="20"/>
      <w:lang w:val="uk-UA"/>
    </w:rPr>
  </w:style>
  <w:style w:type="paragraph" w:styleId="a3">
    <w:name w:val="Balloon Text"/>
    <w:basedOn w:val="a"/>
    <w:link w:val="a4"/>
    <w:uiPriority w:val="99"/>
    <w:semiHidden/>
    <w:unhideWhenUsed/>
    <w:rsid w:val="00A751A1"/>
    <w:rPr>
      <w:rFonts w:ascii="Segoe UI" w:hAnsi="Segoe UI" w:cs="Segoe UI"/>
      <w:sz w:val="18"/>
      <w:szCs w:val="18"/>
    </w:rPr>
  </w:style>
  <w:style w:type="character" w:customStyle="1" w:styleId="a4">
    <w:name w:val="Текст у виносці Знак"/>
    <w:basedOn w:val="a0"/>
    <w:link w:val="a3"/>
    <w:uiPriority w:val="99"/>
    <w:semiHidden/>
    <w:rsid w:val="00A751A1"/>
    <w:rPr>
      <w:rFonts w:ascii="Segoe UI" w:eastAsia="Times New Roman" w:hAnsi="Segoe UI" w:cs="Segoe UI"/>
      <w:sz w:val="18"/>
      <w:szCs w:val="18"/>
      <w:lang w:eastAsia="ru-RU"/>
    </w:rPr>
  </w:style>
  <w:style w:type="paragraph" w:styleId="a5">
    <w:name w:val="header"/>
    <w:basedOn w:val="a"/>
    <w:link w:val="a6"/>
    <w:uiPriority w:val="99"/>
    <w:rsid w:val="00507514"/>
    <w:pPr>
      <w:tabs>
        <w:tab w:val="center" w:pos="4677"/>
        <w:tab w:val="right" w:pos="9355"/>
      </w:tabs>
    </w:pPr>
    <w:rPr>
      <w:sz w:val="28"/>
      <w:szCs w:val="28"/>
      <w:lang w:val="uk-UA"/>
    </w:rPr>
  </w:style>
  <w:style w:type="character" w:customStyle="1" w:styleId="a6">
    <w:name w:val="Верхній колонтитул Знак"/>
    <w:basedOn w:val="a0"/>
    <w:link w:val="a5"/>
    <w:uiPriority w:val="99"/>
    <w:rsid w:val="00507514"/>
    <w:rPr>
      <w:rFonts w:ascii="Times New Roman" w:eastAsia="Times New Roman" w:hAnsi="Times New Roman" w:cs="Times New Roman"/>
      <w:sz w:val="28"/>
      <w:szCs w:val="28"/>
      <w:lang w:val="uk-UA" w:eastAsia="ru-RU"/>
    </w:rPr>
  </w:style>
  <w:style w:type="character" w:customStyle="1" w:styleId="30">
    <w:name w:val="Заголовок 3 Знак"/>
    <w:basedOn w:val="a0"/>
    <w:link w:val="3"/>
    <w:uiPriority w:val="9"/>
    <w:rsid w:val="00507514"/>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891F9A"/>
    <w:rPr>
      <w:rFonts w:asciiTheme="majorHAnsi" w:eastAsiaTheme="majorEastAsia" w:hAnsiTheme="majorHAnsi" w:cstheme="majorBidi"/>
      <w:color w:val="365F91" w:themeColor="accent1" w:themeShade="BF"/>
      <w:sz w:val="32"/>
      <w:szCs w:val="32"/>
      <w:lang w:eastAsia="ru-RU"/>
    </w:rPr>
  </w:style>
  <w:style w:type="paragraph" w:styleId="a7">
    <w:name w:val="List Paragraph"/>
    <w:basedOn w:val="a"/>
    <w:uiPriority w:val="34"/>
    <w:qFormat/>
    <w:rsid w:val="00775EA5"/>
    <w:pPr>
      <w:spacing w:after="200" w:line="276" w:lineRule="auto"/>
      <w:ind w:left="720"/>
      <w:contextualSpacing/>
    </w:pPr>
    <w:rPr>
      <w:rFonts w:ascii="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4077">
      <w:bodyDiv w:val="1"/>
      <w:marLeft w:val="0"/>
      <w:marRight w:val="0"/>
      <w:marTop w:val="0"/>
      <w:marBottom w:val="0"/>
      <w:divBdr>
        <w:top w:val="none" w:sz="0" w:space="0" w:color="auto"/>
        <w:left w:val="none" w:sz="0" w:space="0" w:color="auto"/>
        <w:bottom w:val="none" w:sz="0" w:space="0" w:color="auto"/>
        <w:right w:val="none" w:sz="0" w:space="0" w:color="auto"/>
      </w:divBdr>
    </w:div>
    <w:div w:id="312636043">
      <w:bodyDiv w:val="1"/>
      <w:marLeft w:val="0"/>
      <w:marRight w:val="0"/>
      <w:marTop w:val="0"/>
      <w:marBottom w:val="0"/>
      <w:divBdr>
        <w:top w:val="none" w:sz="0" w:space="0" w:color="auto"/>
        <w:left w:val="none" w:sz="0" w:space="0" w:color="auto"/>
        <w:bottom w:val="none" w:sz="0" w:space="0" w:color="auto"/>
        <w:right w:val="none" w:sz="0" w:space="0" w:color="auto"/>
      </w:divBdr>
    </w:div>
    <w:div w:id="380635614">
      <w:bodyDiv w:val="1"/>
      <w:marLeft w:val="0"/>
      <w:marRight w:val="0"/>
      <w:marTop w:val="0"/>
      <w:marBottom w:val="0"/>
      <w:divBdr>
        <w:top w:val="none" w:sz="0" w:space="0" w:color="auto"/>
        <w:left w:val="none" w:sz="0" w:space="0" w:color="auto"/>
        <w:bottom w:val="none" w:sz="0" w:space="0" w:color="auto"/>
        <w:right w:val="none" w:sz="0" w:space="0" w:color="auto"/>
      </w:divBdr>
    </w:div>
    <w:div w:id="493224988">
      <w:bodyDiv w:val="1"/>
      <w:marLeft w:val="0"/>
      <w:marRight w:val="0"/>
      <w:marTop w:val="0"/>
      <w:marBottom w:val="0"/>
      <w:divBdr>
        <w:top w:val="none" w:sz="0" w:space="0" w:color="auto"/>
        <w:left w:val="none" w:sz="0" w:space="0" w:color="auto"/>
        <w:bottom w:val="none" w:sz="0" w:space="0" w:color="auto"/>
        <w:right w:val="none" w:sz="0" w:space="0" w:color="auto"/>
      </w:divBdr>
      <w:divsChild>
        <w:div w:id="144784626">
          <w:marLeft w:val="0"/>
          <w:marRight w:val="0"/>
          <w:marTop w:val="0"/>
          <w:marBottom w:val="0"/>
          <w:divBdr>
            <w:top w:val="none" w:sz="0" w:space="0" w:color="auto"/>
            <w:left w:val="none" w:sz="0" w:space="0" w:color="auto"/>
            <w:bottom w:val="none" w:sz="0" w:space="0" w:color="auto"/>
            <w:right w:val="none" w:sz="0" w:space="0" w:color="auto"/>
          </w:divBdr>
        </w:div>
      </w:divsChild>
    </w:div>
    <w:div w:id="598147177">
      <w:bodyDiv w:val="1"/>
      <w:marLeft w:val="0"/>
      <w:marRight w:val="0"/>
      <w:marTop w:val="0"/>
      <w:marBottom w:val="0"/>
      <w:divBdr>
        <w:top w:val="none" w:sz="0" w:space="0" w:color="auto"/>
        <w:left w:val="none" w:sz="0" w:space="0" w:color="auto"/>
        <w:bottom w:val="none" w:sz="0" w:space="0" w:color="auto"/>
        <w:right w:val="none" w:sz="0" w:space="0" w:color="auto"/>
      </w:divBdr>
    </w:div>
    <w:div w:id="657273517">
      <w:bodyDiv w:val="1"/>
      <w:marLeft w:val="0"/>
      <w:marRight w:val="0"/>
      <w:marTop w:val="0"/>
      <w:marBottom w:val="0"/>
      <w:divBdr>
        <w:top w:val="none" w:sz="0" w:space="0" w:color="auto"/>
        <w:left w:val="none" w:sz="0" w:space="0" w:color="auto"/>
        <w:bottom w:val="none" w:sz="0" w:space="0" w:color="auto"/>
        <w:right w:val="none" w:sz="0" w:space="0" w:color="auto"/>
      </w:divBdr>
    </w:div>
    <w:div w:id="792944574">
      <w:bodyDiv w:val="1"/>
      <w:marLeft w:val="0"/>
      <w:marRight w:val="0"/>
      <w:marTop w:val="0"/>
      <w:marBottom w:val="0"/>
      <w:divBdr>
        <w:top w:val="none" w:sz="0" w:space="0" w:color="auto"/>
        <w:left w:val="none" w:sz="0" w:space="0" w:color="auto"/>
        <w:bottom w:val="none" w:sz="0" w:space="0" w:color="auto"/>
        <w:right w:val="none" w:sz="0" w:space="0" w:color="auto"/>
      </w:divBdr>
    </w:div>
    <w:div w:id="898127615">
      <w:bodyDiv w:val="1"/>
      <w:marLeft w:val="0"/>
      <w:marRight w:val="0"/>
      <w:marTop w:val="0"/>
      <w:marBottom w:val="0"/>
      <w:divBdr>
        <w:top w:val="none" w:sz="0" w:space="0" w:color="auto"/>
        <w:left w:val="none" w:sz="0" w:space="0" w:color="auto"/>
        <w:bottom w:val="none" w:sz="0" w:space="0" w:color="auto"/>
        <w:right w:val="none" w:sz="0" w:space="0" w:color="auto"/>
      </w:divBdr>
      <w:divsChild>
        <w:div w:id="1556967967">
          <w:marLeft w:val="0"/>
          <w:marRight w:val="0"/>
          <w:marTop w:val="0"/>
          <w:marBottom w:val="0"/>
          <w:divBdr>
            <w:top w:val="none" w:sz="0" w:space="0" w:color="auto"/>
            <w:left w:val="none" w:sz="0" w:space="0" w:color="auto"/>
            <w:bottom w:val="none" w:sz="0" w:space="0" w:color="auto"/>
            <w:right w:val="none" w:sz="0" w:space="0" w:color="auto"/>
          </w:divBdr>
        </w:div>
      </w:divsChild>
    </w:div>
    <w:div w:id="1229994331">
      <w:bodyDiv w:val="1"/>
      <w:marLeft w:val="0"/>
      <w:marRight w:val="0"/>
      <w:marTop w:val="0"/>
      <w:marBottom w:val="0"/>
      <w:divBdr>
        <w:top w:val="none" w:sz="0" w:space="0" w:color="auto"/>
        <w:left w:val="none" w:sz="0" w:space="0" w:color="auto"/>
        <w:bottom w:val="none" w:sz="0" w:space="0" w:color="auto"/>
        <w:right w:val="none" w:sz="0" w:space="0" w:color="auto"/>
      </w:divBdr>
    </w:div>
    <w:div w:id="1278222660">
      <w:bodyDiv w:val="1"/>
      <w:marLeft w:val="0"/>
      <w:marRight w:val="0"/>
      <w:marTop w:val="0"/>
      <w:marBottom w:val="0"/>
      <w:divBdr>
        <w:top w:val="none" w:sz="0" w:space="0" w:color="auto"/>
        <w:left w:val="none" w:sz="0" w:space="0" w:color="auto"/>
        <w:bottom w:val="none" w:sz="0" w:space="0" w:color="auto"/>
        <w:right w:val="none" w:sz="0" w:space="0" w:color="auto"/>
      </w:divBdr>
    </w:div>
    <w:div w:id="1962303533">
      <w:bodyDiv w:val="1"/>
      <w:marLeft w:val="0"/>
      <w:marRight w:val="0"/>
      <w:marTop w:val="0"/>
      <w:marBottom w:val="0"/>
      <w:divBdr>
        <w:top w:val="none" w:sz="0" w:space="0" w:color="auto"/>
        <w:left w:val="none" w:sz="0" w:space="0" w:color="auto"/>
        <w:bottom w:val="none" w:sz="0" w:space="0" w:color="auto"/>
        <w:right w:val="none" w:sz="0" w:space="0" w:color="auto"/>
      </w:divBdr>
    </w:div>
    <w:div w:id="2055301401">
      <w:bodyDiv w:val="1"/>
      <w:marLeft w:val="0"/>
      <w:marRight w:val="0"/>
      <w:marTop w:val="0"/>
      <w:marBottom w:val="0"/>
      <w:divBdr>
        <w:top w:val="none" w:sz="0" w:space="0" w:color="auto"/>
        <w:left w:val="none" w:sz="0" w:space="0" w:color="auto"/>
        <w:bottom w:val="none" w:sz="0" w:space="0" w:color="auto"/>
        <w:right w:val="none" w:sz="0" w:space="0" w:color="auto"/>
      </w:divBdr>
    </w:div>
    <w:div w:id="2111461327">
      <w:bodyDiv w:val="1"/>
      <w:marLeft w:val="0"/>
      <w:marRight w:val="0"/>
      <w:marTop w:val="0"/>
      <w:marBottom w:val="0"/>
      <w:divBdr>
        <w:top w:val="none" w:sz="0" w:space="0" w:color="auto"/>
        <w:left w:val="none" w:sz="0" w:space="0" w:color="auto"/>
        <w:bottom w:val="none" w:sz="0" w:space="0" w:color="auto"/>
        <w:right w:val="none" w:sz="0" w:space="0" w:color="auto"/>
      </w:divBdr>
    </w:div>
    <w:div w:id="2115129759">
      <w:bodyDiv w:val="1"/>
      <w:marLeft w:val="0"/>
      <w:marRight w:val="0"/>
      <w:marTop w:val="0"/>
      <w:marBottom w:val="0"/>
      <w:divBdr>
        <w:top w:val="none" w:sz="0" w:space="0" w:color="auto"/>
        <w:left w:val="none" w:sz="0" w:space="0" w:color="auto"/>
        <w:bottom w:val="none" w:sz="0" w:space="0" w:color="auto"/>
        <w:right w:val="none" w:sz="0" w:space="0" w:color="auto"/>
      </w:divBdr>
    </w:div>
    <w:div w:id="212310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7676</Words>
  <Characters>4376</Characters>
  <Application>Microsoft Office Word</Application>
  <DocSecurity>0</DocSecurity>
  <Lines>36</Lines>
  <Paragraphs>24</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Фостик Богдан Володимирович</cp:lastModifiedBy>
  <cp:revision>5</cp:revision>
  <cp:lastPrinted>2020-02-14T09:09:00Z</cp:lastPrinted>
  <dcterms:created xsi:type="dcterms:W3CDTF">2021-06-04T07:07:00Z</dcterms:created>
  <dcterms:modified xsi:type="dcterms:W3CDTF">2021-06-09T08:27:00Z</dcterms:modified>
</cp:coreProperties>
</file>