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D6671" w14:textId="77777777" w:rsidR="00B640EA" w:rsidRPr="000501B7" w:rsidRDefault="00B640EA" w:rsidP="00EB0CD6">
      <w:pPr>
        <w:keepNext/>
        <w:ind w:left="-360"/>
        <w:jc w:val="center"/>
        <w:outlineLvl w:val="0"/>
        <w:rPr>
          <w:b/>
          <w:bCs/>
          <w:sz w:val="28"/>
          <w:szCs w:val="28"/>
        </w:rPr>
      </w:pPr>
      <w:bookmarkStart w:id="0" w:name="_GoBack"/>
      <w:bookmarkEnd w:id="0"/>
      <w:r w:rsidRPr="000501B7">
        <w:rPr>
          <w:b/>
          <w:bCs/>
          <w:sz w:val="28"/>
          <w:szCs w:val="28"/>
        </w:rPr>
        <w:t>ПОРІВНЯЛЬНА ТАБЛИЦЯ</w:t>
      </w:r>
    </w:p>
    <w:p w14:paraId="34CFB4A6" w14:textId="3B6B0F81" w:rsidR="00EC314C" w:rsidRPr="000501B7" w:rsidRDefault="00962C8D" w:rsidP="00B640EA">
      <w:pPr>
        <w:jc w:val="center"/>
        <w:rPr>
          <w:b/>
          <w:sz w:val="28"/>
          <w:szCs w:val="28"/>
        </w:rPr>
      </w:pPr>
      <w:r>
        <w:rPr>
          <w:b/>
          <w:color w:val="000000"/>
          <w:sz w:val="28"/>
          <w:szCs w:val="28"/>
        </w:rPr>
        <w:t>до прое</w:t>
      </w:r>
      <w:r w:rsidR="00B640EA" w:rsidRPr="000501B7">
        <w:rPr>
          <w:b/>
          <w:color w:val="000000"/>
          <w:sz w:val="28"/>
          <w:szCs w:val="28"/>
        </w:rPr>
        <w:t xml:space="preserve">кту Закону України </w:t>
      </w:r>
      <w:r w:rsidR="00AF6B4F" w:rsidRPr="000501B7">
        <w:rPr>
          <w:b/>
          <w:sz w:val="28"/>
          <w:szCs w:val="28"/>
        </w:rPr>
        <w:t>«</w:t>
      </w:r>
      <w:r w:rsidR="00437758" w:rsidRPr="000501B7">
        <w:rPr>
          <w:b/>
          <w:sz w:val="28"/>
          <w:szCs w:val="28"/>
        </w:rPr>
        <w:t>Про внесення змін до Закону України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 та деяких інших законів України щодо видачі ліцензії на роздрібну торгівлю алкогольними напоями, тютюновими виробами і рідинами, що використовуються в електронних сигаретах</w:t>
      </w:r>
      <w:r w:rsidR="00AF6B4F" w:rsidRPr="000501B7">
        <w:rPr>
          <w:b/>
          <w:sz w:val="28"/>
          <w:szCs w:val="28"/>
        </w:rPr>
        <w:t>»</w:t>
      </w:r>
    </w:p>
    <w:p w14:paraId="1F52159B" w14:textId="77777777" w:rsidR="00B640EA" w:rsidRPr="000501B7" w:rsidRDefault="00B640EA" w:rsidP="00B640EA">
      <w:pPr>
        <w:jc w:val="center"/>
        <w:rPr>
          <w:b/>
          <w:sz w:val="28"/>
          <w:szCs w:val="28"/>
        </w:rPr>
      </w:pPr>
    </w:p>
    <w:tbl>
      <w:tblPr>
        <w:tblStyle w:val="a4"/>
        <w:tblW w:w="14788" w:type="dxa"/>
        <w:tblLayout w:type="fixed"/>
        <w:tblLook w:val="04A0" w:firstRow="1" w:lastRow="0" w:firstColumn="1" w:lastColumn="0" w:noHBand="0" w:noVBand="1"/>
      </w:tblPr>
      <w:tblGrid>
        <w:gridCol w:w="7394"/>
        <w:gridCol w:w="7394"/>
      </w:tblGrid>
      <w:tr w:rsidR="00B640EA" w:rsidRPr="000501B7" w14:paraId="36D80335" w14:textId="77777777" w:rsidTr="00B13F68">
        <w:tc>
          <w:tcPr>
            <w:tcW w:w="7394" w:type="dxa"/>
          </w:tcPr>
          <w:p w14:paraId="2B1391DC" w14:textId="77777777" w:rsidR="00B640EA" w:rsidRPr="000501B7" w:rsidRDefault="00B640EA" w:rsidP="00126C8A">
            <w:pPr>
              <w:widowControl w:val="0"/>
              <w:jc w:val="center"/>
              <w:rPr>
                <w:sz w:val="28"/>
                <w:szCs w:val="28"/>
              </w:rPr>
            </w:pPr>
            <w:r w:rsidRPr="000501B7">
              <w:rPr>
                <w:b/>
                <w:color w:val="000000"/>
                <w:sz w:val="28"/>
                <w:szCs w:val="28"/>
              </w:rPr>
              <w:t>Положення чинного законодавчого акту</w:t>
            </w:r>
          </w:p>
        </w:tc>
        <w:tc>
          <w:tcPr>
            <w:tcW w:w="7394" w:type="dxa"/>
          </w:tcPr>
          <w:p w14:paraId="28CF6164" w14:textId="77777777" w:rsidR="00B640EA" w:rsidRPr="000501B7" w:rsidRDefault="00B640EA" w:rsidP="00126C8A">
            <w:pPr>
              <w:widowControl w:val="0"/>
              <w:jc w:val="center"/>
              <w:rPr>
                <w:sz w:val="28"/>
                <w:szCs w:val="28"/>
              </w:rPr>
            </w:pPr>
            <w:r w:rsidRPr="000501B7">
              <w:rPr>
                <w:b/>
                <w:color w:val="000000"/>
                <w:sz w:val="28"/>
                <w:szCs w:val="28"/>
              </w:rPr>
              <w:t>Положення законодавчого акту з урахуванням запропонованих змін</w:t>
            </w:r>
          </w:p>
        </w:tc>
      </w:tr>
      <w:tr w:rsidR="00B640EA" w:rsidRPr="000501B7" w14:paraId="4F213DEC" w14:textId="77777777" w:rsidTr="00B13F68">
        <w:tc>
          <w:tcPr>
            <w:tcW w:w="14788" w:type="dxa"/>
            <w:gridSpan w:val="2"/>
          </w:tcPr>
          <w:p w14:paraId="05514C62" w14:textId="4C6F7526" w:rsidR="00B640EA" w:rsidRPr="000501B7" w:rsidRDefault="00725680" w:rsidP="00126C8A">
            <w:pPr>
              <w:widowControl w:val="0"/>
              <w:jc w:val="center"/>
              <w:rPr>
                <w:rStyle w:val="rvts15"/>
                <w:b/>
                <w:bCs/>
                <w:color w:val="000000"/>
                <w:sz w:val="28"/>
                <w:szCs w:val="28"/>
              </w:rPr>
            </w:pPr>
            <w:r w:rsidRPr="000501B7">
              <w:rPr>
                <w:rStyle w:val="rvts15"/>
                <w:b/>
                <w:bCs/>
                <w:color w:val="000000"/>
                <w:sz w:val="28"/>
                <w:szCs w:val="28"/>
              </w:rPr>
              <w:t>Закон України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w:t>
            </w:r>
          </w:p>
          <w:p w14:paraId="17FFE5D8" w14:textId="205505E8" w:rsidR="003F0646" w:rsidRPr="000501B7" w:rsidRDefault="00725680" w:rsidP="00126C8A">
            <w:pPr>
              <w:widowControl w:val="0"/>
              <w:jc w:val="center"/>
              <w:rPr>
                <w:sz w:val="28"/>
                <w:szCs w:val="28"/>
              </w:rPr>
            </w:pPr>
            <w:r w:rsidRPr="000501B7">
              <w:rPr>
                <w:b/>
                <w:sz w:val="28"/>
                <w:szCs w:val="28"/>
              </w:rPr>
              <w:t>(Відомості Верховної Ради України, 1995 р., № 46, ст. 345 із наступними змінами)</w:t>
            </w:r>
          </w:p>
        </w:tc>
      </w:tr>
      <w:tr w:rsidR="00B640EA" w:rsidRPr="000501B7" w14:paraId="55C2E787" w14:textId="77777777" w:rsidTr="00B13F68">
        <w:tc>
          <w:tcPr>
            <w:tcW w:w="7394" w:type="dxa"/>
          </w:tcPr>
          <w:p w14:paraId="6792F68B" w14:textId="6569BE7C" w:rsidR="00B640EA" w:rsidRPr="000501B7" w:rsidRDefault="00725680" w:rsidP="00126C8A">
            <w:pPr>
              <w:widowControl w:val="0"/>
              <w:ind w:firstLine="403"/>
              <w:jc w:val="both"/>
              <w:rPr>
                <w:color w:val="000000"/>
                <w:sz w:val="28"/>
                <w:szCs w:val="28"/>
              </w:rPr>
            </w:pPr>
            <w:r w:rsidRPr="000501B7">
              <w:rPr>
                <w:b/>
                <w:bCs/>
                <w:color w:val="000000"/>
                <w:sz w:val="28"/>
                <w:szCs w:val="28"/>
              </w:rPr>
              <w:t xml:space="preserve">Стаття 15. </w:t>
            </w:r>
            <w:r w:rsidRPr="000501B7">
              <w:rPr>
                <w:bCs/>
                <w:color w:val="000000"/>
                <w:sz w:val="28"/>
                <w:szCs w:val="28"/>
              </w:rPr>
              <w:t>Імпорт, експорт, оптова і роздрібна торгівля алкогольними напоями, тютюновими виробами, рідинами, що використовуються в електронних сигаретах, пальним та зберігання пального</w:t>
            </w:r>
          </w:p>
        </w:tc>
        <w:tc>
          <w:tcPr>
            <w:tcW w:w="7394" w:type="dxa"/>
          </w:tcPr>
          <w:p w14:paraId="0C092451" w14:textId="2F64FB57" w:rsidR="00B640EA" w:rsidRPr="000501B7" w:rsidRDefault="00725680" w:rsidP="00126C8A">
            <w:pPr>
              <w:widowControl w:val="0"/>
              <w:ind w:firstLine="403"/>
              <w:jc w:val="both"/>
              <w:rPr>
                <w:color w:val="000000"/>
                <w:sz w:val="28"/>
                <w:szCs w:val="28"/>
              </w:rPr>
            </w:pPr>
            <w:r w:rsidRPr="000501B7">
              <w:rPr>
                <w:b/>
                <w:bCs/>
                <w:color w:val="000000"/>
                <w:sz w:val="28"/>
                <w:szCs w:val="28"/>
              </w:rPr>
              <w:t xml:space="preserve">Стаття 15. </w:t>
            </w:r>
            <w:r w:rsidRPr="000501B7">
              <w:rPr>
                <w:bCs/>
                <w:color w:val="000000"/>
                <w:sz w:val="28"/>
                <w:szCs w:val="28"/>
              </w:rPr>
              <w:t>Імпорт, експорт, оптова і роздрібна торгівля алкогольними напоями, тютюновими виробами, рідинами, що використовуються в електронних сигаретах, пальним та зберігання пального</w:t>
            </w:r>
          </w:p>
        </w:tc>
      </w:tr>
      <w:tr w:rsidR="00725680" w:rsidRPr="000501B7" w14:paraId="545B4BBE" w14:textId="77777777" w:rsidTr="00B13F68">
        <w:tc>
          <w:tcPr>
            <w:tcW w:w="7394" w:type="dxa"/>
          </w:tcPr>
          <w:p w14:paraId="5F132AC2" w14:textId="247D9BCE" w:rsidR="00725680" w:rsidRPr="000501B7" w:rsidRDefault="00725680" w:rsidP="00725680">
            <w:pPr>
              <w:widowControl w:val="0"/>
              <w:jc w:val="both"/>
              <w:rPr>
                <w:b/>
                <w:bCs/>
                <w:color w:val="000000"/>
                <w:sz w:val="28"/>
                <w:szCs w:val="28"/>
              </w:rPr>
            </w:pPr>
            <w:r w:rsidRPr="000501B7">
              <w:rPr>
                <w:b/>
                <w:bCs/>
                <w:color w:val="000000"/>
                <w:sz w:val="28"/>
                <w:szCs w:val="28"/>
              </w:rPr>
              <w:t>…</w:t>
            </w:r>
          </w:p>
        </w:tc>
        <w:tc>
          <w:tcPr>
            <w:tcW w:w="7394" w:type="dxa"/>
          </w:tcPr>
          <w:p w14:paraId="7D5C2DF0" w14:textId="3D270521" w:rsidR="00725680" w:rsidRPr="000501B7" w:rsidRDefault="00725680" w:rsidP="00725680">
            <w:pPr>
              <w:widowControl w:val="0"/>
              <w:jc w:val="both"/>
              <w:rPr>
                <w:b/>
                <w:bCs/>
                <w:color w:val="000000"/>
                <w:sz w:val="28"/>
                <w:szCs w:val="28"/>
              </w:rPr>
            </w:pPr>
            <w:r w:rsidRPr="000501B7">
              <w:rPr>
                <w:b/>
                <w:bCs/>
                <w:color w:val="000000"/>
                <w:sz w:val="28"/>
                <w:szCs w:val="28"/>
              </w:rPr>
              <w:t>…</w:t>
            </w:r>
          </w:p>
        </w:tc>
      </w:tr>
      <w:tr w:rsidR="00725680" w:rsidRPr="000501B7" w14:paraId="66FAEADF" w14:textId="77777777" w:rsidTr="00B13F68">
        <w:tc>
          <w:tcPr>
            <w:tcW w:w="7394" w:type="dxa"/>
          </w:tcPr>
          <w:p w14:paraId="4D75A618" w14:textId="0243444B" w:rsidR="00725680" w:rsidRPr="000501B7" w:rsidRDefault="007765BE" w:rsidP="00725680">
            <w:pPr>
              <w:widowControl w:val="0"/>
              <w:ind w:right="3" w:firstLine="447"/>
              <w:jc w:val="both"/>
              <w:rPr>
                <w:color w:val="000000"/>
                <w:sz w:val="28"/>
                <w:szCs w:val="28"/>
              </w:rPr>
            </w:pPr>
            <w:r w:rsidRPr="000501B7">
              <w:rPr>
                <w:color w:val="000000"/>
                <w:sz w:val="28"/>
                <w:szCs w:val="28"/>
              </w:rPr>
              <w:t xml:space="preserve">У заяві про видачу ліцензії на роздрібну торгівлю алкогольними напоями, тютюновими виробами, рідинами, що використовуються в електронних сигаретах, або пальним додатково зазначаються адреса місця торгівлі, перелік реєстраторів розрахункових операцій, програмних реєстраторів розрахункових операцій (книг обліку розрахункових операцій), які знаходяться у місці торгівлі, а також інформація про них: модель, модифікація, заводський номер, виробник, дата виготовлення; реєстраційні номери посвідчень реєстраторів розрахункових операцій (книг обліку розрахункових операцій), фіскальні номери </w:t>
            </w:r>
            <w:r w:rsidRPr="000501B7">
              <w:rPr>
                <w:color w:val="000000"/>
                <w:sz w:val="28"/>
                <w:szCs w:val="28"/>
              </w:rPr>
              <w:lastRenderedPageBreak/>
              <w:t xml:space="preserve">програмних реєстраторів розрахункових операцій, які знаходяться у місці торгівлі, </w:t>
            </w:r>
            <w:bookmarkStart w:id="1" w:name="_Hlk70692800"/>
            <w:r w:rsidRPr="000501B7">
              <w:rPr>
                <w:color w:val="000000"/>
                <w:sz w:val="28"/>
                <w:szCs w:val="28"/>
              </w:rPr>
              <w:t>та дата початку їх обліку в податкових органах.</w:t>
            </w:r>
            <w:bookmarkEnd w:id="1"/>
          </w:p>
        </w:tc>
        <w:tc>
          <w:tcPr>
            <w:tcW w:w="7394" w:type="dxa"/>
          </w:tcPr>
          <w:p w14:paraId="3571BA0A" w14:textId="02ECED67" w:rsidR="00725680" w:rsidRPr="000501B7" w:rsidRDefault="007765BE" w:rsidP="00E57B55">
            <w:pPr>
              <w:widowControl w:val="0"/>
              <w:ind w:firstLine="447"/>
              <w:jc w:val="both"/>
              <w:rPr>
                <w:b/>
                <w:color w:val="000000"/>
                <w:sz w:val="28"/>
                <w:szCs w:val="28"/>
              </w:rPr>
            </w:pPr>
            <w:r w:rsidRPr="000501B7">
              <w:rPr>
                <w:color w:val="000000"/>
                <w:sz w:val="28"/>
                <w:szCs w:val="28"/>
              </w:rPr>
              <w:lastRenderedPageBreak/>
              <w:t xml:space="preserve">У заяві про видачу ліцензії на роздрібну торгівлю алкогольними напоями, тютюновими виробами, рідинами, що використовуються в електронних сигаретах, або пальним додатково зазначаються адреса місця торгівлі, перелік реєстраторів розрахункових операцій, програмних реєстраторів розрахункових операцій (книг обліку розрахункових операцій), які знаходяться у місці торгівлі, а також інформація про них: модель, модифікація, заводський номер, виробник, дата виготовлення; реєстраційні номери посвідчень реєстраторів розрахункових операцій (книг обліку розрахункових операцій), фіскальні номери </w:t>
            </w:r>
            <w:r w:rsidRPr="000501B7">
              <w:rPr>
                <w:color w:val="000000"/>
                <w:sz w:val="28"/>
                <w:szCs w:val="28"/>
              </w:rPr>
              <w:lastRenderedPageBreak/>
              <w:t xml:space="preserve">програмних реєстраторів розрахункових операцій, які знаходяться у місці торгівлі, </w:t>
            </w:r>
            <w:bookmarkStart w:id="2" w:name="_Hlk70692906"/>
            <w:r w:rsidRPr="000501B7">
              <w:rPr>
                <w:color w:val="000000"/>
                <w:sz w:val="28"/>
                <w:szCs w:val="28"/>
              </w:rPr>
              <w:t>та дата початку їх обліку в податкових органах</w:t>
            </w:r>
            <w:r w:rsidR="00EC0BFA" w:rsidRPr="000501B7">
              <w:rPr>
                <w:b/>
                <w:color w:val="000000"/>
                <w:sz w:val="28"/>
                <w:szCs w:val="28"/>
              </w:rPr>
              <w:t>;</w:t>
            </w:r>
            <w:r w:rsidR="00EC0BFA" w:rsidRPr="000501B7">
              <w:rPr>
                <w:color w:val="000000"/>
                <w:sz w:val="28"/>
                <w:szCs w:val="28"/>
              </w:rPr>
              <w:t xml:space="preserve"> </w:t>
            </w:r>
            <w:r w:rsidR="00EC0BFA" w:rsidRPr="000501B7">
              <w:rPr>
                <w:b/>
                <w:color w:val="000000"/>
                <w:sz w:val="28"/>
                <w:szCs w:val="28"/>
              </w:rPr>
              <w:t>поштова адреса та/або адреса електронної пошти, на які буде надіслан</w:t>
            </w:r>
            <w:r w:rsidR="00E57B55" w:rsidRPr="000501B7">
              <w:rPr>
                <w:b/>
                <w:color w:val="000000"/>
                <w:sz w:val="28"/>
                <w:szCs w:val="28"/>
              </w:rPr>
              <w:t>е</w:t>
            </w:r>
            <w:r w:rsidR="00EC0BFA" w:rsidRPr="000501B7">
              <w:rPr>
                <w:b/>
                <w:color w:val="000000"/>
                <w:sz w:val="28"/>
                <w:szCs w:val="28"/>
              </w:rPr>
              <w:t xml:space="preserve"> </w:t>
            </w:r>
            <w:r w:rsidR="00247BFA" w:rsidRPr="000501B7">
              <w:rPr>
                <w:b/>
                <w:color w:val="000000"/>
                <w:sz w:val="28"/>
                <w:szCs w:val="28"/>
              </w:rPr>
              <w:t>копія розпорядження</w:t>
            </w:r>
            <w:r w:rsidR="00EC0BFA" w:rsidRPr="000501B7">
              <w:rPr>
                <w:b/>
                <w:color w:val="000000"/>
                <w:sz w:val="28"/>
                <w:szCs w:val="28"/>
              </w:rPr>
              <w:t xml:space="preserve"> </w:t>
            </w:r>
            <w:r w:rsidR="00E57B55" w:rsidRPr="000501B7">
              <w:rPr>
                <w:b/>
                <w:color w:val="000000"/>
                <w:sz w:val="28"/>
                <w:szCs w:val="28"/>
              </w:rPr>
              <w:t>про анулювання ліцензії</w:t>
            </w:r>
            <w:r w:rsidRPr="000501B7">
              <w:rPr>
                <w:color w:val="000000"/>
                <w:sz w:val="28"/>
                <w:szCs w:val="28"/>
              </w:rPr>
              <w:t>.</w:t>
            </w:r>
            <w:bookmarkEnd w:id="2"/>
          </w:p>
        </w:tc>
      </w:tr>
      <w:tr w:rsidR="00725680" w:rsidRPr="000501B7" w14:paraId="0762DB58" w14:textId="77777777" w:rsidTr="00B13F68">
        <w:tc>
          <w:tcPr>
            <w:tcW w:w="7394" w:type="dxa"/>
          </w:tcPr>
          <w:p w14:paraId="431153AA" w14:textId="5F283C84" w:rsidR="00725680" w:rsidRPr="000501B7" w:rsidRDefault="00725680" w:rsidP="00725680">
            <w:pPr>
              <w:widowControl w:val="0"/>
              <w:ind w:right="3" w:firstLine="447"/>
              <w:jc w:val="both"/>
              <w:rPr>
                <w:b/>
                <w:color w:val="000000"/>
                <w:sz w:val="28"/>
                <w:szCs w:val="28"/>
              </w:rPr>
            </w:pPr>
            <w:bookmarkStart w:id="3" w:name="_Hlk70693050"/>
            <w:r w:rsidRPr="000501B7">
              <w:rPr>
                <w:b/>
                <w:color w:val="000000"/>
                <w:sz w:val="28"/>
                <w:szCs w:val="28"/>
              </w:rPr>
              <w:lastRenderedPageBreak/>
              <w:t>Відсутня</w:t>
            </w:r>
          </w:p>
        </w:tc>
        <w:tc>
          <w:tcPr>
            <w:tcW w:w="7394" w:type="dxa"/>
          </w:tcPr>
          <w:p w14:paraId="28658ECD" w14:textId="509BED62" w:rsidR="00725680" w:rsidRPr="000501B7" w:rsidRDefault="00725680" w:rsidP="00725680">
            <w:pPr>
              <w:widowControl w:val="0"/>
              <w:ind w:firstLine="447"/>
              <w:jc w:val="both"/>
              <w:rPr>
                <w:b/>
                <w:color w:val="000000"/>
                <w:sz w:val="28"/>
                <w:szCs w:val="28"/>
              </w:rPr>
            </w:pPr>
            <w:r w:rsidRPr="000501B7">
              <w:rPr>
                <w:b/>
                <w:color w:val="000000"/>
                <w:sz w:val="28"/>
                <w:szCs w:val="28"/>
              </w:rPr>
              <w:t xml:space="preserve">До заяви про видачу ліцензії на роздрібну торгівлю </w:t>
            </w:r>
            <w:r w:rsidR="00B1357F" w:rsidRPr="000501B7">
              <w:rPr>
                <w:b/>
                <w:color w:val="000000"/>
                <w:sz w:val="28"/>
                <w:szCs w:val="28"/>
              </w:rPr>
              <w:t>алкогольними напоями, тютюновими виробами, рідинами, що використовуються в електронних сигаретах</w:t>
            </w:r>
            <w:r w:rsidRPr="000501B7">
              <w:rPr>
                <w:b/>
                <w:color w:val="000000"/>
                <w:sz w:val="28"/>
                <w:szCs w:val="28"/>
              </w:rPr>
              <w:t xml:space="preserve">, заявник додає </w:t>
            </w:r>
            <w:r w:rsidR="00B1357F" w:rsidRPr="000501B7">
              <w:rPr>
                <w:b/>
                <w:color w:val="000000"/>
                <w:sz w:val="28"/>
                <w:szCs w:val="28"/>
              </w:rPr>
              <w:t>лист-</w:t>
            </w:r>
            <w:r w:rsidRPr="000501B7">
              <w:rPr>
                <w:b/>
                <w:color w:val="000000"/>
                <w:sz w:val="28"/>
                <w:szCs w:val="28"/>
              </w:rPr>
              <w:t xml:space="preserve">погодження </w:t>
            </w:r>
            <w:r w:rsidR="0062671C" w:rsidRPr="000501B7">
              <w:rPr>
                <w:b/>
                <w:color w:val="000000"/>
                <w:sz w:val="28"/>
                <w:szCs w:val="28"/>
              </w:rPr>
              <w:t>виконавчого органу</w:t>
            </w:r>
            <w:r w:rsidR="007765BE" w:rsidRPr="000501B7">
              <w:rPr>
                <w:b/>
                <w:color w:val="000000"/>
                <w:sz w:val="28"/>
                <w:szCs w:val="28"/>
              </w:rPr>
              <w:t xml:space="preserve"> </w:t>
            </w:r>
            <w:r w:rsidR="003D1B19" w:rsidRPr="000501B7">
              <w:rPr>
                <w:b/>
                <w:color w:val="000000"/>
                <w:sz w:val="28"/>
                <w:szCs w:val="28"/>
              </w:rPr>
              <w:t xml:space="preserve">відповідної </w:t>
            </w:r>
            <w:r w:rsidR="0062671C" w:rsidRPr="000501B7">
              <w:rPr>
                <w:b/>
                <w:color w:val="000000"/>
                <w:sz w:val="28"/>
                <w:szCs w:val="28"/>
              </w:rPr>
              <w:t>сільської, селищної, міської</w:t>
            </w:r>
            <w:r w:rsidR="007765BE" w:rsidRPr="000501B7">
              <w:rPr>
                <w:b/>
                <w:color w:val="000000"/>
                <w:sz w:val="28"/>
                <w:szCs w:val="28"/>
              </w:rPr>
              <w:t xml:space="preserve"> рад</w:t>
            </w:r>
            <w:r w:rsidR="0062671C" w:rsidRPr="000501B7">
              <w:rPr>
                <w:b/>
                <w:color w:val="000000"/>
                <w:sz w:val="28"/>
                <w:szCs w:val="28"/>
              </w:rPr>
              <w:t>и</w:t>
            </w:r>
            <w:r w:rsidR="007765BE" w:rsidRPr="000501B7">
              <w:rPr>
                <w:b/>
                <w:color w:val="000000"/>
                <w:sz w:val="28"/>
                <w:szCs w:val="28"/>
              </w:rPr>
              <w:t xml:space="preserve"> </w:t>
            </w:r>
            <w:r w:rsidR="0062671C" w:rsidRPr="000501B7">
              <w:rPr>
                <w:b/>
                <w:color w:val="000000"/>
                <w:sz w:val="28"/>
                <w:szCs w:val="28"/>
              </w:rPr>
              <w:t>за адресою місця торгівлі</w:t>
            </w:r>
            <w:r w:rsidR="00B1357F" w:rsidRPr="000501B7">
              <w:rPr>
                <w:b/>
                <w:color w:val="000000"/>
                <w:sz w:val="28"/>
                <w:szCs w:val="28"/>
              </w:rPr>
              <w:t>,</w:t>
            </w:r>
            <w:r w:rsidR="0062671C" w:rsidRPr="000501B7">
              <w:rPr>
                <w:b/>
                <w:color w:val="000000"/>
                <w:sz w:val="28"/>
                <w:szCs w:val="28"/>
              </w:rPr>
              <w:t xml:space="preserve"> зазначеному в такій заяві. Такий лист-погодження повинен містити</w:t>
            </w:r>
            <w:r w:rsidRPr="000501B7">
              <w:rPr>
                <w:b/>
                <w:color w:val="000000"/>
                <w:sz w:val="28"/>
                <w:szCs w:val="28"/>
              </w:rPr>
              <w:t xml:space="preserve"> </w:t>
            </w:r>
            <w:r w:rsidR="0062671C" w:rsidRPr="000501B7">
              <w:rPr>
                <w:b/>
                <w:color w:val="000000"/>
                <w:sz w:val="28"/>
                <w:szCs w:val="28"/>
              </w:rPr>
              <w:t>адресу</w:t>
            </w:r>
            <w:r w:rsidR="00171ADB" w:rsidRPr="000501B7">
              <w:rPr>
                <w:b/>
                <w:color w:val="000000"/>
                <w:sz w:val="28"/>
                <w:szCs w:val="28"/>
              </w:rPr>
              <w:t xml:space="preserve"> місця</w:t>
            </w:r>
            <w:r w:rsidR="0062671C" w:rsidRPr="000501B7">
              <w:rPr>
                <w:b/>
                <w:color w:val="000000"/>
                <w:sz w:val="28"/>
                <w:szCs w:val="28"/>
              </w:rPr>
              <w:t xml:space="preserve"> (місць)</w:t>
            </w:r>
            <w:r w:rsidR="00171ADB" w:rsidRPr="000501B7">
              <w:rPr>
                <w:b/>
                <w:color w:val="000000"/>
                <w:sz w:val="28"/>
                <w:szCs w:val="28"/>
              </w:rPr>
              <w:t xml:space="preserve"> </w:t>
            </w:r>
            <w:r w:rsidR="0062671C" w:rsidRPr="000501B7">
              <w:rPr>
                <w:b/>
                <w:color w:val="000000"/>
                <w:sz w:val="28"/>
                <w:szCs w:val="28"/>
              </w:rPr>
              <w:t xml:space="preserve">торгівлі, зазначеного (зазначених) в заяві про видачу ліцензії, </w:t>
            </w:r>
            <w:r w:rsidR="00171ADB" w:rsidRPr="000501B7">
              <w:rPr>
                <w:b/>
                <w:color w:val="000000"/>
                <w:sz w:val="28"/>
                <w:szCs w:val="28"/>
              </w:rPr>
              <w:t xml:space="preserve">та </w:t>
            </w:r>
            <w:r w:rsidR="003D1B19" w:rsidRPr="000501B7">
              <w:rPr>
                <w:b/>
                <w:color w:val="000000"/>
                <w:sz w:val="28"/>
                <w:szCs w:val="28"/>
              </w:rPr>
              <w:t xml:space="preserve">дозволені </w:t>
            </w:r>
            <w:r w:rsidR="00171ADB" w:rsidRPr="000501B7">
              <w:rPr>
                <w:b/>
                <w:color w:val="000000"/>
                <w:sz w:val="28"/>
                <w:szCs w:val="28"/>
              </w:rPr>
              <w:t>час</w:t>
            </w:r>
            <w:r w:rsidR="003D1B19" w:rsidRPr="000501B7">
              <w:rPr>
                <w:b/>
                <w:color w:val="000000"/>
                <w:sz w:val="28"/>
                <w:szCs w:val="28"/>
              </w:rPr>
              <w:t>и</w:t>
            </w:r>
            <w:r w:rsidR="00171ADB" w:rsidRPr="000501B7">
              <w:rPr>
                <w:b/>
                <w:color w:val="000000"/>
                <w:sz w:val="28"/>
                <w:szCs w:val="28"/>
              </w:rPr>
              <w:t xml:space="preserve"> доби</w:t>
            </w:r>
            <w:r w:rsidRPr="000501B7">
              <w:rPr>
                <w:b/>
                <w:color w:val="000000"/>
                <w:sz w:val="28"/>
                <w:szCs w:val="28"/>
              </w:rPr>
              <w:t xml:space="preserve"> </w:t>
            </w:r>
            <w:r w:rsidR="00171ADB" w:rsidRPr="000501B7">
              <w:rPr>
                <w:b/>
                <w:color w:val="000000"/>
                <w:sz w:val="28"/>
                <w:szCs w:val="28"/>
              </w:rPr>
              <w:t>продажу</w:t>
            </w:r>
            <w:r w:rsidR="0062671C" w:rsidRPr="000501B7">
              <w:rPr>
                <w:b/>
                <w:color w:val="000000"/>
                <w:sz w:val="28"/>
                <w:szCs w:val="28"/>
              </w:rPr>
              <w:t xml:space="preserve"> </w:t>
            </w:r>
            <w:r w:rsidR="003D1B19" w:rsidRPr="000501B7">
              <w:rPr>
                <w:b/>
                <w:color w:val="000000"/>
                <w:sz w:val="28"/>
                <w:szCs w:val="28"/>
              </w:rPr>
              <w:t>алкогольних напоїв, тютюнових виробів, рідин, що використовуються в електронних сигаретах</w:t>
            </w:r>
            <w:r w:rsidRPr="000501B7">
              <w:rPr>
                <w:b/>
                <w:color w:val="000000"/>
                <w:sz w:val="28"/>
                <w:szCs w:val="28"/>
              </w:rPr>
              <w:t>.</w:t>
            </w:r>
          </w:p>
          <w:p w14:paraId="0AC374C2" w14:textId="2AD7C22C" w:rsidR="00725680" w:rsidRPr="000501B7" w:rsidRDefault="00725680" w:rsidP="00725680">
            <w:pPr>
              <w:widowControl w:val="0"/>
              <w:ind w:firstLine="447"/>
              <w:jc w:val="both"/>
              <w:rPr>
                <w:b/>
                <w:color w:val="000000"/>
                <w:sz w:val="28"/>
                <w:szCs w:val="28"/>
              </w:rPr>
            </w:pPr>
          </w:p>
        </w:tc>
      </w:tr>
      <w:tr w:rsidR="00725680" w:rsidRPr="000501B7" w14:paraId="02DD55FB" w14:textId="77777777" w:rsidTr="00B13F68">
        <w:tc>
          <w:tcPr>
            <w:tcW w:w="7394" w:type="dxa"/>
          </w:tcPr>
          <w:p w14:paraId="76858087" w14:textId="65108E56" w:rsidR="00725680" w:rsidRPr="000501B7" w:rsidRDefault="00725680" w:rsidP="00725680">
            <w:pPr>
              <w:widowControl w:val="0"/>
              <w:ind w:right="3"/>
              <w:jc w:val="both"/>
              <w:rPr>
                <w:b/>
                <w:color w:val="000000"/>
                <w:sz w:val="28"/>
                <w:szCs w:val="28"/>
              </w:rPr>
            </w:pPr>
            <w:r w:rsidRPr="000501B7">
              <w:rPr>
                <w:b/>
                <w:color w:val="000000"/>
                <w:sz w:val="28"/>
                <w:szCs w:val="28"/>
              </w:rPr>
              <w:t>Відсутня</w:t>
            </w:r>
          </w:p>
        </w:tc>
        <w:tc>
          <w:tcPr>
            <w:tcW w:w="7394" w:type="dxa"/>
          </w:tcPr>
          <w:p w14:paraId="70FE1AC1" w14:textId="4F938460" w:rsidR="003D1B19" w:rsidRPr="000501B7" w:rsidRDefault="003D1B19" w:rsidP="00725680">
            <w:pPr>
              <w:widowControl w:val="0"/>
              <w:ind w:firstLine="447"/>
              <w:jc w:val="both"/>
              <w:rPr>
                <w:b/>
                <w:color w:val="000000"/>
                <w:sz w:val="28"/>
                <w:szCs w:val="28"/>
              </w:rPr>
            </w:pPr>
            <w:r w:rsidRPr="000501B7">
              <w:rPr>
                <w:b/>
                <w:color w:val="000000"/>
                <w:sz w:val="28"/>
                <w:szCs w:val="28"/>
              </w:rPr>
              <w:t>Погодження</w:t>
            </w:r>
            <w:r w:rsidR="004C3F18" w:rsidRPr="000501B7">
              <w:rPr>
                <w:b/>
                <w:color w:val="000000"/>
                <w:sz w:val="28"/>
                <w:szCs w:val="28"/>
              </w:rPr>
              <w:t xml:space="preserve"> щодо отримання ліцензії заявником</w:t>
            </w:r>
            <w:r w:rsidRPr="000501B7">
              <w:rPr>
                <w:b/>
                <w:color w:val="000000"/>
                <w:sz w:val="28"/>
                <w:szCs w:val="28"/>
              </w:rPr>
              <w:t>, надання або відмова у наданні листа-погодження виконавчим органом відповідної сільської, селищної, міської ради</w:t>
            </w:r>
            <w:r w:rsidR="0017512E" w:rsidRPr="000501B7">
              <w:rPr>
                <w:b/>
                <w:color w:val="000000"/>
                <w:sz w:val="28"/>
                <w:szCs w:val="28"/>
              </w:rPr>
              <w:t>, облік листів-погоджень здійснюється у порядку, затвердженому Кабінетом Міністрів України.</w:t>
            </w:r>
          </w:p>
          <w:p w14:paraId="7AA0B8C5" w14:textId="552E0FC6" w:rsidR="00725680" w:rsidRPr="000501B7" w:rsidRDefault="00725680" w:rsidP="00257F2A">
            <w:pPr>
              <w:widowControl w:val="0"/>
              <w:ind w:firstLine="447"/>
              <w:jc w:val="both"/>
              <w:rPr>
                <w:b/>
                <w:color w:val="000000"/>
                <w:sz w:val="28"/>
                <w:szCs w:val="28"/>
              </w:rPr>
            </w:pPr>
          </w:p>
        </w:tc>
      </w:tr>
      <w:tr w:rsidR="00257F2A" w:rsidRPr="000501B7" w14:paraId="0DB5C5C3" w14:textId="77777777" w:rsidTr="00B13F68">
        <w:tc>
          <w:tcPr>
            <w:tcW w:w="7394" w:type="dxa"/>
          </w:tcPr>
          <w:p w14:paraId="2681BCF2" w14:textId="77777777" w:rsidR="00257F2A" w:rsidRPr="000501B7" w:rsidRDefault="00257F2A" w:rsidP="00725680">
            <w:pPr>
              <w:widowControl w:val="0"/>
              <w:ind w:right="3"/>
              <w:jc w:val="both"/>
              <w:rPr>
                <w:b/>
                <w:color w:val="000000"/>
                <w:sz w:val="28"/>
                <w:szCs w:val="28"/>
              </w:rPr>
            </w:pPr>
          </w:p>
        </w:tc>
        <w:tc>
          <w:tcPr>
            <w:tcW w:w="7394" w:type="dxa"/>
          </w:tcPr>
          <w:p w14:paraId="15F54881" w14:textId="29D5840A" w:rsidR="00257F2A" w:rsidRPr="000501B7" w:rsidRDefault="00257F2A" w:rsidP="00257F2A">
            <w:pPr>
              <w:widowControl w:val="0"/>
              <w:ind w:firstLine="447"/>
              <w:jc w:val="both"/>
              <w:rPr>
                <w:color w:val="000000"/>
                <w:sz w:val="28"/>
                <w:szCs w:val="28"/>
              </w:rPr>
            </w:pPr>
            <w:r w:rsidRPr="000501B7">
              <w:rPr>
                <w:b/>
                <w:color w:val="000000"/>
                <w:sz w:val="28"/>
                <w:szCs w:val="28"/>
              </w:rPr>
              <w:t>Надання листа-погодження виконавчим органом відповідної сільської, селищної, міської ради є без</w:t>
            </w:r>
            <w:r w:rsidR="009D3091" w:rsidRPr="000501B7">
              <w:rPr>
                <w:b/>
                <w:color w:val="000000"/>
                <w:sz w:val="28"/>
                <w:szCs w:val="28"/>
              </w:rPr>
              <w:t>опла</w:t>
            </w:r>
            <w:r w:rsidR="008E3E77" w:rsidRPr="000501B7">
              <w:rPr>
                <w:b/>
                <w:color w:val="000000"/>
                <w:sz w:val="28"/>
                <w:szCs w:val="28"/>
              </w:rPr>
              <w:t>тним</w:t>
            </w:r>
            <w:r w:rsidRPr="000501B7">
              <w:rPr>
                <w:b/>
                <w:color w:val="000000"/>
                <w:sz w:val="28"/>
                <w:szCs w:val="28"/>
              </w:rPr>
              <w:t xml:space="preserve"> для суб’єкта господарювання</w:t>
            </w:r>
            <w:r w:rsidRPr="000501B7">
              <w:rPr>
                <w:b/>
                <w:bCs/>
                <w:sz w:val="28"/>
                <w:szCs w:val="28"/>
                <w:bdr w:val="none" w:sz="0" w:space="0" w:color="auto" w:frame="1"/>
                <w:lang w:eastAsia="ru-RU"/>
              </w:rPr>
              <w:t xml:space="preserve"> </w:t>
            </w:r>
            <w:r w:rsidRPr="000501B7">
              <w:rPr>
                <w:b/>
                <w:sz w:val="28"/>
                <w:szCs w:val="28"/>
                <w:shd w:val="clear" w:color="auto" w:fill="FFFFFF"/>
                <w:lang w:eastAsia="ru-RU"/>
              </w:rPr>
              <w:t xml:space="preserve">(у тому числі іноземного суб’єкта господарювання, який діє через своє </w:t>
            </w:r>
            <w:r w:rsidRPr="000501B7">
              <w:rPr>
                <w:b/>
                <w:sz w:val="28"/>
                <w:szCs w:val="28"/>
                <w:shd w:val="clear" w:color="auto" w:fill="FFFFFF"/>
                <w:lang w:eastAsia="ru-RU"/>
              </w:rPr>
              <w:lastRenderedPageBreak/>
              <w:t>зареєстроване постійне представництво).</w:t>
            </w:r>
          </w:p>
          <w:p w14:paraId="5A3A6807" w14:textId="77777777" w:rsidR="00257F2A" w:rsidRPr="000501B7" w:rsidRDefault="00257F2A" w:rsidP="00725680">
            <w:pPr>
              <w:widowControl w:val="0"/>
              <w:ind w:firstLine="447"/>
              <w:jc w:val="both"/>
              <w:rPr>
                <w:b/>
                <w:color w:val="000000"/>
                <w:sz w:val="28"/>
                <w:szCs w:val="28"/>
              </w:rPr>
            </w:pPr>
          </w:p>
        </w:tc>
      </w:tr>
      <w:tr w:rsidR="00725680" w:rsidRPr="000501B7" w14:paraId="7266E43F" w14:textId="77777777" w:rsidTr="00B13F68">
        <w:tc>
          <w:tcPr>
            <w:tcW w:w="7394" w:type="dxa"/>
          </w:tcPr>
          <w:p w14:paraId="00382DC4" w14:textId="6875187A" w:rsidR="00725680" w:rsidRPr="000501B7" w:rsidRDefault="00725680" w:rsidP="00725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Cs/>
                <w:sz w:val="28"/>
                <w:szCs w:val="28"/>
                <w:bdr w:val="none" w:sz="0" w:space="0" w:color="auto" w:frame="1"/>
                <w:lang w:eastAsia="ru-RU"/>
              </w:rPr>
            </w:pPr>
            <w:r w:rsidRPr="000501B7">
              <w:rPr>
                <w:b/>
                <w:color w:val="000000"/>
                <w:sz w:val="28"/>
                <w:szCs w:val="28"/>
              </w:rPr>
              <w:lastRenderedPageBreak/>
              <w:t>Відсутня</w:t>
            </w:r>
          </w:p>
        </w:tc>
        <w:tc>
          <w:tcPr>
            <w:tcW w:w="7394" w:type="dxa"/>
          </w:tcPr>
          <w:p w14:paraId="064078CC" w14:textId="20F0B33F" w:rsidR="00725680" w:rsidRPr="000501B7" w:rsidRDefault="00725680" w:rsidP="00725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9"/>
              <w:jc w:val="both"/>
              <w:textAlignment w:val="baseline"/>
              <w:rPr>
                <w:b/>
                <w:bCs/>
                <w:sz w:val="28"/>
                <w:szCs w:val="28"/>
                <w:bdr w:val="none" w:sz="0" w:space="0" w:color="auto" w:frame="1"/>
                <w:lang w:eastAsia="ru-RU"/>
              </w:rPr>
            </w:pPr>
            <w:r w:rsidRPr="000501B7">
              <w:rPr>
                <w:b/>
                <w:color w:val="000000"/>
                <w:sz w:val="28"/>
                <w:szCs w:val="28"/>
              </w:rPr>
              <w:t xml:space="preserve">Відсутність такого </w:t>
            </w:r>
            <w:r w:rsidR="0017512E" w:rsidRPr="000501B7">
              <w:rPr>
                <w:b/>
                <w:color w:val="000000"/>
                <w:sz w:val="28"/>
                <w:szCs w:val="28"/>
              </w:rPr>
              <w:t>листа-</w:t>
            </w:r>
            <w:r w:rsidRPr="000501B7">
              <w:rPr>
                <w:b/>
                <w:color w:val="000000"/>
                <w:sz w:val="28"/>
                <w:szCs w:val="28"/>
              </w:rPr>
              <w:t>погодження є підставою для відмови у видачі ліцензії</w:t>
            </w:r>
            <w:r w:rsidR="0017512E" w:rsidRPr="000501B7">
              <w:rPr>
                <w:b/>
                <w:color w:val="000000"/>
                <w:sz w:val="28"/>
                <w:szCs w:val="28"/>
              </w:rPr>
              <w:t xml:space="preserve"> на роздрібну торгівлю алкогольними напоями, тютюновими виробами, рідинами, що використовуються в електронних сигаретах</w:t>
            </w:r>
            <w:r w:rsidRPr="000501B7">
              <w:rPr>
                <w:b/>
                <w:color w:val="000000"/>
                <w:sz w:val="28"/>
                <w:szCs w:val="28"/>
              </w:rPr>
              <w:t>.</w:t>
            </w:r>
          </w:p>
        </w:tc>
      </w:tr>
      <w:bookmarkEnd w:id="3"/>
      <w:tr w:rsidR="00725680" w:rsidRPr="000501B7" w14:paraId="46BCF88C" w14:textId="77777777" w:rsidTr="00B13F68">
        <w:tc>
          <w:tcPr>
            <w:tcW w:w="7394" w:type="dxa"/>
          </w:tcPr>
          <w:p w14:paraId="704F330A" w14:textId="661D6989" w:rsidR="00725680" w:rsidRPr="000501B7" w:rsidRDefault="005C2EA5" w:rsidP="005C2E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9"/>
              <w:jc w:val="both"/>
              <w:textAlignment w:val="baseline"/>
              <w:rPr>
                <w:sz w:val="28"/>
                <w:szCs w:val="28"/>
                <w:shd w:val="clear" w:color="auto" w:fill="FFFFFF"/>
                <w:lang w:eastAsia="ru-RU"/>
              </w:rPr>
            </w:pPr>
            <w:r w:rsidRPr="000501B7">
              <w:rPr>
                <w:sz w:val="28"/>
                <w:szCs w:val="28"/>
                <w:shd w:val="clear" w:color="auto" w:fill="FFFFFF"/>
                <w:lang w:eastAsia="ru-RU"/>
              </w:rPr>
              <w:t>Ліцензія анулюється шляхом прийняття органом, який видав ліцензію, відповідного письмового розпорядження на підставі:</w:t>
            </w:r>
          </w:p>
        </w:tc>
        <w:tc>
          <w:tcPr>
            <w:tcW w:w="7394" w:type="dxa"/>
          </w:tcPr>
          <w:p w14:paraId="2965F035" w14:textId="3EC34FD0" w:rsidR="00725680" w:rsidRPr="000501B7" w:rsidRDefault="005C2EA5" w:rsidP="005C2E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9"/>
              <w:jc w:val="both"/>
              <w:textAlignment w:val="baseline"/>
              <w:rPr>
                <w:sz w:val="28"/>
                <w:szCs w:val="28"/>
                <w:shd w:val="clear" w:color="auto" w:fill="FFFFFF"/>
                <w:lang w:eastAsia="ru-RU"/>
              </w:rPr>
            </w:pPr>
            <w:r w:rsidRPr="000501B7">
              <w:rPr>
                <w:sz w:val="28"/>
                <w:szCs w:val="28"/>
                <w:shd w:val="clear" w:color="auto" w:fill="FFFFFF"/>
                <w:lang w:eastAsia="ru-RU"/>
              </w:rPr>
              <w:t>Ліцензія анулюється шляхом прийняття органом, який видав ліцензію, відповідного письмового розпорядження на підставі:</w:t>
            </w:r>
          </w:p>
        </w:tc>
      </w:tr>
      <w:tr w:rsidR="00725680" w:rsidRPr="000501B7" w14:paraId="5B0193CD" w14:textId="77777777" w:rsidTr="00B13F68">
        <w:tc>
          <w:tcPr>
            <w:tcW w:w="7394" w:type="dxa"/>
          </w:tcPr>
          <w:p w14:paraId="0F245A70" w14:textId="2E40644D" w:rsidR="00725680" w:rsidRPr="000501B7" w:rsidRDefault="005C2EA5" w:rsidP="00725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sz w:val="28"/>
                <w:szCs w:val="28"/>
                <w:shd w:val="clear" w:color="auto" w:fill="FFFFFF"/>
                <w:lang w:eastAsia="ru-RU"/>
              </w:rPr>
            </w:pPr>
            <w:r w:rsidRPr="000501B7">
              <w:rPr>
                <w:b/>
                <w:bCs/>
                <w:sz w:val="28"/>
                <w:szCs w:val="28"/>
                <w:shd w:val="clear" w:color="auto" w:fill="FFFFFF"/>
                <w:lang w:eastAsia="ru-RU"/>
              </w:rPr>
              <w:t>…</w:t>
            </w:r>
          </w:p>
        </w:tc>
        <w:tc>
          <w:tcPr>
            <w:tcW w:w="7394" w:type="dxa"/>
          </w:tcPr>
          <w:p w14:paraId="47712768" w14:textId="73721A4E" w:rsidR="00725680" w:rsidRPr="000501B7" w:rsidRDefault="005C2EA5" w:rsidP="00725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sz w:val="28"/>
                <w:szCs w:val="28"/>
                <w:shd w:val="clear" w:color="auto" w:fill="FFFFFF"/>
                <w:lang w:eastAsia="ru-RU"/>
              </w:rPr>
            </w:pPr>
            <w:r w:rsidRPr="000501B7">
              <w:rPr>
                <w:b/>
                <w:bCs/>
                <w:sz w:val="28"/>
                <w:szCs w:val="28"/>
                <w:shd w:val="clear" w:color="auto" w:fill="FFFFFF"/>
                <w:lang w:eastAsia="ru-RU"/>
              </w:rPr>
              <w:t>…</w:t>
            </w:r>
          </w:p>
        </w:tc>
      </w:tr>
      <w:tr w:rsidR="00725680" w:rsidRPr="000501B7" w14:paraId="16EDF642" w14:textId="77777777" w:rsidTr="00B13F68">
        <w:tc>
          <w:tcPr>
            <w:tcW w:w="7394" w:type="dxa"/>
          </w:tcPr>
          <w:p w14:paraId="66900333" w14:textId="5142F327" w:rsidR="00725680" w:rsidRPr="000501B7" w:rsidRDefault="005C2EA5" w:rsidP="00725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sz w:val="28"/>
                <w:szCs w:val="28"/>
                <w:shd w:val="clear" w:color="auto" w:fill="FFFFFF"/>
                <w:lang w:eastAsia="ru-RU"/>
              </w:rPr>
            </w:pPr>
            <w:r w:rsidRPr="000501B7">
              <w:rPr>
                <w:b/>
                <w:bCs/>
                <w:sz w:val="28"/>
                <w:szCs w:val="28"/>
                <w:shd w:val="clear" w:color="auto" w:fill="FFFFFF"/>
                <w:lang w:eastAsia="ru-RU"/>
              </w:rPr>
              <w:t>Відсутня</w:t>
            </w:r>
          </w:p>
        </w:tc>
        <w:tc>
          <w:tcPr>
            <w:tcW w:w="7394" w:type="dxa"/>
          </w:tcPr>
          <w:p w14:paraId="411D9A5A" w14:textId="48F71C36" w:rsidR="005C2EA5" w:rsidRPr="000501B7" w:rsidRDefault="005C2EA5" w:rsidP="005C2E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9"/>
              <w:jc w:val="both"/>
              <w:textAlignment w:val="baseline"/>
              <w:rPr>
                <w:b/>
                <w:color w:val="000000"/>
                <w:sz w:val="28"/>
                <w:szCs w:val="28"/>
              </w:rPr>
            </w:pPr>
            <w:bookmarkStart w:id="4" w:name="_Hlk70693757"/>
            <w:r w:rsidRPr="000501B7">
              <w:rPr>
                <w:b/>
                <w:color w:val="000000"/>
                <w:sz w:val="28"/>
                <w:szCs w:val="28"/>
              </w:rPr>
              <w:t>заяви виконавчого органу сільської, селищної, міської ради</w:t>
            </w:r>
            <w:r w:rsidR="00B9069D" w:rsidRPr="000501B7">
              <w:rPr>
                <w:b/>
                <w:color w:val="000000"/>
                <w:sz w:val="28"/>
                <w:szCs w:val="28"/>
              </w:rPr>
              <w:t xml:space="preserve"> відповідної адміністративно-територіальної одиниці</w:t>
            </w:r>
            <w:r w:rsidRPr="000501B7">
              <w:rPr>
                <w:b/>
                <w:color w:val="000000"/>
                <w:sz w:val="28"/>
                <w:szCs w:val="28"/>
              </w:rPr>
              <w:t>, на території яко</w:t>
            </w:r>
            <w:r w:rsidR="00B9069D" w:rsidRPr="000501B7">
              <w:rPr>
                <w:b/>
                <w:color w:val="000000"/>
                <w:sz w:val="28"/>
                <w:szCs w:val="28"/>
              </w:rPr>
              <w:t>ї</w:t>
            </w:r>
            <w:r w:rsidRPr="000501B7">
              <w:rPr>
                <w:b/>
                <w:color w:val="000000"/>
                <w:sz w:val="28"/>
                <w:szCs w:val="28"/>
              </w:rPr>
              <w:t xml:space="preserve"> здійснює діяльність суб’єкт господарювання, у разі порушення </w:t>
            </w:r>
            <w:r w:rsidR="00B9069D" w:rsidRPr="000501B7">
              <w:rPr>
                <w:b/>
                <w:color w:val="000000"/>
                <w:sz w:val="28"/>
                <w:szCs w:val="28"/>
              </w:rPr>
              <w:t>ним</w:t>
            </w:r>
            <w:r w:rsidRPr="000501B7">
              <w:rPr>
                <w:b/>
                <w:color w:val="000000"/>
                <w:sz w:val="28"/>
                <w:szCs w:val="28"/>
              </w:rPr>
              <w:t xml:space="preserve"> вимог статті 15-3 цього Закону щодо продажу алкогольних напоїв, </w:t>
            </w:r>
            <w:r w:rsidR="00B9069D" w:rsidRPr="000501B7">
              <w:rPr>
                <w:b/>
                <w:color w:val="000000"/>
                <w:sz w:val="28"/>
                <w:szCs w:val="28"/>
              </w:rPr>
              <w:t xml:space="preserve">тютюнових виробів, рідин, що використовуються в електронних сигаретах </w:t>
            </w:r>
            <w:r w:rsidRPr="000501B7">
              <w:rPr>
                <w:b/>
                <w:color w:val="000000"/>
                <w:sz w:val="28"/>
                <w:szCs w:val="28"/>
              </w:rPr>
              <w:t>особам, які не досягли 18 років та/або у не визначених для цього місцях та/або з порушенням погоджен</w:t>
            </w:r>
            <w:r w:rsidR="00B9069D" w:rsidRPr="000501B7">
              <w:rPr>
                <w:b/>
                <w:color w:val="000000"/>
                <w:sz w:val="28"/>
                <w:szCs w:val="28"/>
              </w:rPr>
              <w:t>их</w:t>
            </w:r>
            <w:r w:rsidRPr="000501B7">
              <w:rPr>
                <w:b/>
                <w:color w:val="000000"/>
                <w:sz w:val="28"/>
                <w:szCs w:val="28"/>
              </w:rPr>
              <w:t xml:space="preserve"> відповідно до цього Закону час</w:t>
            </w:r>
            <w:r w:rsidR="00B9069D" w:rsidRPr="000501B7">
              <w:rPr>
                <w:b/>
                <w:color w:val="000000"/>
                <w:sz w:val="28"/>
                <w:szCs w:val="28"/>
              </w:rPr>
              <w:t>ів</w:t>
            </w:r>
            <w:r w:rsidRPr="000501B7">
              <w:rPr>
                <w:b/>
                <w:color w:val="000000"/>
                <w:sz w:val="28"/>
                <w:szCs w:val="28"/>
              </w:rPr>
              <w:t xml:space="preserve"> </w:t>
            </w:r>
            <w:r w:rsidR="00230453" w:rsidRPr="000501B7">
              <w:rPr>
                <w:b/>
                <w:color w:val="000000"/>
                <w:sz w:val="28"/>
                <w:szCs w:val="28"/>
              </w:rPr>
              <w:t>продажу</w:t>
            </w:r>
            <w:r w:rsidRPr="000501B7">
              <w:rPr>
                <w:b/>
                <w:color w:val="000000"/>
                <w:sz w:val="28"/>
                <w:szCs w:val="28"/>
              </w:rPr>
              <w:t>. Такі порушення повинні бути підтверджені постановою про притягнення до адміністративної відповідальності.</w:t>
            </w:r>
          </w:p>
          <w:bookmarkEnd w:id="4"/>
          <w:p w14:paraId="3DD7B2AA" w14:textId="40CA8E1E" w:rsidR="00725680" w:rsidRPr="000501B7" w:rsidRDefault="00725680" w:rsidP="00725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sz w:val="28"/>
                <w:szCs w:val="28"/>
                <w:shd w:val="clear" w:color="auto" w:fill="FFFFFF"/>
                <w:lang w:eastAsia="ru-RU"/>
              </w:rPr>
            </w:pPr>
          </w:p>
        </w:tc>
      </w:tr>
      <w:tr w:rsidR="00725680" w:rsidRPr="000501B7" w14:paraId="1C2876FE" w14:textId="77777777" w:rsidTr="00B13F68">
        <w:tc>
          <w:tcPr>
            <w:tcW w:w="7394" w:type="dxa"/>
          </w:tcPr>
          <w:p w14:paraId="5DC47AD1" w14:textId="1D64D8E4" w:rsidR="00725680" w:rsidRPr="000501B7" w:rsidRDefault="00796741" w:rsidP="007967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9"/>
              <w:jc w:val="both"/>
              <w:textAlignment w:val="baseline"/>
              <w:rPr>
                <w:bCs/>
                <w:sz w:val="28"/>
                <w:szCs w:val="28"/>
                <w:bdr w:val="none" w:sz="0" w:space="0" w:color="auto" w:frame="1"/>
                <w:lang w:eastAsia="ru-RU"/>
              </w:rPr>
            </w:pPr>
            <w:r w:rsidRPr="000501B7">
              <w:rPr>
                <w:sz w:val="28"/>
                <w:szCs w:val="28"/>
                <w:shd w:val="clear" w:color="auto" w:fill="FFFFFF"/>
                <w:lang w:eastAsia="ru-RU"/>
              </w:rPr>
              <w:t xml:space="preserve">Ліцензія анулюється та вважається недійсною з моменту одержання суб'єктом господарювання (у тому числі іноземним суб’єктом господарювання, який діє через </w:t>
            </w:r>
            <w:r w:rsidRPr="000501B7">
              <w:rPr>
                <w:sz w:val="28"/>
                <w:szCs w:val="28"/>
                <w:shd w:val="clear" w:color="auto" w:fill="FFFFFF"/>
                <w:lang w:eastAsia="ru-RU"/>
              </w:rPr>
              <w:lastRenderedPageBreak/>
              <w:t>своє зареєстроване постійне представництво) письмового розпорядження про її анулювання.</w:t>
            </w:r>
          </w:p>
        </w:tc>
        <w:tc>
          <w:tcPr>
            <w:tcW w:w="7394" w:type="dxa"/>
          </w:tcPr>
          <w:p w14:paraId="1E14B9CC" w14:textId="1406F5E3" w:rsidR="00725680" w:rsidRPr="000501B7" w:rsidRDefault="00E57B55" w:rsidP="009D49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4"/>
              <w:jc w:val="both"/>
              <w:textAlignment w:val="baseline"/>
              <w:rPr>
                <w:b/>
                <w:bCs/>
                <w:sz w:val="28"/>
                <w:szCs w:val="28"/>
                <w:bdr w:val="none" w:sz="0" w:space="0" w:color="auto" w:frame="1"/>
                <w:lang w:eastAsia="ru-RU"/>
              </w:rPr>
            </w:pPr>
            <w:bookmarkStart w:id="5" w:name="_Hlk70693960"/>
            <w:r w:rsidRPr="000501B7">
              <w:rPr>
                <w:b/>
                <w:bCs/>
                <w:sz w:val="28"/>
                <w:szCs w:val="28"/>
                <w:bdr w:val="none" w:sz="0" w:space="0" w:color="auto" w:frame="1"/>
                <w:lang w:eastAsia="ru-RU"/>
              </w:rPr>
              <w:lastRenderedPageBreak/>
              <w:t>Копія розпорядження про анулювання ліцензії</w:t>
            </w:r>
            <w:r w:rsidR="009D496C" w:rsidRPr="000501B7">
              <w:rPr>
                <w:b/>
                <w:bCs/>
                <w:sz w:val="28"/>
                <w:szCs w:val="28"/>
                <w:bdr w:val="none" w:sz="0" w:space="0" w:color="auto" w:frame="1"/>
                <w:lang w:eastAsia="ru-RU"/>
              </w:rPr>
              <w:t xml:space="preserve"> не пізніше наступного робочого дня</w:t>
            </w:r>
            <w:r w:rsidRPr="000501B7">
              <w:rPr>
                <w:b/>
                <w:bCs/>
                <w:sz w:val="28"/>
                <w:szCs w:val="28"/>
                <w:bdr w:val="none" w:sz="0" w:space="0" w:color="auto" w:frame="1"/>
                <w:lang w:eastAsia="ru-RU"/>
              </w:rPr>
              <w:t xml:space="preserve"> надсилається</w:t>
            </w:r>
            <w:r w:rsidR="009D496C" w:rsidRPr="000501B7">
              <w:rPr>
                <w:b/>
                <w:bCs/>
                <w:sz w:val="28"/>
                <w:szCs w:val="28"/>
                <w:bdr w:val="none" w:sz="0" w:space="0" w:color="auto" w:frame="1"/>
                <w:lang w:eastAsia="ru-RU"/>
              </w:rPr>
              <w:t xml:space="preserve"> органом, який видав ліцензію, на </w:t>
            </w:r>
            <w:r w:rsidR="009D496C" w:rsidRPr="000501B7">
              <w:rPr>
                <w:b/>
                <w:color w:val="000000"/>
                <w:sz w:val="28"/>
                <w:szCs w:val="28"/>
              </w:rPr>
              <w:t xml:space="preserve">поштову адресу та/або адресу </w:t>
            </w:r>
            <w:r w:rsidR="009D496C" w:rsidRPr="000501B7">
              <w:rPr>
                <w:b/>
                <w:color w:val="000000"/>
                <w:sz w:val="28"/>
                <w:szCs w:val="28"/>
              </w:rPr>
              <w:lastRenderedPageBreak/>
              <w:t>електронної пошти, вказану суб’єктом господарювання</w:t>
            </w:r>
            <w:r w:rsidR="009D496C" w:rsidRPr="000501B7">
              <w:rPr>
                <w:b/>
                <w:bCs/>
                <w:sz w:val="28"/>
                <w:szCs w:val="28"/>
                <w:bdr w:val="none" w:sz="0" w:space="0" w:color="auto" w:frame="1"/>
                <w:lang w:eastAsia="ru-RU"/>
              </w:rPr>
              <w:t xml:space="preserve"> </w:t>
            </w:r>
            <w:r w:rsidR="009D496C" w:rsidRPr="000501B7">
              <w:rPr>
                <w:b/>
                <w:sz w:val="28"/>
                <w:szCs w:val="28"/>
                <w:shd w:val="clear" w:color="auto" w:fill="FFFFFF"/>
                <w:lang w:eastAsia="ru-RU"/>
              </w:rPr>
              <w:t xml:space="preserve">(у тому числі іноземним суб’єктом господарювання, який діє через своє зареєстроване постійне представництво) у заяві про видачу ліцензії. </w:t>
            </w:r>
            <w:r w:rsidR="00796741" w:rsidRPr="000501B7">
              <w:rPr>
                <w:b/>
                <w:bCs/>
                <w:sz w:val="28"/>
                <w:szCs w:val="28"/>
                <w:bdr w:val="none" w:sz="0" w:space="0" w:color="auto" w:frame="1"/>
                <w:lang w:eastAsia="ru-RU"/>
              </w:rPr>
              <w:t xml:space="preserve">Ліцензія анулюється та вважається недійсною </w:t>
            </w:r>
            <w:r w:rsidRPr="000501B7">
              <w:rPr>
                <w:b/>
                <w:bCs/>
                <w:sz w:val="28"/>
                <w:szCs w:val="28"/>
                <w:bdr w:val="none" w:sz="0" w:space="0" w:color="auto" w:frame="1"/>
                <w:lang w:eastAsia="ru-RU"/>
              </w:rPr>
              <w:t xml:space="preserve">через 6 робочих днів після </w:t>
            </w:r>
            <w:r w:rsidR="009D496C" w:rsidRPr="000501B7">
              <w:rPr>
                <w:b/>
                <w:bCs/>
                <w:sz w:val="28"/>
                <w:szCs w:val="28"/>
                <w:bdr w:val="none" w:sz="0" w:space="0" w:color="auto" w:frame="1"/>
                <w:lang w:eastAsia="ru-RU"/>
              </w:rPr>
              <w:t xml:space="preserve">дати такого надсилання, про що розпорядження про анулювання ліцензії містить відповідне повідомлення. </w:t>
            </w:r>
            <w:bookmarkEnd w:id="5"/>
          </w:p>
        </w:tc>
      </w:tr>
      <w:tr w:rsidR="00725680" w:rsidRPr="000501B7" w14:paraId="04FB667D" w14:textId="77777777" w:rsidTr="00B13F68">
        <w:tc>
          <w:tcPr>
            <w:tcW w:w="7394" w:type="dxa"/>
          </w:tcPr>
          <w:p w14:paraId="564A5B72" w14:textId="54D54322" w:rsidR="00725680" w:rsidRPr="000501B7" w:rsidRDefault="00AC2726" w:rsidP="00725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shd w:val="clear" w:color="auto" w:fill="FFFFFF"/>
                <w:lang w:eastAsia="ru-RU"/>
              </w:rPr>
            </w:pPr>
            <w:r w:rsidRPr="000501B7">
              <w:rPr>
                <w:b/>
                <w:sz w:val="28"/>
                <w:szCs w:val="28"/>
                <w:shd w:val="clear" w:color="auto" w:fill="FFFFFF"/>
                <w:lang w:eastAsia="ru-RU"/>
              </w:rPr>
              <w:lastRenderedPageBreak/>
              <w:t>Стаття 15-3.</w:t>
            </w:r>
            <w:r w:rsidRPr="000501B7">
              <w:rPr>
                <w:sz w:val="28"/>
                <w:szCs w:val="28"/>
                <w:shd w:val="clear" w:color="auto" w:fill="FFFFFF"/>
                <w:lang w:eastAsia="ru-RU"/>
              </w:rPr>
              <w:t xml:space="preserve"> Обмеження щодо продажу пива (крім безалкогольного), алкогольних, слабоалкогольних напоїв, вин столових, тютюнових виробів, електронних сигарет, рідин, що використовуються в електронних сигаретах, пристроїв для споживання тютюнових виробів без їх згоряння</w:t>
            </w:r>
          </w:p>
        </w:tc>
        <w:tc>
          <w:tcPr>
            <w:tcW w:w="7394" w:type="dxa"/>
          </w:tcPr>
          <w:p w14:paraId="536C8371" w14:textId="06F61681" w:rsidR="00725680" w:rsidRPr="000501B7" w:rsidRDefault="00AC2726" w:rsidP="00725680">
            <w:pPr>
              <w:shd w:val="clear" w:color="auto" w:fill="FFFFFF"/>
              <w:spacing w:after="150"/>
              <w:ind w:firstLine="450"/>
              <w:jc w:val="both"/>
              <w:rPr>
                <w:sz w:val="28"/>
                <w:szCs w:val="28"/>
              </w:rPr>
            </w:pPr>
            <w:bookmarkStart w:id="6" w:name="_Hlk70694074"/>
            <w:r w:rsidRPr="000501B7">
              <w:rPr>
                <w:b/>
                <w:sz w:val="28"/>
                <w:szCs w:val="28"/>
              </w:rPr>
              <w:t>Стаття 15-3</w:t>
            </w:r>
            <w:bookmarkEnd w:id="6"/>
            <w:r w:rsidRPr="000501B7">
              <w:rPr>
                <w:b/>
                <w:sz w:val="28"/>
                <w:szCs w:val="28"/>
              </w:rPr>
              <w:t>.</w:t>
            </w:r>
            <w:r w:rsidRPr="000501B7">
              <w:rPr>
                <w:sz w:val="28"/>
                <w:szCs w:val="28"/>
              </w:rPr>
              <w:t xml:space="preserve"> Обмеження щодо продажу пива (крім безалкогольного), алкогольних, слабоалкогольних напоїв, вин столових, тютюнових виробів, електронних сигарет, рідин, що використовуються в електронних сигаретах, пристроїв для споживання тютюнових виробів без їх згоряння</w:t>
            </w:r>
          </w:p>
        </w:tc>
      </w:tr>
      <w:tr w:rsidR="00AC2726" w:rsidRPr="000501B7" w14:paraId="77268CE6" w14:textId="77777777" w:rsidTr="00B13F68">
        <w:tc>
          <w:tcPr>
            <w:tcW w:w="7394" w:type="dxa"/>
          </w:tcPr>
          <w:p w14:paraId="6E54F3DD" w14:textId="7C2DF27D" w:rsidR="00AC2726" w:rsidRPr="000501B7" w:rsidRDefault="00AC2726" w:rsidP="00725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sz w:val="28"/>
                <w:szCs w:val="28"/>
                <w:shd w:val="clear" w:color="auto" w:fill="FFFFFF"/>
                <w:lang w:eastAsia="ru-RU"/>
              </w:rPr>
            </w:pPr>
            <w:r w:rsidRPr="000501B7">
              <w:rPr>
                <w:b/>
                <w:sz w:val="28"/>
                <w:szCs w:val="28"/>
                <w:shd w:val="clear" w:color="auto" w:fill="FFFFFF"/>
                <w:lang w:eastAsia="ru-RU"/>
              </w:rPr>
              <w:t>…</w:t>
            </w:r>
          </w:p>
        </w:tc>
        <w:tc>
          <w:tcPr>
            <w:tcW w:w="7394" w:type="dxa"/>
          </w:tcPr>
          <w:p w14:paraId="4C1C5CF2" w14:textId="79AE68C3" w:rsidR="00AC2726" w:rsidRPr="000501B7" w:rsidRDefault="00AC2726" w:rsidP="00725680">
            <w:pPr>
              <w:shd w:val="clear" w:color="auto" w:fill="FFFFFF"/>
              <w:spacing w:after="150"/>
              <w:ind w:firstLine="450"/>
              <w:jc w:val="both"/>
              <w:rPr>
                <w:b/>
                <w:sz w:val="28"/>
                <w:szCs w:val="28"/>
              </w:rPr>
            </w:pPr>
            <w:r w:rsidRPr="000501B7">
              <w:rPr>
                <w:b/>
                <w:sz w:val="28"/>
                <w:szCs w:val="28"/>
              </w:rPr>
              <w:t>…</w:t>
            </w:r>
          </w:p>
        </w:tc>
      </w:tr>
      <w:tr w:rsidR="00725680" w:rsidRPr="000501B7" w14:paraId="2D27CCE6" w14:textId="77777777" w:rsidTr="00B13F68">
        <w:tc>
          <w:tcPr>
            <w:tcW w:w="7394" w:type="dxa"/>
          </w:tcPr>
          <w:p w14:paraId="3B97741F" w14:textId="3D7701E7" w:rsidR="00725680" w:rsidRPr="000501B7" w:rsidRDefault="00AC2726" w:rsidP="00AC2726">
            <w:pPr>
              <w:pStyle w:val="a6"/>
              <w:widowControl w:val="0"/>
              <w:spacing w:before="0" w:beforeAutospacing="0" w:after="0" w:afterAutospacing="0"/>
              <w:ind w:firstLine="593"/>
              <w:jc w:val="both"/>
              <w:rPr>
                <w:sz w:val="28"/>
                <w:szCs w:val="28"/>
                <w:lang w:val="uk-UA"/>
              </w:rPr>
            </w:pPr>
            <w:r w:rsidRPr="000501B7">
              <w:rPr>
                <w:sz w:val="28"/>
                <w:szCs w:val="28"/>
                <w:lang w:val="uk-UA"/>
              </w:rPr>
              <w:t>Сільські, селищні та міські ради в межах території відповідної адміністративно-територіальної одиниці можуть встановлювати заборону продажу пива (крім безалкогольного), алкогольних, слабоалкогольних напоїв, вин столових суб’єктами господарювання (у тому числі іноземними суб’єктами господарювання, які діють через свої зареєстровані постійні представництва) (крім закладів ресторанного господарства) у визначений рішенням таких органів час доби.</w:t>
            </w:r>
          </w:p>
        </w:tc>
        <w:tc>
          <w:tcPr>
            <w:tcW w:w="7394" w:type="dxa"/>
          </w:tcPr>
          <w:p w14:paraId="3C4E9145" w14:textId="6A0AB452" w:rsidR="00725680" w:rsidRPr="000501B7" w:rsidRDefault="00AC2726" w:rsidP="00765369">
            <w:pPr>
              <w:pStyle w:val="a6"/>
              <w:widowControl w:val="0"/>
              <w:spacing w:before="0" w:beforeAutospacing="0" w:after="0" w:afterAutospacing="0"/>
              <w:ind w:firstLine="424"/>
              <w:jc w:val="both"/>
              <w:rPr>
                <w:sz w:val="28"/>
                <w:szCs w:val="28"/>
                <w:lang w:val="uk-UA"/>
              </w:rPr>
            </w:pPr>
            <w:r w:rsidRPr="000501B7">
              <w:rPr>
                <w:sz w:val="28"/>
                <w:szCs w:val="28"/>
                <w:lang w:val="uk-UA"/>
              </w:rPr>
              <w:t xml:space="preserve">Сільські, селищні та міські ради в межах території відповідної адміністративно-територіальної одиниці можуть встановлювати заборону продажу пива (крім безалкогольного), алкогольних, слабоалкогольних напоїв, </w:t>
            </w:r>
            <w:bookmarkStart w:id="7" w:name="_Hlk70694641"/>
            <w:r w:rsidRPr="000501B7">
              <w:rPr>
                <w:sz w:val="28"/>
                <w:szCs w:val="28"/>
                <w:lang w:val="uk-UA"/>
              </w:rPr>
              <w:t>вин столових</w:t>
            </w:r>
            <w:r w:rsidR="00B97CF6" w:rsidRPr="000501B7">
              <w:rPr>
                <w:sz w:val="28"/>
                <w:szCs w:val="28"/>
                <w:lang w:val="uk-UA"/>
              </w:rPr>
              <w:t xml:space="preserve">, </w:t>
            </w:r>
            <w:bookmarkStart w:id="8" w:name="_Hlk70694694"/>
            <w:bookmarkEnd w:id="7"/>
            <w:r w:rsidR="00B97CF6" w:rsidRPr="000501B7">
              <w:rPr>
                <w:b/>
                <w:sz w:val="28"/>
                <w:szCs w:val="28"/>
                <w:lang w:val="uk-UA"/>
              </w:rPr>
              <w:t>тютюнових виробів, електронних сигарет, рідин, що використовуються в електронних сигаретах, пристроїв для споживання тютюнових виробів без їх згоряння</w:t>
            </w:r>
            <w:r w:rsidRPr="000501B7">
              <w:rPr>
                <w:sz w:val="28"/>
                <w:szCs w:val="28"/>
                <w:lang w:val="uk-UA"/>
              </w:rPr>
              <w:t xml:space="preserve"> </w:t>
            </w:r>
            <w:bookmarkEnd w:id="8"/>
            <w:r w:rsidRPr="000501B7">
              <w:rPr>
                <w:sz w:val="28"/>
                <w:szCs w:val="28"/>
                <w:lang w:val="uk-UA"/>
              </w:rPr>
              <w:t xml:space="preserve">суб’єктами господарювання (у тому числі іноземними суб’єктами господарювання, які діють через свої зареєстровані постійні представництва) (крім закладів ресторанного господарства) у визначений рішенням таких </w:t>
            </w:r>
            <w:r w:rsidRPr="000501B7">
              <w:rPr>
                <w:sz w:val="28"/>
                <w:szCs w:val="28"/>
                <w:lang w:val="uk-UA"/>
              </w:rPr>
              <w:lastRenderedPageBreak/>
              <w:t>органів час доби.</w:t>
            </w:r>
          </w:p>
        </w:tc>
      </w:tr>
      <w:tr w:rsidR="00725680" w:rsidRPr="000501B7" w14:paraId="36DEB341" w14:textId="77777777" w:rsidTr="00B13F68">
        <w:tc>
          <w:tcPr>
            <w:tcW w:w="7394" w:type="dxa"/>
            <w:vAlign w:val="center"/>
          </w:tcPr>
          <w:p w14:paraId="6AEC5C4F" w14:textId="05A6DDF8" w:rsidR="00725680" w:rsidRPr="000501B7" w:rsidRDefault="00765369" w:rsidP="00765369">
            <w:pPr>
              <w:widowControl w:val="0"/>
              <w:jc w:val="both"/>
              <w:rPr>
                <w:bCs/>
                <w:color w:val="000000"/>
                <w:sz w:val="28"/>
                <w:szCs w:val="28"/>
              </w:rPr>
            </w:pPr>
            <w:r w:rsidRPr="000501B7">
              <w:rPr>
                <w:b/>
                <w:bCs/>
                <w:sz w:val="28"/>
                <w:szCs w:val="28"/>
                <w:shd w:val="clear" w:color="auto" w:fill="FFFFFF"/>
                <w:lang w:eastAsia="ru-RU"/>
              </w:rPr>
              <w:lastRenderedPageBreak/>
              <w:t>Відсутня</w:t>
            </w:r>
          </w:p>
        </w:tc>
        <w:tc>
          <w:tcPr>
            <w:tcW w:w="7394" w:type="dxa"/>
            <w:vAlign w:val="center"/>
          </w:tcPr>
          <w:p w14:paraId="089E2ADA" w14:textId="7D98A9D8" w:rsidR="00725680" w:rsidRPr="000501B7" w:rsidRDefault="00D004FA" w:rsidP="002117BF">
            <w:pPr>
              <w:widowControl w:val="0"/>
              <w:ind w:firstLine="566"/>
              <w:jc w:val="both"/>
              <w:rPr>
                <w:rStyle w:val="rvts15"/>
                <w:b/>
                <w:sz w:val="28"/>
                <w:szCs w:val="28"/>
              </w:rPr>
            </w:pPr>
            <w:bookmarkStart w:id="9" w:name="_Hlk70694787"/>
            <w:r w:rsidRPr="000501B7">
              <w:rPr>
                <w:rStyle w:val="rvts15"/>
                <w:b/>
                <w:sz w:val="28"/>
                <w:szCs w:val="28"/>
              </w:rPr>
              <w:t>С</w:t>
            </w:r>
            <w:r w:rsidR="00765369" w:rsidRPr="000501B7">
              <w:rPr>
                <w:rStyle w:val="rvts15"/>
                <w:b/>
                <w:sz w:val="28"/>
                <w:szCs w:val="28"/>
              </w:rPr>
              <w:t>ільськ</w:t>
            </w:r>
            <w:r w:rsidRPr="000501B7">
              <w:rPr>
                <w:rStyle w:val="rvts15"/>
                <w:b/>
                <w:sz w:val="28"/>
                <w:szCs w:val="28"/>
              </w:rPr>
              <w:t>і</w:t>
            </w:r>
            <w:r w:rsidR="00765369" w:rsidRPr="000501B7">
              <w:rPr>
                <w:rStyle w:val="rvts15"/>
                <w:b/>
                <w:sz w:val="28"/>
                <w:szCs w:val="28"/>
              </w:rPr>
              <w:t>, селищн</w:t>
            </w:r>
            <w:r w:rsidRPr="000501B7">
              <w:rPr>
                <w:rStyle w:val="rvts15"/>
                <w:b/>
                <w:sz w:val="28"/>
                <w:szCs w:val="28"/>
              </w:rPr>
              <w:t>і та міські</w:t>
            </w:r>
            <w:r w:rsidR="00765369" w:rsidRPr="000501B7">
              <w:rPr>
                <w:rStyle w:val="rvts15"/>
                <w:b/>
                <w:sz w:val="28"/>
                <w:szCs w:val="28"/>
              </w:rPr>
              <w:t xml:space="preserve"> рад</w:t>
            </w:r>
            <w:r w:rsidRPr="000501B7">
              <w:rPr>
                <w:rStyle w:val="rvts15"/>
                <w:b/>
                <w:sz w:val="28"/>
                <w:szCs w:val="28"/>
              </w:rPr>
              <w:t>и</w:t>
            </w:r>
            <w:r w:rsidR="00765369" w:rsidRPr="000501B7">
              <w:rPr>
                <w:rStyle w:val="rvts15"/>
                <w:b/>
                <w:sz w:val="28"/>
                <w:szCs w:val="28"/>
              </w:rPr>
              <w:t xml:space="preserve"> в межах території відповідної </w:t>
            </w:r>
            <w:bookmarkStart w:id="10" w:name="_Hlk70690777"/>
            <w:r w:rsidR="00765369" w:rsidRPr="000501B7">
              <w:rPr>
                <w:rStyle w:val="rvts15"/>
                <w:b/>
                <w:sz w:val="28"/>
                <w:szCs w:val="28"/>
              </w:rPr>
              <w:t xml:space="preserve">адміністративно-територіальної одиниці </w:t>
            </w:r>
            <w:bookmarkEnd w:id="10"/>
            <w:r w:rsidR="00765369" w:rsidRPr="000501B7">
              <w:rPr>
                <w:rStyle w:val="rvts15"/>
                <w:b/>
                <w:sz w:val="28"/>
                <w:szCs w:val="28"/>
              </w:rPr>
              <w:t xml:space="preserve">можуть встановлювати </w:t>
            </w:r>
            <w:r w:rsidR="00684A7C" w:rsidRPr="000501B7">
              <w:rPr>
                <w:rStyle w:val="rvts15"/>
                <w:b/>
                <w:sz w:val="28"/>
                <w:szCs w:val="28"/>
              </w:rPr>
              <w:t xml:space="preserve">постійні або тимчасові </w:t>
            </w:r>
            <w:r w:rsidR="00765369" w:rsidRPr="000501B7">
              <w:rPr>
                <w:rStyle w:val="rvts15"/>
                <w:b/>
                <w:sz w:val="28"/>
                <w:szCs w:val="28"/>
              </w:rPr>
              <w:t>додаткові обмеження щодо місц</w:t>
            </w:r>
            <w:r w:rsidRPr="000501B7">
              <w:rPr>
                <w:rStyle w:val="rvts15"/>
                <w:b/>
                <w:sz w:val="28"/>
                <w:szCs w:val="28"/>
              </w:rPr>
              <w:t>ь</w:t>
            </w:r>
            <w:r w:rsidR="00765369" w:rsidRPr="000501B7">
              <w:rPr>
                <w:rStyle w:val="rvts15"/>
                <w:b/>
                <w:sz w:val="28"/>
                <w:szCs w:val="28"/>
              </w:rPr>
              <w:t xml:space="preserve"> торгівлі пивом (крім безалкогольного), алкогольни</w:t>
            </w:r>
            <w:r w:rsidRPr="000501B7">
              <w:rPr>
                <w:rStyle w:val="rvts15"/>
                <w:b/>
                <w:sz w:val="28"/>
                <w:szCs w:val="28"/>
              </w:rPr>
              <w:t>ми</w:t>
            </w:r>
            <w:r w:rsidR="00765369" w:rsidRPr="000501B7">
              <w:rPr>
                <w:rStyle w:val="rvts15"/>
                <w:b/>
                <w:sz w:val="28"/>
                <w:szCs w:val="28"/>
              </w:rPr>
              <w:t>, слабоалкогольни</w:t>
            </w:r>
            <w:r w:rsidRPr="000501B7">
              <w:rPr>
                <w:rStyle w:val="rvts15"/>
                <w:b/>
                <w:sz w:val="28"/>
                <w:szCs w:val="28"/>
              </w:rPr>
              <w:t>ми</w:t>
            </w:r>
            <w:r w:rsidR="00765369" w:rsidRPr="000501B7">
              <w:rPr>
                <w:rStyle w:val="rvts15"/>
                <w:b/>
                <w:sz w:val="28"/>
                <w:szCs w:val="28"/>
              </w:rPr>
              <w:t xml:space="preserve">  напо</w:t>
            </w:r>
            <w:r w:rsidRPr="000501B7">
              <w:rPr>
                <w:rStyle w:val="rvts15"/>
                <w:b/>
                <w:sz w:val="28"/>
                <w:szCs w:val="28"/>
              </w:rPr>
              <w:t>ями</w:t>
            </w:r>
            <w:r w:rsidR="00765369" w:rsidRPr="000501B7">
              <w:rPr>
                <w:rStyle w:val="rvts15"/>
                <w:b/>
                <w:sz w:val="28"/>
                <w:szCs w:val="28"/>
              </w:rPr>
              <w:t>, вин</w:t>
            </w:r>
            <w:r w:rsidRPr="000501B7">
              <w:rPr>
                <w:rStyle w:val="rvts15"/>
                <w:b/>
                <w:sz w:val="28"/>
                <w:szCs w:val="28"/>
              </w:rPr>
              <w:t>ами столовими,</w:t>
            </w:r>
            <w:r w:rsidR="00765369" w:rsidRPr="000501B7">
              <w:rPr>
                <w:rStyle w:val="rvts15"/>
                <w:b/>
                <w:sz w:val="28"/>
                <w:szCs w:val="28"/>
              </w:rPr>
              <w:t xml:space="preserve"> тютюнови</w:t>
            </w:r>
            <w:r w:rsidRPr="000501B7">
              <w:rPr>
                <w:rStyle w:val="rvts15"/>
                <w:b/>
                <w:sz w:val="28"/>
                <w:szCs w:val="28"/>
              </w:rPr>
              <w:t>ми виробами</w:t>
            </w:r>
            <w:r w:rsidR="00765369" w:rsidRPr="000501B7">
              <w:rPr>
                <w:rStyle w:val="rvts15"/>
                <w:b/>
                <w:sz w:val="28"/>
                <w:szCs w:val="28"/>
              </w:rPr>
              <w:t>,</w:t>
            </w:r>
            <w:r w:rsidRPr="000501B7">
              <w:rPr>
                <w:rStyle w:val="rvts15"/>
                <w:b/>
                <w:sz w:val="28"/>
                <w:szCs w:val="28"/>
              </w:rPr>
              <w:t xml:space="preserve"> </w:t>
            </w:r>
            <w:r w:rsidRPr="000501B7">
              <w:rPr>
                <w:b/>
                <w:sz w:val="28"/>
                <w:szCs w:val="28"/>
              </w:rPr>
              <w:t>електронними сигаретами, рідинами, що використовуються в електронних сигаретах, пристроями для споживання тютюнових виробів без їх згоряння</w:t>
            </w:r>
            <w:r w:rsidR="00765369" w:rsidRPr="000501B7">
              <w:rPr>
                <w:rStyle w:val="rvts15"/>
                <w:b/>
                <w:sz w:val="28"/>
                <w:szCs w:val="28"/>
              </w:rPr>
              <w:t>.</w:t>
            </w:r>
            <w:bookmarkEnd w:id="9"/>
          </w:p>
        </w:tc>
      </w:tr>
      <w:tr w:rsidR="00725680" w:rsidRPr="000501B7" w14:paraId="05BE7140" w14:textId="77777777" w:rsidTr="00B13F68">
        <w:tc>
          <w:tcPr>
            <w:tcW w:w="7394" w:type="dxa"/>
          </w:tcPr>
          <w:p w14:paraId="188F9816" w14:textId="6BE79BE7" w:rsidR="00725680" w:rsidRPr="000501B7" w:rsidRDefault="00315A28" w:rsidP="00725680">
            <w:pPr>
              <w:widowControl w:val="0"/>
              <w:jc w:val="both"/>
              <w:rPr>
                <w:bCs/>
                <w:color w:val="000000"/>
                <w:sz w:val="28"/>
                <w:szCs w:val="28"/>
              </w:rPr>
            </w:pPr>
            <w:r w:rsidRPr="000501B7">
              <w:rPr>
                <w:b/>
                <w:bCs/>
                <w:color w:val="000000"/>
                <w:sz w:val="28"/>
                <w:szCs w:val="28"/>
              </w:rPr>
              <w:t>Стаття 17.</w:t>
            </w:r>
            <w:r w:rsidRPr="000501B7">
              <w:rPr>
                <w:bCs/>
                <w:color w:val="000000"/>
                <w:sz w:val="28"/>
                <w:szCs w:val="28"/>
              </w:rPr>
              <w:t xml:space="preserve"> Відповідальність за порушення норм цього Закону</w:t>
            </w:r>
          </w:p>
        </w:tc>
        <w:tc>
          <w:tcPr>
            <w:tcW w:w="7394" w:type="dxa"/>
          </w:tcPr>
          <w:p w14:paraId="57CA44CE" w14:textId="3BFC4CB8" w:rsidR="00725680" w:rsidRPr="000501B7" w:rsidRDefault="00315A28" w:rsidP="00725680">
            <w:pPr>
              <w:widowControl w:val="0"/>
              <w:jc w:val="both"/>
              <w:rPr>
                <w:bCs/>
                <w:sz w:val="28"/>
                <w:szCs w:val="28"/>
              </w:rPr>
            </w:pPr>
            <w:r w:rsidRPr="000501B7">
              <w:rPr>
                <w:b/>
                <w:bCs/>
                <w:sz w:val="28"/>
                <w:szCs w:val="28"/>
              </w:rPr>
              <w:t>Стаття 17.</w:t>
            </w:r>
            <w:r w:rsidRPr="000501B7">
              <w:rPr>
                <w:bCs/>
                <w:sz w:val="28"/>
                <w:szCs w:val="28"/>
              </w:rPr>
              <w:t xml:space="preserve"> Відповідальність за порушення норм цього Закону</w:t>
            </w:r>
          </w:p>
        </w:tc>
      </w:tr>
      <w:tr w:rsidR="00A50A8A" w:rsidRPr="000501B7" w14:paraId="2F929F80" w14:textId="77777777" w:rsidTr="00B13F68">
        <w:tc>
          <w:tcPr>
            <w:tcW w:w="7394" w:type="dxa"/>
          </w:tcPr>
          <w:p w14:paraId="760B52A1" w14:textId="4DBFAB2D" w:rsidR="00A50A8A" w:rsidRPr="000501B7" w:rsidRDefault="00A50A8A" w:rsidP="00A50A8A">
            <w:pPr>
              <w:ind w:firstLine="709"/>
              <w:contextualSpacing/>
              <w:jc w:val="both"/>
              <w:rPr>
                <w:rStyle w:val="rvts9"/>
                <w:b/>
                <w:bCs/>
                <w:color w:val="000000" w:themeColor="text1"/>
                <w:sz w:val="28"/>
                <w:szCs w:val="28"/>
              </w:rPr>
            </w:pPr>
            <w:r w:rsidRPr="000501B7">
              <w:rPr>
                <w:rStyle w:val="rvts9"/>
                <w:b/>
                <w:bCs/>
                <w:color w:val="000000" w:themeColor="text1"/>
                <w:sz w:val="28"/>
                <w:szCs w:val="28"/>
              </w:rPr>
              <w:t>…</w:t>
            </w:r>
          </w:p>
        </w:tc>
        <w:tc>
          <w:tcPr>
            <w:tcW w:w="7394" w:type="dxa"/>
          </w:tcPr>
          <w:p w14:paraId="2B6DD50A" w14:textId="15345198" w:rsidR="00A50A8A" w:rsidRPr="000501B7" w:rsidRDefault="00A50A8A" w:rsidP="00A50A8A">
            <w:pPr>
              <w:ind w:firstLine="709"/>
              <w:contextualSpacing/>
              <w:jc w:val="both"/>
              <w:rPr>
                <w:rStyle w:val="rvts9"/>
                <w:b/>
                <w:bCs/>
                <w:color w:val="000000" w:themeColor="text1"/>
                <w:sz w:val="28"/>
                <w:szCs w:val="28"/>
              </w:rPr>
            </w:pPr>
            <w:r w:rsidRPr="000501B7">
              <w:rPr>
                <w:rStyle w:val="rvts9"/>
                <w:b/>
                <w:bCs/>
                <w:color w:val="000000" w:themeColor="text1"/>
                <w:sz w:val="28"/>
                <w:szCs w:val="28"/>
              </w:rPr>
              <w:t>…</w:t>
            </w:r>
          </w:p>
        </w:tc>
      </w:tr>
      <w:tr w:rsidR="00A50A8A" w:rsidRPr="000501B7" w14:paraId="0859157C" w14:textId="77777777" w:rsidTr="00B13F68">
        <w:tc>
          <w:tcPr>
            <w:tcW w:w="7394" w:type="dxa"/>
          </w:tcPr>
          <w:p w14:paraId="347C1DA6" w14:textId="021964C2" w:rsidR="00A50A8A" w:rsidRPr="000501B7" w:rsidRDefault="00A50A8A" w:rsidP="00A50A8A">
            <w:pPr>
              <w:ind w:firstLine="593"/>
              <w:contextualSpacing/>
              <w:jc w:val="both"/>
              <w:rPr>
                <w:rStyle w:val="rvts9"/>
                <w:bCs/>
                <w:color w:val="000000" w:themeColor="text1"/>
                <w:sz w:val="28"/>
                <w:szCs w:val="28"/>
              </w:rPr>
            </w:pPr>
            <w:r w:rsidRPr="000501B7">
              <w:rPr>
                <w:rStyle w:val="rvts9"/>
                <w:bCs/>
                <w:color w:val="000000" w:themeColor="text1"/>
                <w:sz w:val="28"/>
                <w:szCs w:val="28"/>
              </w:rPr>
              <w:t>оптової і роздрібної торгівлі спиртом етиловим, коньячним і плодовим та зерновим дистилятом, спиртом етиловим ректифікованим виноградним, спиртом етиловим ректифікованим плодовим, біоетанолом, алкогольними напоями, тютюновими виробами та рідинами, що використовуються в електронних сигаретах, без наявності ліцензій (крім випадків, передбачених цим Законом), - 200 відсотків вартості отриманої партії товару, але не менше 17000 гривень;</w:t>
            </w:r>
          </w:p>
        </w:tc>
        <w:tc>
          <w:tcPr>
            <w:tcW w:w="7394" w:type="dxa"/>
          </w:tcPr>
          <w:p w14:paraId="188A2FD1" w14:textId="7373117C" w:rsidR="00A50A8A" w:rsidRPr="000501B7" w:rsidRDefault="00A50A8A" w:rsidP="00A50A8A">
            <w:pPr>
              <w:ind w:firstLine="709"/>
              <w:contextualSpacing/>
              <w:jc w:val="both"/>
              <w:rPr>
                <w:rStyle w:val="rvts9"/>
                <w:b/>
                <w:bCs/>
                <w:color w:val="000000" w:themeColor="text1"/>
                <w:sz w:val="28"/>
                <w:szCs w:val="28"/>
              </w:rPr>
            </w:pPr>
            <w:r w:rsidRPr="000501B7">
              <w:rPr>
                <w:rStyle w:val="rvts9"/>
                <w:bCs/>
                <w:color w:val="000000" w:themeColor="text1"/>
                <w:sz w:val="28"/>
                <w:szCs w:val="28"/>
              </w:rPr>
              <w:t xml:space="preserve">оптової і роздрібної торгівлі спиртом етиловим, коньячним і плодовим та зерновим дистилятом, спиртом етиловим ректифікованим виноградним, спиртом етиловим ректифікованим плодовим, біоетанолом, алкогольними напоями, тютюновими виробами та рідинами, що використовуються в електронних сигаретах, без наявності ліцензій (крім випадків, передбачених цим Законом), - 200 відсотків вартості отриманої партії товару, але не менше </w:t>
            </w:r>
            <w:r w:rsidRPr="000501B7">
              <w:rPr>
                <w:rStyle w:val="rvts9"/>
                <w:b/>
                <w:bCs/>
                <w:color w:val="000000" w:themeColor="text1"/>
                <w:sz w:val="28"/>
                <w:szCs w:val="28"/>
              </w:rPr>
              <w:t>85000</w:t>
            </w:r>
            <w:r w:rsidRPr="000501B7">
              <w:rPr>
                <w:rStyle w:val="rvts9"/>
                <w:bCs/>
                <w:color w:val="000000" w:themeColor="text1"/>
                <w:sz w:val="28"/>
                <w:szCs w:val="28"/>
              </w:rPr>
              <w:t xml:space="preserve"> гривень;</w:t>
            </w:r>
          </w:p>
        </w:tc>
      </w:tr>
      <w:tr w:rsidR="00A50A8A" w:rsidRPr="000501B7" w14:paraId="19520317" w14:textId="77777777" w:rsidTr="00B13F68">
        <w:tc>
          <w:tcPr>
            <w:tcW w:w="7394" w:type="dxa"/>
          </w:tcPr>
          <w:p w14:paraId="61B3D447" w14:textId="24B1EC97" w:rsidR="00A50A8A" w:rsidRPr="000501B7" w:rsidRDefault="00A50A8A" w:rsidP="00A50A8A">
            <w:pPr>
              <w:ind w:firstLine="735"/>
              <w:contextualSpacing/>
              <w:jc w:val="both"/>
              <w:rPr>
                <w:rStyle w:val="rvts9"/>
                <w:b/>
                <w:bCs/>
                <w:color w:val="000000" w:themeColor="text1"/>
                <w:sz w:val="28"/>
                <w:szCs w:val="28"/>
              </w:rPr>
            </w:pPr>
            <w:r w:rsidRPr="000501B7">
              <w:rPr>
                <w:rStyle w:val="rvts9"/>
                <w:b/>
                <w:bCs/>
                <w:color w:val="000000" w:themeColor="text1"/>
                <w:sz w:val="28"/>
                <w:szCs w:val="28"/>
              </w:rPr>
              <w:t>…</w:t>
            </w:r>
          </w:p>
        </w:tc>
        <w:tc>
          <w:tcPr>
            <w:tcW w:w="7394" w:type="dxa"/>
          </w:tcPr>
          <w:p w14:paraId="4AE39EDB" w14:textId="27D77AE9" w:rsidR="00A50A8A" w:rsidRPr="000501B7" w:rsidRDefault="00A50A8A" w:rsidP="00A50A8A">
            <w:pPr>
              <w:ind w:firstLine="709"/>
              <w:contextualSpacing/>
              <w:jc w:val="both"/>
              <w:rPr>
                <w:rStyle w:val="rvts9"/>
                <w:b/>
                <w:bCs/>
                <w:color w:val="000000" w:themeColor="text1"/>
                <w:sz w:val="28"/>
                <w:szCs w:val="28"/>
              </w:rPr>
            </w:pPr>
            <w:r w:rsidRPr="000501B7">
              <w:rPr>
                <w:rStyle w:val="rvts9"/>
                <w:b/>
                <w:bCs/>
                <w:color w:val="000000" w:themeColor="text1"/>
                <w:sz w:val="28"/>
                <w:szCs w:val="28"/>
              </w:rPr>
              <w:t>…</w:t>
            </w:r>
          </w:p>
        </w:tc>
      </w:tr>
      <w:tr w:rsidR="00A50A8A" w:rsidRPr="000501B7" w14:paraId="11965DA6" w14:textId="77777777" w:rsidTr="00B13F68">
        <w:tc>
          <w:tcPr>
            <w:tcW w:w="7394" w:type="dxa"/>
          </w:tcPr>
          <w:p w14:paraId="6DF6623D" w14:textId="017F3ED1" w:rsidR="00A50A8A" w:rsidRPr="000501B7" w:rsidRDefault="00A50A8A" w:rsidP="00A50A8A">
            <w:pPr>
              <w:ind w:firstLine="709"/>
              <w:contextualSpacing/>
              <w:jc w:val="both"/>
              <w:rPr>
                <w:sz w:val="28"/>
                <w:szCs w:val="28"/>
              </w:rPr>
            </w:pPr>
            <w:r w:rsidRPr="000501B7">
              <w:rPr>
                <w:sz w:val="28"/>
                <w:szCs w:val="28"/>
              </w:rPr>
              <w:t>порушення вимог статті 15-3 цього Закону - 6800 гривень;</w:t>
            </w:r>
          </w:p>
        </w:tc>
        <w:tc>
          <w:tcPr>
            <w:tcW w:w="7394" w:type="dxa"/>
          </w:tcPr>
          <w:p w14:paraId="20239EF8" w14:textId="302B35B4" w:rsidR="00A50A8A" w:rsidRPr="000501B7" w:rsidRDefault="00A50A8A" w:rsidP="00A50A8A">
            <w:pPr>
              <w:ind w:firstLine="709"/>
              <w:contextualSpacing/>
              <w:jc w:val="both"/>
              <w:rPr>
                <w:sz w:val="28"/>
                <w:szCs w:val="28"/>
              </w:rPr>
            </w:pPr>
            <w:r w:rsidRPr="000501B7">
              <w:rPr>
                <w:sz w:val="28"/>
                <w:szCs w:val="28"/>
              </w:rPr>
              <w:t xml:space="preserve">порушення вимог статті 15-3 цього Закону - </w:t>
            </w:r>
            <w:r w:rsidRPr="000501B7">
              <w:rPr>
                <w:b/>
                <w:sz w:val="28"/>
                <w:szCs w:val="28"/>
              </w:rPr>
              <w:t>85000</w:t>
            </w:r>
            <w:r w:rsidRPr="000501B7">
              <w:rPr>
                <w:sz w:val="28"/>
                <w:szCs w:val="28"/>
              </w:rPr>
              <w:t xml:space="preserve"> гривень;</w:t>
            </w:r>
          </w:p>
        </w:tc>
      </w:tr>
      <w:tr w:rsidR="003F7719" w:rsidRPr="000501B7" w14:paraId="17F9A404" w14:textId="77777777" w:rsidTr="006A64A4">
        <w:tc>
          <w:tcPr>
            <w:tcW w:w="14788" w:type="dxa"/>
            <w:gridSpan w:val="2"/>
          </w:tcPr>
          <w:p w14:paraId="63678C47" w14:textId="77777777" w:rsidR="003F7719" w:rsidRPr="000501B7" w:rsidRDefault="003F7719" w:rsidP="003F7719">
            <w:pPr>
              <w:widowControl w:val="0"/>
              <w:jc w:val="center"/>
              <w:rPr>
                <w:rStyle w:val="rvts15"/>
                <w:b/>
                <w:sz w:val="28"/>
                <w:szCs w:val="28"/>
              </w:rPr>
            </w:pPr>
            <w:bookmarkStart w:id="11" w:name="_Hlk70695606"/>
            <w:r w:rsidRPr="000501B7">
              <w:rPr>
                <w:rStyle w:val="rvts15"/>
                <w:b/>
                <w:sz w:val="28"/>
                <w:szCs w:val="28"/>
              </w:rPr>
              <w:t>Закон України «Про місцеве самоврядування в Україні»</w:t>
            </w:r>
          </w:p>
          <w:p w14:paraId="40585675" w14:textId="48F68B19" w:rsidR="003F7719" w:rsidRPr="000501B7" w:rsidRDefault="003F7719" w:rsidP="003F7719">
            <w:pPr>
              <w:widowControl w:val="0"/>
              <w:jc w:val="center"/>
              <w:rPr>
                <w:b/>
                <w:bCs/>
                <w:color w:val="000000"/>
                <w:sz w:val="28"/>
                <w:szCs w:val="28"/>
              </w:rPr>
            </w:pPr>
            <w:r w:rsidRPr="000501B7">
              <w:rPr>
                <w:rStyle w:val="rvts15"/>
                <w:b/>
                <w:color w:val="000000"/>
                <w:sz w:val="28"/>
                <w:szCs w:val="28"/>
              </w:rPr>
              <w:lastRenderedPageBreak/>
              <w:t>(Відомості Верховної Ради України (ВВР), 1997, № 24, ст.170 із наступними змінами)</w:t>
            </w:r>
            <w:bookmarkEnd w:id="11"/>
          </w:p>
        </w:tc>
      </w:tr>
      <w:tr w:rsidR="00A50A8A" w:rsidRPr="000501B7" w14:paraId="1098D4E4" w14:textId="77777777" w:rsidTr="00B13F68">
        <w:tc>
          <w:tcPr>
            <w:tcW w:w="7394" w:type="dxa"/>
          </w:tcPr>
          <w:p w14:paraId="6956AE9C" w14:textId="2C8257E0" w:rsidR="00A50A8A" w:rsidRPr="000501B7" w:rsidRDefault="007D6D14" w:rsidP="00A50A8A">
            <w:pPr>
              <w:widowControl w:val="0"/>
              <w:jc w:val="both"/>
              <w:rPr>
                <w:bCs/>
                <w:color w:val="000000"/>
                <w:sz w:val="28"/>
                <w:szCs w:val="28"/>
              </w:rPr>
            </w:pPr>
            <w:r w:rsidRPr="000501B7">
              <w:rPr>
                <w:b/>
                <w:bCs/>
                <w:color w:val="000000"/>
                <w:sz w:val="28"/>
                <w:szCs w:val="28"/>
              </w:rPr>
              <w:lastRenderedPageBreak/>
              <w:t>Стаття 26</w:t>
            </w:r>
            <w:r w:rsidRPr="000501B7">
              <w:rPr>
                <w:bCs/>
                <w:color w:val="000000"/>
                <w:sz w:val="28"/>
                <w:szCs w:val="28"/>
              </w:rPr>
              <w:t>. Виключна компетенція сільських, селищних, міських рад</w:t>
            </w:r>
          </w:p>
        </w:tc>
        <w:tc>
          <w:tcPr>
            <w:tcW w:w="7394" w:type="dxa"/>
          </w:tcPr>
          <w:p w14:paraId="5E6CD79F" w14:textId="1E59DB7E" w:rsidR="00A50A8A" w:rsidRPr="000501B7" w:rsidRDefault="007D6D14" w:rsidP="00A50A8A">
            <w:pPr>
              <w:pStyle w:val="a6"/>
              <w:widowControl w:val="0"/>
              <w:spacing w:before="0" w:beforeAutospacing="0" w:after="0" w:afterAutospacing="0"/>
              <w:jc w:val="both"/>
              <w:rPr>
                <w:bCs/>
                <w:color w:val="000000"/>
                <w:sz w:val="28"/>
                <w:szCs w:val="28"/>
                <w:lang w:val="uk-UA"/>
              </w:rPr>
            </w:pPr>
            <w:r w:rsidRPr="000501B7">
              <w:rPr>
                <w:b/>
                <w:bCs/>
                <w:color w:val="000000"/>
                <w:sz w:val="28"/>
                <w:szCs w:val="28"/>
                <w:lang w:val="uk-UA"/>
              </w:rPr>
              <w:t>Стаття 26.</w:t>
            </w:r>
            <w:r w:rsidRPr="000501B7">
              <w:rPr>
                <w:bCs/>
                <w:color w:val="000000"/>
                <w:sz w:val="28"/>
                <w:szCs w:val="28"/>
                <w:lang w:val="uk-UA"/>
              </w:rPr>
              <w:t xml:space="preserve"> Виключна компетенція сільських, селищних, міських рад</w:t>
            </w:r>
          </w:p>
        </w:tc>
      </w:tr>
      <w:tr w:rsidR="00A50A8A" w:rsidRPr="000501B7" w14:paraId="2B3E3245" w14:textId="77777777" w:rsidTr="00B13F68">
        <w:tc>
          <w:tcPr>
            <w:tcW w:w="7394" w:type="dxa"/>
          </w:tcPr>
          <w:p w14:paraId="04EEB7A5" w14:textId="59BD30AD" w:rsidR="00A50A8A" w:rsidRPr="000501B7" w:rsidRDefault="008E1863" w:rsidP="00067426">
            <w:pPr>
              <w:pStyle w:val="a6"/>
              <w:widowControl w:val="0"/>
              <w:spacing w:before="0" w:beforeAutospacing="0" w:after="0" w:afterAutospacing="0"/>
              <w:ind w:right="30"/>
              <w:jc w:val="both"/>
              <w:rPr>
                <w:color w:val="000000"/>
                <w:sz w:val="28"/>
                <w:szCs w:val="28"/>
                <w:lang w:val="uk-UA"/>
              </w:rPr>
            </w:pPr>
            <w:r w:rsidRPr="000501B7">
              <w:rPr>
                <w:color w:val="000000"/>
                <w:sz w:val="28"/>
                <w:szCs w:val="28"/>
                <w:lang w:val="uk-UA"/>
              </w:rPr>
              <w:t>1. Виключно на пленарних засіданнях сільської, селищної, міської ради вирішуються такі питання:</w:t>
            </w:r>
          </w:p>
        </w:tc>
        <w:tc>
          <w:tcPr>
            <w:tcW w:w="7394" w:type="dxa"/>
          </w:tcPr>
          <w:p w14:paraId="5507E738" w14:textId="5948607A" w:rsidR="00A50A8A" w:rsidRPr="000501B7" w:rsidRDefault="008E1863" w:rsidP="008E1863">
            <w:pPr>
              <w:pStyle w:val="a6"/>
              <w:widowControl w:val="0"/>
              <w:spacing w:before="0" w:beforeAutospacing="0" w:after="0" w:afterAutospacing="0"/>
              <w:ind w:right="30"/>
              <w:jc w:val="both"/>
              <w:rPr>
                <w:b/>
                <w:sz w:val="28"/>
                <w:szCs w:val="28"/>
              </w:rPr>
            </w:pPr>
            <w:r w:rsidRPr="000501B7">
              <w:rPr>
                <w:color w:val="000000"/>
                <w:sz w:val="28"/>
                <w:szCs w:val="28"/>
                <w:lang w:val="uk-UA"/>
              </w:rPr>
              <w:t>1. Виключно на пленарних засіданнях сільської, селищної, міської ради вирішуються такі питання:</w:t>
            </w:r>
          </w:p>
        </w:tc>
      </w:tr>
      <w:tr w:rsidR="00FA4E6A" w:rsidRPr="000501B7" w14:paraId="33E771BA" w14:textId="77777777" w:rsidTr="00B13F68">
        <w:tc>
          <w:tcPr>
            <w:tcW w:w="7394" w:type="dxa"/>
          </w:tcPr>
          <w:p w14:paraId="57A81E71" w14:textId="07F4BD50" w:rsidR="00FA4E6A" w:rsidRPr="000501B7" w:rsidRDefault="00FA4E6A" w:rsidP="00067426">
            <w:pPr>
              <w:pStyle w:val="a6"/>
              <w:widowControl w:val="0"/>
              <w:spacing w:before="0" w:beforeAutospacing="0" w:after="0" w:afterAutospacing="0"/>
              <w:ind w:right="30"/>
              <w:jc w:val="both"/>
              <w:rPr>
                <w:color w:val="000000"/>
                <w:sz w:val="28"/>
                <w:szCs w:val="28"/>
                <w:lang w:val="uk-UA"/>
              </w:rPr>
            </w:pPr>
            <w:r w:rsidRPr="000501B7">
              <w:rPr>
                <w:color w:val="000000"/>
                <w:sz w:val="28"/>
                <w:szCs w:val="28"/>
                <w:lang w:val="uk-UA"/>
              </w:rPr>
              <w:t>…</w:t>
            </w:r>
          </w:p>
        </w:tc>
        <w:tc>
          <w:tcPr>
            <w:tcW w:w="7394" w:type="dxa"/>
          </w:tcPr>
          <w:p w14:paraId="67A4AF56" w14:textId="0322EE5E" w:rsidR="00FA4E6A" w:rsidRPr="000501B7" w:rsidRDefault="00FA4E6A" w:rsidP="008E1863">
            <w:pPr>
              <w:pStyle w:val="a6"/>
              <w:widowControl w:val="0"/>
              <w:spacing w:before="0" w:beforeAutospacing="0" w:after="0" w:afterAutospacing="0"/>
              <w:ind w:right="30"/>
              <w:jc w:val="both"/>
              <w:rPr>
                <w:color w:val="000000"/>
                <w:sz w:val="28"/>
                <w:szCs w:val="28"/>
                <w:lang w:val="uk-UA"/>
              </w:rPr>
            </w:pPr>
            <w:r w:rsidRPr="000501B7">
              <w:rPr>
                <w:color w:val="000000"/>
                <w:sz w:val="28"/>
                <w:szCs w:val="28"/>
                <w:lang w:val="uk-UA"/>
              </w:rPr>
              <w:t>…</w:t>
            </w:r>
          </w:p>
        </w:tc>
      </w:tr>
      <w:tr w:rsidR="00A50A8A" w:rsidRPr="000501B7" w14:paraId="41DF9428" w14:textId="77777777" w:rsidTr="00B13F68">
        <w:tc>
          <w:tcPr>
            <w:tcW w:w="7394" w:type="dxa"/>
          </w:tcPr>
          <w:p w14:paraId="0DF4850E" w14:textId="7F67E41C" w:rsidR="00A50A8A" w:rsidRPr="000501B7" w:rsidRDefault="00FA4E6A" w:rsidP="00A50A8A">
            <w:pPr>
              <w:pStyle w:val="a6"/>
              <w:widowControl w:val="0"/>
              <w:spacing w:before="0" w:beforeAutospacing="0" w:after="0" w:afterAutospacing="0"/>
              <w:ind w:right="30"/>
              <w:jc w:val="both"/>
              <w:rPr>
                <w:color w:val="000000"/>
                <w:sz w:val="28"/>
                <w:szCs w:val="28"/>
                <w:lang w:val="uk-UA"/>
              </w:rPr>
            </w:pPr>
            <w:r w:rsidRPr="000501B7">
              <w:rPr>
                <w:color w:val="000000"/>
                <w:sz w:val="28"/>
                <w:szCs w:val="28"/>
                <w:lang w:val="uk-UA"/>
              </w:rPr>
              <w:t>44-1) встановлення заборони продажу пива (крім безалкогольного), алкогольних, слабоалкогольних напоїв, вин столових суб’єктами господарювання (крім закладів ресторанного господарства) у визначений час доби в межах території відповідної адміністративно-територіальної одиниці;</w:t>
            </w:r>
          </w:p>
        </w:tc>
        <w:tc>
          <w:tcPr>
            <w:tcW w:w="7394" w:type="dxa"/>
          </w:tcPr>
          <w:p w14:paraId="58E0C482" w14:textId="359DD8C3" w:rsidR="00A50A8A" w:rsidRPr="000501B7" w:rsidRDefault="00FA4E6A" w:rsidP="00FA4E6A">
            <w:pPr>
              <w:pStyle w:val="a6"/>
              <w:widowControl w:val="0"/>
              <w:spacing w:before="0" w:beforeAutospacing="0" w:after="0" w:afterAutospacing="0"/>
              <w:ind w:right="30"/>
              <w:jc w:val="both"/>
              <w:rPr>
                <w:color w:val="000000"/>
                <w:sz w:val="28"/>
                <w:szCs w:val="28"/>
                <w:lang w:val="uk-UA"/>
              </w:rPr>
            </w:pPr>
            <w:bookmarkStart w:id="12" w:name="_Hlk70696137"/>
            <w:r w:rsidRPr="000501B7">
              <w:rPr>
                <w:color w:val="000000"/>
                <w:sz w:val="28"/>
                <w:szCs w:val="28"/>
                <w:lang w:val="uk-UA"/>
              </w:rPr>
              <w:t xml:space="preserve">44-1) встановлення заборони продажу пива (крім безалкогольного), алкогольних, слабоалкогольних напоїв, вин столових, </w:t>
            </w:r>
            <w:r w:rsidRPr="000501B7">
              <w:rPr>
                <w:b/>
                <w:sz w:val="28"/>
                <w:szCs w:val="28"/>
                <w:lang w:val="uk-UA"/>
              </w:rPr>
              <w:t>тютюнових виробів, електронних сигарет, рідин, що використовуються в електронних сигаретах, пристроїв для споживання тютюнових виробів без їх згоряння</w:t>
            </w:r>
            <w:r w:rsidRPr="000501B7">
              <w:rPr>
                <w:sz w:val="28"/>
                <w:szCs w:val="28"/>
                <w:lang w:val="uk-UA"/>
              </w:rPr>
              <w:t xml:space="preserve"> </w:t>
            </w:r>
            <w:r w:rsidRPr="000501B7">
              <w:rPr>
                <w:color w:val="000000"/>
                <w:sz w:val="28"/>
                <w:szCs w:val="28"/>
                <w:lang w:val="uk-UA"/>
              </w:rPr>
              <w:t xml:space="preserve">суб’єктами господарювання </w:t>
            </w:r>
            <w:r w:rsidR="00605F97" w:rsidRPr="000501B7">
              <w:rPr>
                <w:b/>
                <w:sz w:val="28"/>
                <w:szCs w:val="28"/>
                <w:lang w:val="uk-UA"/>
              </w:rPr>
              <w:t>(у тому числі іноземними суб’єктами господарювання, які діють через свої зареєстровані постійні представництва)</w:t>
            </w:r>
            <w:r w:rsidR="00605F97" w:rsidRPr="000501B7">
              <w:rPr>
                <w:sz w:val="28"/>
                <w:szCs w:val="28"/>
                <w:lang w:val="uk-UA"/>
              </w:rPr>
              <w:t xml:space="preserve"> </w:t>
            </w:r>
            <w:r w:rsidRPr="000501B7">
              <w:rPr>
                <w:color w:val="000000"/>
                <w:sz w:val="28"/>
                <w:szCs w:val="28"/>
                <w:lang w:val="uk-UA"/>
              </w:rPr>
              <w:t>(крім закладів ресторанного господарства) у визначений час доби в межах території відповідної адміністративно-територіальної одиниці;</w:t>
            </w:r>
            <w:bookmarkEnd w:id="12"/>
          </w:p>
        </w:tc>
      </w:tr>
      <w:tr w:rsidR="00A50A8A" w:rsidRPr="000501B7" w14:paraId="6F958F2F" w14:textId="77777777" w:rsidTr="00B13F68">
        <w:tc>
          <w:tcPr>
            <w:tcW w:w="7394" w:type="dxa"/>
          </w:tcPr>
          <w:p w14:paraId="39438FB5" w14:textId="12320CDB" w:rsidR="00A50A8A" w:rsidRPr="000501B7" w:rsidRDefault="00FA4E6A" w:rsidP="00A50A8A">
            <w:pPr>
              <w:pStyle w:val="a6"/>
              <w:widowControl w:val="0"/>
              <w:spacing w:before="0" w:beforeAutospacing="0" w:after="0" w:afterAutospacing="0"/>
              <w:ind w:right="30"/>
              <w:jc w:val="both"/>
              <w:rPr>
                <w:b/>
                <w:color w:val="000000"/>
                <w:sz w:val="28"/>
                <w:szCs w:val="28"/>
                <w:lang w:val="uk-UA"/>
              </w:rPr>
            </w:pPr>
            <w:r w:rsidRPr="000501B7">
              <w:rPr>
                <w:b/>
                <w:color w:val="000000"/>
                <w:sz w:val="28"/>
                <w:szCs w:val="28"/>
                <w:lang w:val="uk-UA"/>
              </w:rPr>
              <w:t>відсутня</w:t>
            </w:r>
          </w:p>
        </w:tc>
        <w:tc>
          <w:tcPr>
            <w:tcW w:w="7394" w:type="dxa"/>
          </w:tcPr>
          <w:p w14:paraId="6FC18EF0" w14:textId="64B8B475" w:rsidR="00A50A8A" w:rsidRPr="000501B7" w:rsidRDefault="002117BF" w:rsidP="002117BF">
            <w:pPr>
              <w:pStyle w:val="a7"/>
              <w:widowControl w:val="0"/>
              <w:ind w:firstLine="0"/>
              <w:rPr>
                <w:rFonts w:ascii="Times New Roman" w:hAnsi="Times New Roman"/>
                <w:b/>
                <w:sz w:val="28"/>
                <w:szCs w:val="28"/>
              </w:rPr>
            </w:pPr>
            <w:bookmarkStart w:id="13" w:name="_Hlk70696262"/>
            <w:r w:rsidRPr="000501B7">
              <w:rPr>
                <w:rFonts w:ascii="Times New Roman" w:hAnsi="Times New Roman"/>
                <w:b/>
                <w:sz w:val="28"/>
                <w:szCs w:val="28"/>
              </w:rPr>
              <w:t xml:space="preserve">44-2) встановлення в межах території відповідної адміністративно-територіальної одиниці </w:t>
            </w:r>
            <w:r w:rsidR="00684A7C" w:rsidRPr="000501B7">
              <w:rPr>
                <w:rFonts w:ascii="Times New Roman" w:hAnsi="Times New Roman"/>
                <w:b/>
                <w:sz w:val="28"/>
                <w:szCs w:val="28"/>
              </w:rPr>
              <w:t xml:space="preserve">постійних або тимчасових </w:t>
            </w:r>
            <w:r w:rsidRPr="000501B7">
              <w:rPr>
                <w:rFonts w:ascii="Times New Roman" w:hAnsi="Times New Roman"/>
                <w:b/>
                <w:sz w:val="28"/>
                <w:szCs w:val="28"/>
              </w:rPr>
              <w:t>додаткових обмежень щодо місць торгівлі пивом (крім безалкогольного), алкогольними, слабоалкогольними  напоями, винами столовими, тютюновими виробами, електронними сигаретами, рідинами, що використовуються в електронних сигаретах, пристроями для споживання тютюнових виробів без їх згоряння;</w:t>
            </w:r>
            <w:bookmarkEnd w:id="13"/>
          </w:p>
        </w:tc>
      </w:tr>
      <w:tr w:rsidR="007D6D14" w:rsidRPr="000501B7" w14:paraId="5020B7E9" w14:textId="77777777" w:rsidTr="00B13F68">
        <w:tc>
          <w:tcPr>
            <w:tcW w:w="7394" w:type="dxa"/>
          </w:tcPr>
          <w:p w14:paraId="23DC31B7" w14:textId="507CA323" w:rsidR="007D6D14" w:rsidRPr="000501B7" w:rsidRDefault="007D6D14" w:rsidP="007D6D14">
            <w:pPr>
              <w:widowControl w:val="0"/>
              <w:jc w:val="both"/>
              <w:rPr>
                <w:color w:val="000000"/>
                <w:sz w:val="28"/>
                <w:szCs w:val="28"/>
              </w:rPr>
            </w:pPr>
            <w:r w:rsidRPr="000501B7">
              <w:rPr>
                <w:b/>
                <w:bCs/>
                <w:color w:val="000000"/>
                <w:sz w:val="28"/>
                <w:szCs w:val="28"/>
              </w:rPr>
              <w:t>Стаття 30.</w:t>
            </w:r>
            <w:r w:rsidRPr="000501B7">
              <w:rPr>
                <w:bCs/>
                <w:color w:val="000000"/>
                <w:sz w:val="28"/>
                <w:szCs w:val="28"/>
              </w:rPr>
              <w:t xml:space="preserve"> Повноваження в галузі житлово-комунального </w:t>
            </w:r>
            <w:r w:rsidRPr="000501B7">
              <w:rPr>
                <w:bCs/>
                <w:color w:val="000000"/>
                <w:sz w:val="28"/>
                <w:szCs w:val="28"/>
              </w:rPr>
              <w:lastRenderedPageBreak/>
              <w:t>господарства, побутового, торговельного обслуговування, громадського харчування, транспорту і зв'язку</w:t>
            </w:r>
          </w:p>
        </w:tc>
        <w:tc>
          <w:tcPr>
            <w:tcW w:w="7394" w:type="dxa"/>
          </w:tcPr>
          <w:p w14:paraId="3476E44A" w14:textId="588B4B5B" w:rsidR="007D6D14" w:rsidRPr="000501B7" w:rsidRDefault="007D6D14" w:rsidP="007D6D14">
            <w:pPr>
              <w:widowControl w:val="0"/>
              <w:jc w:val="both"/>
              <w:rPr>
                <w:bCs/>
                <w:color w:val="000000"/>
                <w:sz w:val="28"/>
                <w:szCs w:val="28"/>
              </w:rPr>
            </w:pPr>
            <w:r w:rsidRPr="000501B7">
              <w:rPr>
                <w:b/>
                <w:bCs/>
                <w:color w:val="000000"/>
                <w:sz w:val="28"/>
                <w:szCs w:val="28"/>
              </w:rPr>
              <w:lastRenderedPageBreak/>
              <w:t>Стаття 30.</w:t>
            </w:r>
            <w:r w:rsidRPr="000501B7">
              <w:rPr>
                <w:bCs/>
                <w:color w:val="000000"/>
                <w:sz w:val="28"/>
                <w:szCs w:val="28"/>
              </w:rPr>
              <w:t xml:space="preserve"> Повноваження в галузі житлово-комунального </w:t>
            </w:r>
            <w:r w:rsidRPr="000501B7">
              <w:rPr>
                <w:bCs/>
                <w:color w:val="000000"/>
                <w:sz w:val="28"/>
                <w:szCs w:val="28"/>
              </w:rPr>
              <w:lastRenderedPageBreak/>
              <w:t>господарства, побутового, торговельного обслуговування, громадського харчування, транспорту і зв'язку</w:t>
            </w:r>
          </w:p>
        </w:tc>
      </w:tr>
      <w:tr w:rsidR="007D6D14" w:rsidRPr="000501B7" w14:paraId="6E993F45" w14:textId="77777777" w:rsidTr="00B13F68">
        <w:tc>
          <w:tcPr>
            <w:tcW w:w="7394" w:type="dxa"/>
          </w:tcPr>
          <w:p w14:paraId="72D6D37F" w14:textId="77777777" w:rsidR="007D6D14" w:rsidRPr="000501B7" w:rsidRDefault="007D6D14" w:rsidP="007D6D14">
            <w:pPr>
              <w:pStyle w:val="a6"/>
              <w:widowControl w:val="0"/>
              <w:ind w:right="30"/>
              <w:jc w:val="both"/>
              <w:rPr>
                <w:color w:val="000000"/>
                <w:sz w:val="28"/>
                <w:szCs w:val="28"/>
                <w:lang w:val="uk-UA"/>
              </w:rPr>
            </w:pPr>
            <w:r w:rsidRPr="000501B7">
              <w:rPr>
                <w:color w:val="000000"/>
                <w:sz w:val="28"/>
                <w:szCs w:val="28"/>
                <w:lang w:val="uk-UA"/>
              </w:rPr>
              <w:lastRenderedPageBreak/>
              <w:t>До відання виконавчих органів сільських, селищних, міських рад належать:</w:t>
            </w:r>
          </w:p>
          <w:p w14:paraId="2AC9DBD3" w14:textId="367CAF7D" w:rsidR="007D6D14" w:rsidRPr="000501B7" w:rsidRDefault="007D6D14" w:rsidP="007D6D14">
            <w:pPr>
              <w:widowControl w:val="0"/>
              <w:jc w:val="both"/>
              <w:rPr>
                <w:bCs/>
                <w:color w:val="000000"/>
                <w:sz w:val="28"/>
                <w:szCs w:val="28"/>
              </w:rPr>
            </w:pPr>
            <w:r w:rsidRPr="000501B7">
              <w:rPr>
                <w:color w:val="000000"/>
                <w:sz w:val="28"/>
                <w:szCs w:val="28"/>
              </w:rPr>
              <w:t>а) власні (самоврядні) повноваження:</w:t>
            </w:r>
          </w:p>
        </w:tc>
        <w:tc>
          <w:tcPr>
            <w:tcW w:w="7394" w:type="dxa"/>
          </w:tcPr>
          <w:p w14:paraId="68652E17" w14:textId="77FA828A" w:rsidR="007D6D14" w:rsidRPr="000501B7" w:rsidRDefault="007D6D14" w:rsidP="007D6D14">
            <w:pPr>
              <w:widowControl w:val="0"/>
              <w:jc w:val="both"/>
              <w:rPr>
                <w:bCs/>
                <w:color w:val="000000"/>
                <w:sz w:val="28"/>
                <w:szCs w:val="28"/>
              </w:rPr>
            </w:pPr>
            <w:r w:rsidRPr="000501B7">
              <w:rPr>
                <w:bCs/>
                <w:color w:val="000000"/>
                <w:sz w:val="28"/>
                <w:szCs w:val="28"/>
              </w:rPr>
              <w:t>До відання виконавчих органів сільських, селищних, міських рад належать:</w:t>
            </w:r>
          </w:p>
          <w:p w14:paraId="606EEABB" w14:textId="77777777" w:rsidR="007D6D14" w:rsidRPr="000501B7" w:rsidRDefault="007D6D14" w:rsidP="007D6D14">
            <w:pPr>
              <w:widowControl w:val="0"/>
              <w:jc w:val="both"/>
              <w:rPr>
                <w:bCs/>
                <w:color w:val="000000"/>
                <w:sz w:val="28"/>
                <w:szCs w:val="28"/>
              </w:rPr>
            </w:pPr>
          </w:p>
          <w:p w14:paraId="186B7CA3" w14:textId="0CA626D6" w:rsidR="007D6D14" w:rsidRPr="000501B7" w:rsidRDefault="007D6D14" w:rsidP="007D6D14">
            <w:pPr>
              <w:widowControl w:val="0"/>
              <w:jc w:val="both"/>
              <w:rPr>
                <w:bCs/>
                <w:color w:val="000000"/>
                <w:sz w:val="28"/>
                <w:szCs w:val="28"/>
              </w:rPr>
            </w:pPr>
            <w:r w:rsidRPr="000501B7">
              <w:rPr>
                <w:bCs/>
                <w:color w:val="000000"/>
                <w:sz w:val="28"/>
                <w:szCs w:val="28"/>
              </w:rPr>
              <w:t>а) власні (самоврядні) повноваження:</w:t>
            </w:r>
          </w:p>
        </w:tc>
      </w:tr>
      <w:tr w:rsidR="007D6D14" w:rsidRPr="000501B7" w14:paraId="5B5A797E" w14:textId="77777777" w:rsidTr="00B13F68">
        <w:tc>
          <w:tcPr>
            <w:tcW w:w="7394" w:type="dxa"/>
          </w:tcPr>
          <w:p w14:paraId="635CE5E1" w14:textId="5D2CAA98" w:rsidR="007D6D14" w:rsidRPr="000501B7" w:rsidRDefault="007D6D14" w:rsidP="007D6D14">
            <w:pPr>
              <w:widowControl w:val="0"/>
              <w:jc w:val="both"/>
              <w:rPr>
                <w:bCs/>
                <w:color w:val="000000"/>
                <w:sz w:val="28"/>
                <w:szCs w:val="28"/>
              </w:rPr>
            </w:pPr>
            <w:r w:rsidRPr="000501B7">
              <w:rPr>
                <w:color w:val="000000"/>
                <w:sz w:val="28"/>
                <w:szCs w:val="28"/>
              </w:rPr>
              <w:t>…</w:t>
            </w:r>
          </w:p>
        </w:tc>
        <w:tc>
          <w:tcPr>
            <w:tcW w:w="7394" w:type="dxa"/>
          </w:tcPr>
          <w:p w14:paraId="7DEBD515" w14:textId="159974AB" w:rsidR="007D6D14" w:rsidRPr="000501B7" w:rsidRDefault="007D6D14" w:rsidP="007D6D14">
            <w:pPr>
              <w:pStyle w:val="a7"/>
              <w:widowControl w:val="0"/>
              <w:rPr>
                <w:rFonts w:ascii="Times New Roman" w:hAnsi="Times New Roman"/>
                <w:b/>
                <w:bCs/>
                <w:color w:val="000000"/>
                <w:sz w:val="28"/>
                <w:szCs w:val="28"/>
              </w:rPr>
            </w:pPr>
            <w:r w:rsidRPr="000501B7">
              <w:rPr>
                <w:rFonts w:ascii="Times New Roman" w:hAnsi="Times New Roman"/>
                <w:b/>
                <w:sz w:val="28"/>
                <w:szCs w:val="28"/>
              </w:rPr>
              <w:t>…</w:t>
            </w:r>
          </w:p>
        </w:tc>
      </w:tr>
      <w:tr w:rsidR="007D6D14" w:rsidRPr="000501B7" w14:paraId="4FE304A9" w14:textId="77777777" w:rsidTr="00B13F68">
        <w:tc>
          <w:tcPr>
            <w:tcW w:w="7394" w:type="dxa"/>
          </w:tcPr>
          <w:p w14:paraId="547E6617" w14:textId="3B1D89BB" w:rsidR="007D6D14" w:rsidRPr="000501B7" w:rsidRDefault="007D6D14" w:rsidP="007D6D14">
            <w:pPr>
              <w:widowControl w:val="0"/>
              <w:jc w:val="both"/>
              <w:rPr>
                <w:b/>
                <w:bCs/>
                <w:color w:val="000000"/>
                <w:sz w:val="28"/>
                <w:szCs w:val="28"/>
              </w:rPr>
            </w:pPr>
            <w:bookmarkStart w:id="14" w:name="n3900"/>
            <w:bookmarkStart w:id="15" w:name="n3901"/>
            <w:bookmarkStart w:id="16" w:name="n3902"/>
            <w:bookmarkEnd w:id="14"/>
            <w:bookmarkEnd w:id="15"/>
            <w:bookmarkEnd w:id="16"/>
            <w:r w:rsidRPr="000501B7">
              <w:rPr>
                <w:b/>
                <w:color w:val="000000"/>
                <w:sz w:val="28"/>
                <w:szCs w:val="28"/>
              </w:rPr>
              <w:t>відсутня</w:t>
            </w:r>
          </w:p>
        </w:tc>
        <w:tc>
          <w:tcPr>
            <w:tcW w:w="7394" w:type="dxa"/>
          </w:tcPr>
          <w:p w14:paraId="1CF3CBED" w14:textId="67256BB2" w:rsidR="007D6D14" w:rsidRPr="000501B7" w:rsidRDefault="007D6D14" w:rsidP="003421D9">
            <w:pPr>
              <w:pStyle w:val="a6"/>
              <w:widowControl w:val="0"/>
              <w:spacing w:before="0" w:beforeAutospacing="0" w:after="0" w:afterAutospacing="0"/>
              <w:ind w:firstLine="547"/>
              <w:jc w:val="both"/>
              <w:rPr>
                <w:b/>
                <w:bCs/>
                <w:color w:val="000000"/>
                <w:sz w:val="28"/>
                <w:szCs w:val="28"/>
                <w:shd w:val="clear" w:color="auto" w:fill="FF0000"/>
                <w:lang w:val="uk-UA"/>
              </w:rPr>
            </w:pPr>
            <w:bookmarkStart w:id="17" w:name="_Hlk70696683"/>
            <w:r w:rsidRPr="000501B7">
              <w:rPr>
                <w:b/>
                <w:sz w:val="28"/>
                <w:szCs w:val="28"/>
                <w:lang w:val="uk-UA"/>
              </w:rPr>
              <w:t>23) здійснення погодження суб'єктам господарювання (у тому числі іноземним суб’єктам господарювання, які діють через свої зареєстровані постійні представництва) отримання ліцензії на  роздрібну торгівлю алкогольними напоями, тютюновими виробами, рідинами, що використовуються в електронних сигаретах, нада</w:t>
            </w:r>
            <w:r w:rsidR="003421D9" w:rsidRPr="000501B7">
              <w:rPr>
                <w:b/>
                <w:sz w:val="28"/>
                <w:szCs w:val="28"/>
                <w:lang w:val="uk-UA"/>
              </w:rPr>
              <w:t>ння</w:t>
            </w:r>
            <w:r w:rsidRPr="000501B7">
              <w:rPr>
                <w:b/>
                <w:sz w:val="28"/>
                <w:szCs w:val="28"/>
                <w:lang w:val="uk-UA"/>
              </w:rPr>
              <w:t xml:space="preserve"> або </w:t>
            </w:r>
            <w:r w:rsidR="003421D9" w:rsidRPr="000501B7">
              <w:rPr>
                <w:b/>
                <w:sz w:val="28"/>
                <w:szCs w:val="28"/>
                <w:lang w:val="uk-UA"/>
              </w:rPr>
              <w:t xml:space="preserve">надання </w:t>
            </w:r>
            <w:r w:rsidRPr="000501B7">
              <w:rPr>
                <w:b/>
                <w:sz w:val="28"/>
                <w:szCs w:val="28"/>
                <w:lang w:val="uk-UA"/>
              </w:rPr>
              <w:t>відмов</w:t>
            </w:r>
            <w:r w:rsidR="003421D9" w:rsidRPr="000501B7">
              <w:rPr>
                <w:b/>
                <w:sz w:val="28"/>
                <w:szCs w:val="28"/>
                <w:lang w:val="uk-UA"/>
              </w:rPr>
              <w:t>и</w:t>
            </w:r>
            <w:r w:rsidRPr="000501B7">
              <w:rPr>
                <w:b/>
                <w:sz w:val="28"/>
                <w:szCs w:val="28"/>
                <w:lang w:val="uk-UA"/>
              </w:rPr>
              <w:t xml:space="preserve"> у наданні листа-погодження для отримання такої ліцензії, здійсн</w:t>
            </w:r>
            <w:r w:rsidR="003421D9" w:rsidRPr="000501B7">
              <w:rPr>
                <w:b/>
                <w:sz w:val="28"/>
                <w:szCs w:val="28"/>
                <w:lang w:val="uk-UA"/>
              </w:rPr>
              <w:t>ення</w:t>
            </w:r>
            <w:r w:rsidRPr="000501B7">
              <w:rPr>
                <w:b/>
                <w:sz w:val="28"/>
                <w:szCs w:val="28"/>
                <w:lang w:val="uk-UA"/>
              </w:rPr>
              <w:t xml:space="preserve"> облік</w:t>
            </w:r>
            <w:r w:rsidR="003421D9" w:rsidRPr="000501B7">
              <w:rPr>
                <w:b/>
                <w:sz w:val="28"/>
                <w:szCs w:val="28"/>
                <w:lang w:val="uk-UA"/>
              </w:rPr>
              <w:t>у</w:t>
            </w:r>
            <w:r w:rsidRPr="000501B7">
              <w:rPr>
                <w:b/>
                <w:sz w:val="28"/>
                <w:szCs w:val="28"/>
                <w:lang w:val="uk-UA"/>
              </w:rPr>
              <w:t xml:space="preserve"> листів-погоджень в порядку, визначеному законодавством.</w:t>
            </w:r>
            <w:bookmarkEnd w:id="17"/>
          </w:p>
        </w:tc>
      </w:tr>
    </w:tbl>
    <w:p w14:paraId="399C094D" w14:textId="77777777" w:rsidR="00B640EA" w:rsidRPr="000501B7" w:rsidRDefault="00B640EA" w:rsidP="00B640EA">
      <w:pPr>
        <w:jc w:val="center"/>
        <w:rPr>
          <w:sz w:val="28"/>
          <w:szCs w:val="28"/>
        </w:rPr>
      </w:pPr>
    </w:p>
    <w:p w14:paraId="321D9721" w14:textId="60B7C329" w:rsidR="00B640EA" w:rsidRPr="000501B7" w:rsidRDefault="00FC7FD6" w:rsidP="0095083D">
      <w:pPr>
        <w:spacing w:before="240"/>
        <w:ind w:left="284"/>
        <w:rPr>
          <w:b/>
          <w:sz w:val="28"/>
          <w:szCs w:val="28"/>
        </w:rPr>
      </w:pPr>
      <w:r>
        <w:rPr>
          <w:b/>
          <w:sz w:val="28"/>
          <w:szCs w:val="28"/>
        </w:rPr>
        <w:t>Народні</w:t>
      </w:r>
      <w:r w:rsidR="00B640EA" w:rsidRPr="000501B7">
        <w:rPr>
          <w:b/>
          <w:sz w:val="28"/>
          <w:szCs w:val="28"/>
        </w:rPr>
        <w:t xml:space="preserve"> депутат</w:t>
      </w:r>
      <w:r>
        <w:rPr>
          <w:b/>
          <w:sz w:val="28"/>
          <w:szCs w:val="28"/>
        </w:rPr>
        <w:t>и</w:t>
      </w:r>
      <w:r w:rsidR="00B640EA" w:rsidRPr="000501B7">
        <w:rPr>
          <w:b/>
          <w:sz w:val="28"/>
          <w:szCs w:val="28"/>
        </w:rPr>
        <w:t xml:space="preserve"> України  </w:t>
      </w:r>
    </w:p>
    <w:p w14:paraId="27A4CD6E" w14:textId="04C6E699" w:rsidR="0095083D" w:rsidRPr="000501B7" w:rsidRDefault="0095083D" w:rsidP="0095083D">
      <w:pPr>
        <w:shd w:val="clear" w:color="auto" w:fill="FFFFFF"/>
        <w:spacing w:before="240"/>
        <w:ind w:left="284"/>
        <w:rPr>
          <w:b/>
          <w:bCs/>
          <w:color w:val="000000"/>
          <w:sz w:val="28"/>
          <w:szCs w:val="28"/>
        </w:rPr>
      </w:pPr>
    </w:p>
    <w:p w14:paraId="435B7BAF" w14:textId="77777777" w:rsidR="0095083D" w:rsidRPr="000501B7" w:rsidRDefault="0095083D" w:rsidP="00B640EA">
      <w:pPr>
        <w:ind w:left="284"/>
        <w:rPr>
          <w:sz w:val="28"/>
          <w:szCs w:val="28"/>
        </w:rPr>
      </w:pPr>
    </w:p>
    <w:p w14:paraId="343BA3C2" w14:textId="77777777" w:rsidR="00B640EA" w:rsidRPr="000501B7" w:rsidRDefault="00B640EA" w:rsidP="00B640EA">
      <w:pPr>
        <w:jc w:val="center"/>
        <w:rPr>
          <w:sz w:val="28"/>
          <w:szCs w:val="28"/>
        </w:rPr>
      </w:pPr>
    </w:p>
    <w:sectPr w:rsidR="00B640EA" w:rsidRPr="000501B7" w:rsidSect="00A63936">
      <w:footerReference w:type="default" r:id="rId10"/>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8A2E8" w14:textId="77777777" w:rsidR="00510BBA" w:rsidRDefault="00510BBA" w:rsidP="00A63936">
      <w:r>
        <w:separator/>
      </w:r>
    </w:p>
  </w:endnote>
  <w:endnote w:type="continuationSeparator" w:id="0">
    <w:p w14:paraId="731199CB" w14:textId="77777777" w:rsidR="00510BBA" w:rsidRDefault="00510BBA" w:rsidP="00A63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6392881"/>
      <w:docPartObj>
        <w:docPartGallery w:val="Page Numbers (Bottom of Page)"/>
        <w:docPartUnique/>
      </w:docPartObj>
    </w:sdtPr>
    <w:sdtEndPr/>
    <w:sdtContent>
      <w:p w14:paraId="69EF96EB" w14:textId="1FC7DD0B" w:rsidR="00A63936" w:rsidRDefault="00A63936">
        <w:pPr>
          <w:pStyle w:val="ab"/>
          <w:jc w:val="right"/>
        </w:pPr>
        <w:r>
          <w:fldChar w:fldCharType="begin"/>
        </w:r>
        <w:r>
          <w:instrText>PAGE   \* MERGEFORMAT</w:instrText>
        </w:r>
        <w:r>
          <w:fldChar w:fldCharType="separate"/>
        </w:r>
        <w:r w:rsidR="003C0E99">
          <w:rPr>
            <w:noProof/>
          </w:rPr>
          <w:t>7</w:t>
        </w:r>
        <w:r>
          <w:fldChar w:fldCharType="end"/>
        </w:r>
      </w:p>
    </w:sdtContent>
  </w:sdt>
  <w:p w14:paraId="43D1118C" w14:textId="77777777" w:rsidR="00A63936" w:rsidRDefault="00A6393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77D33" w14:textId="77777777" w:rsidR="00510BBA" w:rsidRDefault="00510BBA" w:rsidP="00A63936">
      <w:r>
        <w:separator/>
      </w:r>
    </w:p>
  </w:footnote>
  <w:footnote w:type="continuationSeparator" w:id="0">
    <w:p w14:paraId="292A0593" w14:textId="77777777" w:rsidR="00510BBA" w:rsidRDefault="00510BBA" w:rsidP="00A639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67621C"/>
    <w:multiLevelType w:val="hybridMultilevel"/>
    <w:tmpl w:val="05BAE966"/>
    <w:lvl w:ilvl="0" w:tplc="90D4853E">
      <w:numFmt w:val="bullet"/>
      <w:lvlText w:val="-"/>
      <w:lvlJc w:val="left"/>
      <w:pPr>
        <w:ind w:left="784" w:hanging="360"/>
      </w:pPr>
      <w:rPr>
        <w:rFonts w:ascii="Times New Roman" w:eastAsia="Times New Roman" w:hAnsi="Times New Roman" w:cs="Times New Roman" w:hint="default"/>
      </w:rPr>
    </w:lvl>
    <w:lvl w:ilvl="1" w:tplc="04220003" w:tentative="1">
      <w:start w:val="1"/>
      <w:numFmt w:val="bullet"/>
      <w:lvlText w:val="o"/>
      <w:lvlJc w:val="left"/>
      <w:pPr>
        <w:ind w:left="1504" w:hanging="360"/>
      </w:pPr>
      <w:rPr>
        <w:rFonts w:ascii="Courier New" w:hAnsi="Courier New" w:cs="Courier New" w:hint="default"/>
      </w:rPr>
    </w:lvl>
    <w:lvl w:ilvl="2" w:tplc="04220005" w:tentative="1">
      <w:start w:val="1"/>
      <w:numFmt w:val="bullet"/>
      <w:lvlText w:val=""/>
      <w:lvlJc w:val="left"/>
      <w:pPr>
        <w:ind w:left="2224" w:hanging="360"/>
      </w:pPr>
      <w:rPr>
        <w:rFonts w:ascii="Wingdings" w:hAnsi="Wingdings" w:hint="default"/>
      </w:rPr>
    </w:lvl>
    <w:lvl w:ilvl="3" w:tplc="04220001" w:tentative="1">
      <w:start w:val="1"/>
      <w:numFmt w:val="bullet"/>
      <w:lvlText w:val=""/>
      <w:lvlJc w:val="left"/>
      <w:pPr>
        <w:ind w:left="2944" w:hanging="360"/>
      </w:pPr>
      <w:rPr>
        <w:rFonts w:ascii="Symbol" w:hAnsi="Symbol" w:hint="default"/>
      </w:rPr>
    </w:lvl>
    <w:lvl w:ilvl="4" w:tplc="04220003" w:tentative="1">
      <w:start w:val="1"/>
      <w:numFmt w:val="bullet"/>
      <w:lvlText w:val="o"/>
      <w:lvlJc w:val="left"/>
      <w:pPr>
        <w:ind w:left="3664" w:hanging="360"/>
      </w:pPr>
      <w:rPr>
        <w:rFonts w:ascii="Courier New" w:hAnsi="Courier New" w:cs="Courier New" w:hint="default"/>
      </w:rPr>
    </w:lvl>
    <w:lvl w:ilvl="5" w:tplc="04220005" w:tentative="1">
      <w:start w:val="1"/>
      <w:numFmt w:val="bullet"/>
      <w:lvlText w:val=""/>
      <w:lvlJc w:val="left"/>
      <w:pPr>
        <w:ind w:left="4384" w:hanging="360"/>
      </w:pPr>
      <w:rPr>
        <w:rFonts w:ascii="Wingdings" w:hAnsi="Wingdings" w:hint="default"/>
      </w:rPr>
    </w:lvl>
    <w:lvl w:ilvl="6" w:tplc="04220001" w:tentative="1">
      <w:start w:val="1"/>
      <w:numFmt w:val="bullet"/>
      <w:lvlText w:val=""/>
      <w:lvlJc w:val="left"/>
      <w:pPr>
        <w:ind w:left="5104" w:hanging="360"/>
      </w:pPr>
      <w:rPr>
        <w:rFonts w:ascii="Symbol" w:hAnsi="Symbol" w:hint="default"/>
      </w:rPr>
    </w:lvl>
    <w:lvl w:ilvl="7" w:tplc="04220003" w:tentative="1">
      <w:start w:val="1"/>
      <w:numFmt w:val="bullet"/>
      <w:lvlText w:val="o"/>
      <w:lvlJc w:val="left"/>
      <w:pPr>
        <w:ind w:left="5824" w:hanging="360"/>
      </w:pPr>
      <w:rPr>
        <w:rFonts w:ascii="Courier New" w:hAnsi="Courier New" w:cs="Courier New" w:hint="default"/>
      </w:rPr>
    </w:lvl>
    <w:lvl w:ilvl="8" w:tplc="04220005" w:tentative="1">
      <w:start w:val="1"/>
      <w:numFmt w:val="bullet"/>
      <w:lvlText w:val=""/>
      <w:lvlJc w:val="left"/>
      <w:pPr>
        <w:ind w:left="654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0EA"/>
    <w:rsid w:val="00016FEF"/>
    <w:rsid w:val="00041FA7"/>
    <w:rsid w:val="000462F7"/>
    <w:rsid w:val="000501B7"/>
    <w:rsid w:val="000513FC"/>
    <w:rsid w:val="000610BB"/>
    <w:rsid w:val="00067426"/>
    <w:rsid w:val="000861D4"/>
    <w:rsid w:val="000A72DA"/>
    <w:rsid w:val="000B3478"/>
    <w:rsid w:val="000B3EDB"/>
    <w:rsid w:val="000B47FE"/>
    <w:rsid w:val="00111853"/>
    <w:rsid w:val="00126C8A"/>
    <w:rsid w:val="00126FED"/>
    <w:rsid w:val="0013613C"/>
    <w:rsid w:val="00140BDF"/>
    <w:rsid w:val="00160CB7"/>
    <w:rsid w:val="00163F6C"/>
    <w:rsid w:val="00171ADB"/>
    <w:rsid w:val="0017512E"/>
    <w:rsid w:val="0018602F"/>
    <w:rsid w:val="001B163B"/>
    <w:rsid w:val="001D46B5"/>
    <w:rsid w:val="002117BF"/>
    <w:rsid w:val="00230453"/>
    <w:rsid w:val="00243193"/>
    <w:rsid w:val="00247BFA"/>
    <w:rsid w:val="00257F2A"/>
    <w:rsid w:val="0026054D"/>
    <w:rsid w:val="002A2278"/>
    <w:rsid w:val="00315A28"/>
    <w:rsid w:val="003421D9"/>
    <w:rsid w:val="00372267"/>
    <w:rsid w:val="003C0E99"/>
    <w:rsid w:val="003D1B19"/>
    <w:rsid w:val="003F0646"/>
    <w:rsid w:val="003F7719"/>
    <w:rsid w:val="004108AF"/>
    <w:rsid w:val="004212DA"/>
    <w:rsid w:val="00426E8C"/>
    <w:rsid w:val="00437758"/>
    <w:rsid w:val="0046109A"/>
    <w:rsid w:val="00463E75"/>
    <w:rsid w:val="0047420E"/>
    <w:rsid w:val="00484A0A"/>
    <w:rsid w:val="00492A1A"/>
    <w:rsid w:val="004A4835"/>
    <w:rsid w:val="004C3F18"/>
    <w:rsid w:val="004D031F"/>
    <w:rsid w:val="00510BBA"/>
    <w:rsid w:val="00535037"/>
    <w:rsid w:val="00552A47"/>
    <w:rsid w:val="005674BB"/>
    <w:rsid w:val="00586C70"/>
    <w:rsid w:val="0059653C"/>
    <w:rsid w:val="005B66C9"/>
    <w:rsid w:val="005C2EA5"/>
    <w:rsid w:val="00605F97"/>
    <w:rsid w:val="00622440"/>
    <w:rsid w:val="0062671C"/>
    <w:rsid w:val="00644F30"/>
    <w:rsid w:val="00667108"/>
    <w:rsid w:val="00684A7C"/>
    <w:rsid w:val="00684F47"/>
    <w:rsid w:val="006C47BC"/>
    <w:rsid w:val="006F3B99"/>
    <w:rsid w:val="006F4F91"/>
    <w:rsid w:val="006F7661"/>
    <w:rsid w:val="00704CDD"/>
    <w:rsid w:val="00725680"/>
    <w:rsid w:val="00750AEB"/>
    <w:rsid w:val="00765369"/>
    <w:rsid w:val="007765BE"/>
    <w:rsid w:val="0079093F"/>
    <w:rsid w:val="00796741"/>
    <w:rsid w:val="007A72C1"/>
    <w:rsid w:val="007D2243"/>
    <w:rsid w:val="007D6D14"/>
    <w:rsid w:val="007F28B4"/>
    <w:rsid w:val="00887792"/>
    <w:rsid w:val="008945AB"/>
    <w:rsid w:val="008B489F"/>
    <w:rsid w:val="008D7823"/>
    <w:rsid w:val="008E1863"/>
    <w:rsid w:val="008E236D"/>
    <w:rsid w:val="008E3E77"/>
    <w:rsid w:val="008F7C68"/>
    <w:rsid w:val="00915028"/>
    <w:rsid w:val="0095083D"/>
    <w:rsid w:val="00962C8D"/>
    <w:rsid w:val="009D3091"/>
    <w:rsid w:val="009D496C"/>
    <w:rsid w:val="00A50A8A"/>
    <w:rsid w:val="00A5102E"/>
    <w:rsid w:val="00A62D73"/>
    <w:rsid w:val="00A63936"/>
    <w:rsid w:val="00AC2726"/>
    <w:rsid w:val="00AC3084"/>
    <w:rsid w:val="00AD59CD"/>
    <w:rsid w:val="00AF6B4F"/>
    <w:rsid w:val="00B0615C"/>
    <w:rsid w:val="00B1357F"/>
    <w:rsid w:val="00B13F68"/>
    <w:rsid w:val="00B27761"/>
    <w:rsid w:val="00B53A2E"/>
    <w:rsid w:val="00B55349"/>
    <w:rsid w:val="00B640EA"/>
    <w:rsid w:val="00B838B3"/>
    <w:rsid w:val="00B9069D"/>
    <w:rsid w:val="00B97CF6"/>
    <w:rsid w:val="00BF0930"/>
    <w:rsid w:val="00C137C9"/>
    <w:rsid w:val="00C23944"/>
    <w:rsid w:val="00C521F2"/>
    <w:rsid w:val="00C85BF0"/>
    <w:rsid w:val="00C94150"/>
    <w:rsid w:val="00CC3407"/>
    <w:rsid w:val="00CF3C2B"/>
    <w:rsid w:val="00D004FA"/>
    <w:rsid w:val="00D23DE6"/>
    <w:rsid w:val="00D33708"/>
    <w:rsid w:val="00DC734E"/>
    <w:rsid w:val="00DD5AB8"/>
    <w:rsid w:val="00E43C4A"/>
    <w:rsid w:val="00E4529B"/>
    <w:rsid w:val="00E567A8"/>
    <w:rsid w:val="00E57B55"/>
    <w:rsid w:val="00E75BDA"/>
    <w:rsid w:val="00EA11A9"/>
    <w:rsid w:val="00EB0CD6"/>
    <w:rsid w:val="00EC0BFA"/>
    <w:rsid w:val="00EC314C"/>
    <w:rsid w:val="00F549E3"/>
    <w:rsid w:val="00F6159A"/>
    <w:rsid w:val="00F64132"/>
    <w:rsid w:val="00F854FA"/>
    <w:rsid w:val="00F95425"/>
    <w:rsid w:val="00FA4E6A"/>
    <w:rsid w:val="00FC7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A17CF"/>
  <w15:docId w15:val="{BCB0CAEE-7E5B-4432-B461-4FDAD1878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653C"/>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uiPriority w:val="99"/>
    <w:rsid w:val="00B640EA"/>
    <w:rPr>
      <w:rFonts w:ascii="Verdana" w:hAnsi="Verdana" w:cs="Verdana"/>
      <w:sz w:val="20"/>
      <w:szCs w:val="20"/>
      <w:lang w:val="en-US" w:eastAsia="en-US"/>
    </w:rPr>
  </w:style>
  <w:style w:type="table" w:styleId="a4">
    <w:name w:val="Table Grid"/>
    <w:basedOn w:val="a1"/>
    <w:uiPriority w:val="59"/>
    <w:rsid w:val="00B640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rvts15">
    <w:name w:val="rvts15"/>
    <w:basedOn w:val="a0"/>
    <w:uiPriority w:val="99"/>
    <w:rsid w:val="00B640EA"/>
    <w:rPr>
      <w:rFonts w:cs="Times New Roman"/>
    </w:rPr>
  </w:style>
  <w:style w:type="character" w:styleId="a5">
    <w:name w:val="Hyperlink"/>
    <w:basedOn w:val="a0"/>
    <w:uiPriority w:val="99"/>
    <w:rsid w:val="00B640EA"/>
    <w:rPr>
      <w:rFonts w:cs="Times New Roman"/>
      <w:color w:val="auto"/>
      <w:u w:val="none"/>
      <w:effect w:val="none"/>
    </w:rPr>
  </w:style>
  <w:style w:type="paragraph" w:styleId="a6">
    <w:name w:val="Normal (Web)"/>
    <w:basedOn w:val="a"/>
    <w:uiPriority w:val="99"/>
    <w:rsid w:val="00B640EA"/>
    <w:pPr>
      <w:spacing w:before="100" w:beforeAutospacing="1" w:after="100" w:afterAutospacing="1"/>
    </w:pPr>
    <w:rPr>
      <w:lang w:val="ru-RU" w:eastAsia="ru-RU"/>
    </w:rPr>
  </w:style>
  <w:style w:type="paragraph" w:customStyle="1" w:styleId="a7">
    <w:name w:val="Нормальний текст"/>
    <w:basedOn w:val="a"/>
    <w:rsid w:val="00B640EA"/>
    <w:pPr>
      <w:spacing w:before="120"/>
      <w:ind w:firstLine="567"/>
      <w:jc w:val="both"/>
    </w:pPr>
    <w:rPr>
      <w:rFonts w:ascii="Antiqua" w:hAnsi="Antiqua"/>
      <w:sz w:val="26"/>
      <w:szCs w:val="20"/>
      <w:lang w:eastAsia="ru-RU"/>
    </w:rPr>
  </w:style>
  <w:style w:type="paragraph" w:customStyle="1" w:styleId="rvps2">
    <w:name w:val="rvps2"/>
    <w:basedOn w:val="a"/>
    <w:rsid w:val="00B640EA"/>
    <w:pPr>
      <w:spacing w:before="100" w:beforeAutospacing="1" w:after="100" w:afterAutospacing="1"/>
    </w:pPr>
    <w:rPr>
      <w:lang w:val="ru-RU" w:eastAsia="ru-RU"/>
    </w:rPr>
  </w:style>
  <w:style w:type="character" w:customStyle="1" w:styleId="rvts9">
    <w:name w:val="rvts9"/>
    <w:basedOn w:val="a0"/>
    <w:rsid w:val="00463E75"/>
  </w:style>
  <w:style w:type="character" w:customStyle="1" w:styleId="rvts37">
    <w:name w:val="rvts37"/>
    <w:basedOn w:val="a0"/>
    <w:rsid w:val="00667108"/>
  </w:style>
  <w:style w:type="paragraph" w:styleId="a8">
    <w:name w:val="List Paragraph"/>
    <w:basedOn w:val="a"/>
    <w:uiPriority w:val="34"/>
    <w:qFormat/>
    <w:rsid w:val="00E57B55"/>
    <w:pPr>
      <w:ind w:left="720"/>
      <w:contextualSpacing/>
    </w:pPr>
  </w:style>
  <w:style w:type="paragraph" w:styleId="a9">
    <w:name w:val="header"/>
    <w:basedOn w:val="a"/>
    <w:link w:val="aa"/>
    <w:uiPriority w:val="99"/>
    <w:unhideWhenUsed/>
    <w:rsid w:val="00A63936"/>
    <w:pPr>
      <w:tabs>
        <w:tab w:val="center" w:pos="4819"/>
        <w:tab w:val="right" w:pos="9639"/>
      </w:tabs>
    </w:pPr>
  </w:style>
  <w:style w:type="character" w:customStyle="1" w:styleId="aa">
    <w:name w:val="Верхній колонтитул Знак"/>
    <w:basedOn w:val="a0"/>
    <w:link w:val="a9"/>
    <w:uiPriority w:val="99"/>
    <w:rsid w:val="00A63936"/>
    <w:rPr>
      <w:rFonts w:ascii="Times New Roman" w:eastAsia="Times New Roman" w:hAnsi="Times New Roman" w:cs="Times New Roman"/>
      <w:sz w:val="24"/>
      <w:szCs w:val="24"/>
      <w:lang w:val="uk-UA" w:eastAsia="uk-UA"/>
    </w:rPr>
  </w:style>
  <w:style w:type="paragraph" w:styleId="ab">
    <w:name w:val="footer"/>
    <w:basedOn w:val="a"/>
    <w:link w:val="ac"/>
    <w:uiPriority w:val="99"/>
    <w:unhideWhenUsed/>
    <w:rsid w:val="00A63936"/>
    <w:pPr>
      <w:tabs>
        <w:tab w:val="center" w:pos="4819"/>
        <w:tab w:val="right" w:pos="9639"/>
      </w:tabs>
    </w:pPr>
  </w:style>
  <w:style w:type="character" w:customStyle="1" w:styleId="ac">
    <w:name w:val="Нижній колонтитул Знак"/>
    <w:basedOn w:val="a0"/>
    <w:link w:val="ab"/>
    <w:uiPriority w:val="99"/>
    <w:rsid w:val="00A63936"/>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B13057-FD15-4386-9B03-E47EFA8D9525}">
  <ds:schemaRefs>
    <ds:schemaRef ds:uri="http://schemas.microsoft.com/sharepoint/v3/contenttype/forms"/>
  </ds:schemaRefs>
</ds:datastoreItem>
</file>

<file path=customXml/itemProps2.xml><?xml version="1.0" encoding="utf-8"?>
<ds:datastoreItem xmlns:ds="http://schemas.openxmlformats.org/officeDocument/2006/customXml" ds:itemID="{2E43C44E-A74D-4420-9F5F-0FE77F4C7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64E06C-0205-4C5B-8784-E19D52EBE1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7338</Words>
  <Characters>4183</Characters>
  <Application>Microsoft Office Word</Application>
  <DocSecurity>0</DocSecurity>
  <Lines>34</Lines>
  <Paragraphs>22</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11499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Павлюк Павло Петрович</dc:creator>
  <cp:lastModifiedBy>Павлюк Павло Петрович</cp:lastModifiedBy>
  <cp:revision>2</cp:revision>
  <dcterms:created xsi:type="dcterms:W3CDTF">2021-05-05T12:05:00Z</dcterms:created>
  <dcterms:modified xsi:type="dcterms:W3CDTF">2021-05-05T12:05:00Z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