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74EF0" w14:textId="36C671BC" w:rsidR="005A08C1" w:rsidRPr="00D07956" w:rsidRDefault="00EE373D">
      <w:pPr>
        <w:widowControl w:val="0"/>
        <w:spacing w:line="276" w:lineRule="auto"/>
        <w:jc w:val="center"/>
        <w:rPr>
          <w:b/>
          <w:sz w:val="28"/>
          <w:szCs w:val="28"/>
        </w:rPr>
      </w:pPr>
      <w:bookmarkStart w:id="0" w:name="_GoBack"/>
      <w:bookmarkEnd w:id="0"/>
      <w:r w:rsidRPr="00D07956">
        <w:rPr>
          <w:b/>
          <w:sz w:val="28"/>
          <w:szCs w:val="28"/>
        </w:rPr>
        <w:t>ПОРІВНЯЛЬНА ТАБЛИЦЯ</w:t>
      </w:r>
    </w:p>
    <w:p w14:paraId="065C052A" w14:textId="49539EB2" w:rsidR="005A08C1" w:rsidRPr="00D07956" w:rsidRDefault="00EE373D" w:rsidP="0078772B">
      <w:pPr>
        <w:jc w:val="center"/>
        <w:rPr>
          <w:b/>
          <w:sz w:val="28"/>
          <w:szCs w:val="28"/>
        </w:rPr>
      </w:pPr>
      <w:r w:rsidRPr="00D07956">
        <w:rPr>
          <w:b/>
          <w:sz w:val="28"/>
          <w:szCs w:val="28"/>
        </w:rPr>
        <w:t>до про</w:t>
      </w:r>
      <w:r w:rsidR="005B5263" w:rsidRPr="00D07956">
        <w:rPr>
          <w:b/>
          <w:sz w:val="28"/>
          <w:szCs w:val="28"/>
        </w:rPr>
        <w:t>е</w:t>
      </w:r>
      <w:r w:rsidRPr="00D07956">
        <w:rPr>
          <w:b/>
          <w:sz w:val="28"/>
          <w:szCs w:val="28"/>
        </w:rPr>
        <w:t xml:space="preserve">кту Закону України </w:t>
      </w:r>
      <w:r w:rsidR="005B5263" w:rsidRPr="00D07956">
        <w:rPr>
          <w:b/>
          <w:sz w:val="28"/>
          <w:szCs w:val="28"/>
        </w:rPr>
        <w:t>"</w:t>
      </w:r>
      <w:r w:rsidRPr="00D07956">
        <w:rPr>
          <w:b/>
          <w:sz w:val="28"/>
          <w:szCs w:val="28"/>
        </w:rPr>
        <w:t xml:space="preserve">Про внесення змін до </w:t>
      </w:r>
      <w:r w:rsidR="0052591A" w:rsidRPr="00D07956">
        <w:rPr>
          <w:b/>
          <w:sz w:val="28"/>
          <w:szCs w:val="28"/>
        </w:rPr>
        <w:t xml:space="preserve">Закону України </w:t>
      </w:r>
      <w:r w:rsidR="005B5263" w:rsidRPr="00D07956">
        <w:rPr>
          <w:b/>
          <w:sz w:val="28"/>
          <w:szCs w:val="28"/>
        </w:rPr>
        <w:t>"</w:t>
      </w:r>
      <w:r w:rsidR="0052591A" w:rsidRPr="00D07956">
        <w:rPr>
          <w:b/>
          <w:sz w:val="28"/>
          <w:szCs w:val="28"/>
        </w:rPr>
        <w:t>Про приватизацію державного і комунального майна</w:t>
      </w:r>
      <w:r w:rsidR="005B5263" w:rsidRPr="00D07956">
        <w:rPr>
          <w:b/>
          <w:sz w:val="28"/>
          <w:szCs w:val="28"/>
        </w:rPr>
        <w:t>"</w:t>
      </w:r>
      <w:r w:rsidR="0052591A" w:rsidRPr="00D07956">
        <w:rPr>
          <w:b/>
          <w:sz w:val="28"/>
          <w:szCs w:val="28"/>
        </w:rPr>
        <w:t xml:space="preserve"> </w:t>
      </w:r>
      <w:r w:rsidRPr="00D07956">
        <w:rPr>
          <w:b/>
          <w:sz w:val="28"/>
          <w:szCs w:val="28"/>
        </w:rPr>
        <w:t xml:space="preserve">щодо </w:t>
      </w:r>
      <w:r w:rsidR="0052591A" w:rsidRPr="00D07956">
        <w:rPr>
          <w:b/>
          <w:sz w:val="28"/>
          <w:szCs w:val="28"/>
        </w:rPr>
        <w:t xml:space="preserve">уточнення деяких положень та </w:t>
      </w:r>
      <w:r w:rsidR="0078772B" w:rsidRPr="00D07956">
        <w:rPr>
          <w:b/>
          <w:spacing w:val="-2"/>
          <w:sz w:val="28"/>
          <w:szCs w:val="28"/>
        </w:rPr>
        <w:t>заборони приватизації об'єктів великої приватизації</w:t>
      </w:r>
      <w:r w:rsidR="005B5263" w:rsidRPr="00D07956">
        <w:rPr>
          <w:b/>
          <w:sz w:val="28"/>
          <w:szCs w:val="28"/>
        </w:rPr>
        <w:t>"</w:t>
      </w:r>
    </w:p>
    <w:p w14:paraId="133EC3AC" w14:textId="77777777" w:rsidR="00534784" w:rsidRPr="00D07956" w:rsidRDefault="00534784" w:rsidP="0052591A">
      <w:pPr>
        <w:widowControl w:val="0"/>
        <w:tabs>
          <w:tab w:val="left" w:pos="5529"/>
        </w:tabs>
        <w:jc w:val="center"/>
        <w:rPr>
          <w:b/>
          <w:sz w:val="28"/>
          <w:szCs w:val="28"/>
        </w:rPr>
      </w:pPr>
    </w:p>
    <w:tbl>
      <w:tblPr>
        <w:tblStyle w:val="a5"/>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4"/>
        <w:gridCol w:w="7584"/>
      </w:tblGrid>
      <w:tr w:rsidR="00D07956" w:rsidRPr="00D07956" w14:paraId="3DA7B9A1" w14:textId="77777777" w:rsidTr="00B43D11">
        <w:trPr>
          <w:trHeight w:val="435"/>
        </w:trPr>
        <w:tc>
          <w:tcPr>
            <w:tcW w:w="7584" w:type="dxa"/>
          </w:tcPr>
          <w:p w14:paraId="76436B15" w14:textId="77777777" w:rsidR="005B5263" w:rsidRPr="00D07956" w:rsidRDefault="005B5263" w:rsidP="005B5263">
            <w:pPr>
              <w:widowControl w:val="0"/>
              <w:pBdr>
                <w:top w:val="nil"/>
                <w:left w:val="nil"/>
                <w:bottom w:val="nil"/>
                <w:right w:val="nil"/>
                <w:between w:val="nil"/>
              </w:pBdr>
              <w:tabs>
                <w:tab w:val="left" w:pos="5529"/>
              </w:tabs>
              <w:jc w:val="center"/>
              <w:rPr>
                <w:b/>
                <w:bCs/>
                <w:sz w:val="28"/>
                <w:szCs w:val="28"/>
              </w:rPr>
            </w:pPr>
          </w:p>
          <w:p w14:paraId="482BF718" w14:textId="77777777" w:rsidR="005A08C1" w:rsidRPr="00D07956" w:rsidRDefault="005B5263" w:rsidP="005B5263">
            <w:pPr>
              <w:widowControl w:val="0"/>
              <w:pBdr>
                <w:top w:val="nil"/>
                <w:left w:val="nil"/>
                <w:bottom w:val="nil"/>
                <w:right w:val="nil"/>
                <w:between w:val="nil"/>
              </w:pBdr>
              <w:tabs>
                <w:tab w:val="left" w:pos="5529"/>
              </w:tabs>
              <w:jc w:val="center"/>
              <w:rPr>
                <w:b/>
                <w:bCs/>
                <w:sz w:val="28"/>
                <w:szCs w:val="28"/>
              </w:rPr>
            </w:pPr>
            <w:r w:rsidRPr="00D07956">
              <w:rPr>
                <w:b/>
                <w:bCs/>
                <w:sz w:val="28"/>
                <w:szCs w:val="28"/>
              </w:rPr>
              <w:t>Зміст положення (норми) чинного законодавства</w:t>
            </w:r>
          </w:p>
          <w:p w14:paraId="69E565CA" w14:textId="136FEEE1" w:rsidR="005B5263" w:rsidRPr="00D07956" w:rsidRDefault="005B5263" w:rsidP="005B5263">
            <w:pPr>
              <w:widowControl w:val="0"/>
              <w:pBdr>
                <w:top w:val="nil"/>
                <w:left w:val="nil"/>
                <w:bottom w:val="nil"/>
                <w:right w:val="nil"/>
                <w:between w:val="nil"/>
              </w:pBdr>
              <w:tabs>
                <w:tab w:val="left" w:pos="5529"/>
              </w:tabs>
              <w:jc w:val="center"/>
              <w:rPr>
                <w:sz w:val="28"/>
                <w:szCs w:val="28"/>
              </w:rPr>
            </w:pPr>
          </w:p>
        </w:tc>
        <w:tc>
          <w:tcPr>
            <w:tcW w:w="7584" w:type="dxa"/>
          </w:tcPr>
          <w:p w14:paraId="1859C397" w14:textId="77777777" w:rsidR="005B5263" w:rsidRPr="00D07956" w:rsidRDefault="005B5263" w:rsidP="005B5263">
            <w:pPr>
              <w:widowControl w:val="0"/>
              <w:pBdr>
                <w:top w:val="nil"/>
                <w:left w:val="nil"/>
                <w:bottom w:val="nil"/>
                <w:right w:val="nil"/>
                <w:between w:val="nil"/>
              </w:pBdr>
              <w:jc w:val="center"/>
              <w:rPr>
                <w:b/>
                <w:bCs/>
                <w:sz w:val="28"/>
                <w:szCs w:val="28"/>
              </w:rPr>
            </w:pPr>
          </w:p>
          <w:p w14:paraId="207EDB17" w14:textId="066629AF" w:rsidR="005A08C1" w:rsidRPr="00D07956" w:rsidRDefault="005B5263" w:rsidP="005B5263">
            <w:pPr>
              <w:widowControl w:val="0"/>
              <w:pBdr>
                <w:top w:val="nil"/>
                <w:left w:val="nil"/>
                <w:bottom w:val="nil"/>
                <w:right w:val="nil"/>
                <w:between w:val="nil"/>
              </w:pBdr>
              <w:jc w:val="center"/>
              <w:rPr>
                <w:sz w:val="28"/>
                <w:szCs w:val="28"/>
              </w:rPr>
            </w:pPr>
            <w:r w:rsidRPr="00D07956">
              <w:rPr>
                <w:b/>
                <w:bCs/>
                <w:sz w:val="28"/>
                <w:szCs w:val="28"/>
              </w:rPr>
              <w:t>Зміст положення (норми) запропонованого проекту акт</w:t>
            </w:r>
          </w:p>
        </w:tc>
      </w:tr>
      <w:tr w:rsidR="00D07956" w:rsidRPr="00D07956" w14:paraId="16ACFCAD" w14:textId="77777777" w:rsidTr="00B43D11">
        <w:tc>
          <w:tcPr>
            <w:tcW w:w="7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2561C" w14:textId="77777777" w:rsidR="00B43D11" w:rsidRPr="00D07956" w:rsidRDefault="00B43D11" w:rsidP="005B5263">
            <w:pPr>
              <w:widowControl w:val="0"/>
              <w:tabs>
                <w:tab w:val="left" w:pos="5529"/>
              </w:tabs>
              <w:ind w:firstLine="567"/>
              <w:jc w:val="both"/>
              <w:rPr>
                <w:b/>
                <w:sz w:val="28"/>
                <w:szCs w:val="28"/>
              </w:rPr>
            </w:pPr>
            <w:r w:rsidRPr="00D07956">
              <w:rPr>
                <w:b/>
                <w:sz w:val="28"/>
                <w:szCs w:val="28"/>
              </w:rPr>
              <w:t xml:space="preserve">Стаття 1. Визначення термінів </w:t>
            </w:r>
          </w:p>
          <w:p w14:paraId="1C12B805" w14:textId="77777777" w:rsidR="00B43D11" w:rsidRPr="00D07956" w:rsidRDefault="00B43D11" w:rsidP="005B5263">
            <w:pPr>
              <w:widowControl w:val="0"/>
              <w:tabs>
                <w:tab w:val="left" w:pos="5529"/>
              </w:tabs>
              <w:ind w:firstLine="567"/>
              <w:jc w:val="both"/>
              <w:rPr>
                <w:sz w:val="28"/>
                <w:szCs w:val="28"/>
              </w:rPr>
            </w:pPr>
            <w:r w:rsidRPr="00D07956">
              <w:rPr>
                <w:sz w:val="28"/>
                <w:szCs w:val="28"/>
              </w:rPr>
              <w:t>1. У цьому Законі терміни вживаються в такому значенні:</w:t>
            </w:r>
          </w:p>
          <w:p w14:paraId="163726D1" w14:textId="77777777" w:rsidR="00B43D11" w:rsidRPr="00D07956" w:rsidRDefault="00B43D11" w:rsidP="005B5263">
            <w:pPr>
              <w:widowControl w:val="0"/>
              <w:tabs>
                <w:tab w:val="left" w:pos="5529"/>
              </w:tabs>
              <w:ind w:firstLine="567"/>
              <w:jc w:val="both"/>
              <w:rPr>
                <w:sz w:val="28"/>
                <w:szCs w:val="28"/>
              </w:rPr>
            </w:pPr>
            <w:r w:rsidRPr="00D07956">
              <w:rPr>
                <w:sz w:val="28"/>
                <w:szCs w:val="28"/>
              </w:rPr>
              <w:t>…</w:t>
            </w:r>
          </w:p>
          <w:p w14:paraId="30366880" w14:textId="77777777" w:rsidR="005A08C1" w:rsidRPr="00D07956" w:rsidRDefault="00EE373D" w:rsidP="005B5263">
            <w:pPr>
              <w:widowControl w:val="0"/>
              <w:tabs>
                <w:tab w:val="left" w:pos="5529"/>
              </w:tabs>
              <w:ind w:firstLine="567"/>
              <w:jc w:val="both"/>
              <w:rPr>
                <w:sz w:val="28"/>
                <w:szCs w:val="28"/>
              </w:rPr>
            </w:pPr>
            <w:r w:rsidRPr="00D07956">
              <w:rPr>
                <w:b/>
                <w:sz w:val="28"/>
                <w:szCs w:val="28"/>
              </w:rPr>
              <w:t xml:space="preserve">12) </w:t>
            </w:r>
            <w:r w:rsidRPr="00D07956">
              <w:rPr>
                <w:sz w:val="28"/>
                <w:szCs w:val="28"/>
              </w:rPr>
              <w:t>електронна торгова система</w:t>
            </w:r>
            <w:r w:rsidRPr="00D07956">
              <w:rPr>
                <w:b/>
                <w:sz w:val="28"/>
                <w:szCs w:val="28"/>
              </w:rPr>
              <w:t xml:space="preserve"> - </w:t>
            </w:r>
            <w:r w:rsidRPr="00D07956">
              <w:rPr>
                <w:sz w:val="28"/>
                <w:szCs w:val="28"/>
              </w:rPr>
              <w:t xml:space="preserve">дворівнева інформаційно-телекомунікаційна система, </w:t>
            </w:r>
            <w:r w:rsidRPr="00D07956">
              <w:rPr>
                <w:b/>
                <w:sz w:val="28"/>
                <w:szCs w:val="28"/>
              </w:rPr>
              <w:t xml:space="preserve">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Електронна торгова система </w:t>
            </w:r>
            <w:r w:rsidRPr="00D07956">
              <w:rPr>
                <w:sz w:val="28"/>
                <w:szCs w:val="28"/>
              </w:rPr>
              <w:t>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14:paraId="2BAA19EB" w14:textId="77777777" w:rsidR="00B43D11" w:rsidRPr="00D07956" w:rsidRDefault="00B43D11" w:rsidP="005B5263">
            <w:pPr>
              <w:widowControl w:val="0"/>
              <w:tabs>
                <w:tab w:val="left" w:pos="5529"/>
              </w:tabs>
              <w:ind w:firstLine="567"/>
              <w:jc w:val="both"/>
              <w:rPr>
                <w:sz w:val="28"/>
                <w:szCs w:val="28"/>
              </w:rPr>
            </w:pPr>
            <w:r w:rsidRPr="00D07956">
              <w:rPr>
                <w:sz w:val="28"/>
                <w:szCs w:val="28"/>
              </w:rPr>
              <w:t>…</w:t>
            </w:r>
          </w:p>
          <w:p w14:paraId="34FF23CC" w14:textId="37B11427" w:rsidR="00B43D11" w:rsidRPr="00D07956" w:rsidRDefault="00B43D11" w:rsidP="005B5263">
            <w:pPr>
              <w:widowControl w:val="0"/>
              <w:tabs>
                <w:tab w:val="left" w:pos="5529"/>
              </w:tabs>
              <w:ind w:firstLine="567"/>
              <w:jc w:val="both"/>
              <w:rPr>
                <w:sz w:val="28"/>
                <w:szCs w:val="28"/>
              </w:rPr>
            </w:pPr>
            <w:r w:rsidRPr="00D07956">
              <w:rPr>
                <w:b/>
                <w:sz w:val="28"/>
                <w:szCs w:val="28"/>
              </w:rPr>
              <w:t xml:space="preserve">28) </w:t>
            </w:r>
            <w:r w:rsidRPr="00D07956">
              <w:rPr>
                <w:sz w:val="28"/>
                <w:szCs w:val="28"/>
              </w:rPr>
              <w:t>центральна база даних</w:t>
            </w:r>
            <w:r w:rsidRPr="00D07956">
              <w:rPr>
                <w:b/>
                <w:sz w:val="28"/>
                <w:szCs w:val="28"/>
              </w:rPr>
              <w:t xml:space="preserve"> - </w:t>
            </w:r>
            <w:r w:rsidRPr="00D07956">
              <w:rPr>
                <w:sz w:val="28"/>
                <w:szCs w:val="28"/>
              </w:rPr>
              <w:t>сукупність технічних та програмних засобів у складі</w:t>
            </w:r>
            <w:r w:rsidRPr="00D07956">
              <w:rPr>
                <w:b/>
                <w:sz w:val="28"/>
                <w:szCs w:val="28"/>
              </w:rPr>
              <w:t xml:space="preserve"> баз даних та модуля електронного аукціону, що забезпечують можливість проведення аукціону в електронній формі та гарантують рівний доступ до інформації учасникам аукціону в електронній формі;</w:t>
            </w:r>
          </w:p>
        </w:tc>
        <w:tc>
          <w:tcPr>
            <w:tcW w:w="75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7D8941" w14:textId="77777777" w:rsidR="00B43D11" w:rsidRPr="00D07956" w:rsidRDefault="00B43D11" w:rsidP="005B5263">
            <w:pPr>
              <w:widowControl w:val="0"/>
              <w:tabs>
                <w:tab w:val="left" w:pos="5529"/>
              </w:tabs>
              <w:ind w:firstLine="567"/>
              <w:jc w:val="both"/>
              <w:rPr>
                <w:b/>
                <w:sz w:val="28"/>
                <w:szCs w:val="28"/>
              </w:rPr>
            </w:pPr>
            <w:r w:rsidRPr="00D07956">
              <w:rPr>
                <w:b/>
                <w:sz w:val="28"/>
                <w:szCs w:val="28"/>
              </w:rPr>
              <w:t xml:space="preserve">Стаття 1. Визначення термінів </w:t>
            </w:r>
          </w:p>
          <w:p w14:paraId="3E077973" w14:textId="77777777" w:rsidR="00B43D11" w:rsidRPr="00D07956" w:rsidRDefault="00B43D11" w:rsidP="005B5263">
            <w:pPr>
              <w:widowControl w:val="0"/>
              <w:tabs>
                <w:tab w:val="left" w:pos="5529"/>
              </w:tabs>
              <w:ind w:firstLine="567"/>
              <w:jc w:val="both"/>
              <w:rPr>
                <w:sz w:val="28"/>
                <w:szCs w:val="28"/>
              </w:rPr>
            </w:pPr>
            <w:r w:rsidRPr="00D07956">
              <w:rPr>
                <w:sz w:val="28"/>
                <w:szCs w:val="28"/>
              </w:rPr>
              <w:t>1. У цьому Законі терміни вживаються в такому значенні:</w:t>
            </w:r>
          </w:p>
          <w:p w14:paraId="3FCB0DEA" w14:textId="77777777" w:rsidR="00B43D11" w:rsidRPr="00D07956" w:rsidRDefault="00B43D11" w:rsidP="005B5263">
            <w:pPr>
              <w:widowControl w:val="0"/>
              <w:tabs>
                <w:tab w:val="left" w:pos="5529"/>
              </w:tabs>
              <w:ind w:firstLine="567"/>
              <w:jc w:val="both"/>
              <w:rPr>
                <w:sz w:val="28"/>
                <w:szCs w:val="28"/>
              </w:rPr>
            </w:pPr>
            <w:r w:rsidRPr="00D07956">
              <w:rPr>
                <w:sz w:val="28"/>
                <w:szCs w:val="28"/>
              </w:rPr>
              <w:t>…</w:t>
            </w:r>
          </w:p>
          <w:p w14:paraId="01B21993" w14:textId="77777777" w:rsidR="005A08C1" w:rsidRPr="00D07956" w:rsidRDefault="00EE373D" w:rsidP="005B5263">
            <w:pPr>
              <w:widowControl w:val="0"/>
              <w:ind w:firstLine="567"/>
              <w:jc w:val="both"/>
              <w:rPr>
                <w:b/>
                <w:sz w:val="28"/>
                <w:szCs w:val="28"/>
              </w:rPr>
            </w:pPr>
            <w:r w:rsidRPr="00D07956">
              <w:rPr>
                <w:b/>
                <w:sz w:val="28"/>
                <w:szCs w:val="28"/>
              </w:rPr>
              <w:t xml:space="preserve">12) </w:t>
            </w:r>
            <w:r w:rsidRPr="00D07956">
              <w:rPr>
                <w:sz w:val="28"/>
                <w:szCs w:val="28"/>
              </w:rPr>
              <w:t>електронна торгова система</w:t>
            </w:r>
            <w:r w:rsidRPr="00D07956">
              <w:rPr>
                <w:b/>
                <w:sz w:val="28"/>
                <w:szCs w:val="28"/>
              </w:rPr>
              <w:t xml:space="preserve"> (ЕТС) – </w:t>
            </w:r>
            <w:r w:rsidRPr="00D07956">
              <w:rPr>
                <w:sz w:val="28"/>
                <w:szCs w:val="28"/>
              </w:rPr>
              <w:t xml:space="preserve">дворівнева інформаційно-телекомунікаційна система, </w:t>
            </w:r>
            <w:r w:rsidRPr="00D07956">
              <w:rPr>
                <w:b/>
                <w:sz w:val="28"/>
                <w:szCs w:val="28"/>
              </w:rPr>
              <w:t xml:space="preserve">що включає центральну базу даних та електронні майданчики, які взаємодіють з центральною базою даних через інтерфейс програмування додатків такої центральної бази даних. ЕТС </w:t>
            </w:r>
            <w:r w:rsidRPr="00D07956">
              <w:rPr>
                <w:sz w:val="28"/>
                <w:szCs w:val="28"/>
              </w:rPr>
              <w:t>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14:paraId="1921BBA0" w14:textId="77777777" w:rsidR="005A08C1" w:rsidRPr="00D07956" w:rsidRDefault="00EE373D" w:rsidP="005B5263">
            <w:pPr>
              <w:widowControl w:val="0"/>
              <w:ind w:firstLine="567"/>
              <w:jc w:val="both"/>
              <w:rPr>
                <w:b/>
                <w:sz w:val="28"/>
                <w:szCs w:val="28"/>
              </w:rPr>
            </w:pPr>
            <w:r w:rsidRPr="00D07956">
              <w:rPr>
                <w:b/>
                <w:sz w:val="28"/>
                <w:szCs w:val="28"/>
              </w:rPr>
              <w:t xml:space="preserve"> </w:t>
            </w:r>
          </w:p>
          <w:p w14:paraId="37C8350E" w14:textId="77777777" w:rsidR="00B43D11" w:rsidRPr="00D07956" w:rsidRDefault="00B43D11" w:rsidP="005B5263">
            <w:pPr>
              <w:widowControl w:val="0"/>
              <w:ind w:firstLine="567"/>
              <w:jc w:val="both"/>
              <w:rPr>
                <w:sz w:val="28"/>
                <w:szCs w:val="28"/>
              </w:rPr>
            </w:pPr>
            <w:r w:rsidRPr="00D07956">
              <w:rPr>
                <w:sz w:val="28"/>
                <w:szCs w:val="28"/>
              </w:rPr>
              <w:t>…</w:t>
            </w:r>
          </w:p>
          <w:p w14:paraId="288BCFBB" w14:textId="30CA45E5" w:rsidR="00B43D11" w:rsidRPr="00D07956" w:rsidRDefault="00B43D11" w:rsidP="00E208EB">
            <w:pPr>
              <w:widowControl w:val="0"/>
              <w:ind w:firstLine="567"/>
              <w:jc w:val="both"/>
              <w:rPr>
                <w:b/>
                <w:sz w:val="28"/>
                <w:szCs w:val="28"/>
              </w:rPr>
            </w:pPr>
            <w:r w:rsidRPr="00D07956">
              <w:rPr>
                <w:b/>
                <w:sz w:val="28"/>
                <w:szCs w:val="28"/>
              </w:rPr>
              <w:t xml:space="preserve">28) </w:t>
            </w:r>
            <w:r w:rsidRPr="00D07956">
              <w:rPr>
                <w:sz w:val="28"/>
                <w:szCs w:val="28"/>
              </w:rPr>
              <w:t>центральна база даних</w:t>
            </w:r>
            <w:r w:rsidRPr="00D07956">
              <w:rPr>
                <w:b/>
                <w:sz w:val="28"/>
                <w:szCs w:val="28"/>
              </w:rPr>
              <w:t xml:space="preserve"> – </w:t>
            </w:r>
            <w:r w:rsidRPr="00D07956">
              <w:rPr>
                <w:sz w:val="28"/>
                <w:szCs w:val="28"/>
              </w:rPr>
              <w:t>сукупність технічних та програмних засобів у складі</w:t>
            </w:r>
            <w:r w:rsidRPr="00D07956">
              <w:rPr>
                <w:b/>
                <w:sz w:val="28"/>
                <w:szCs w:val="28"/>
              </w:rPr>
              <w:t xml:space="preserve"> інтерфейсів програмування додатків, модулів аукціонів, допоміжних програмних сервісів та баз даних, що забезпечують можливість проведення процедури аукціону в електронній формі та гарантують рівний доступ до інформації учасникам аукціону в електронній формі. Поточна версія програмного коду всіх складових центральної бази даних є відкритою та загальнодоступною</w:t>
            </w:r>
            <w:r w:rsidR="00E208EB" w:rsidRPr="00D07956">
              <w:rPr>
                <w:b/>
                <w:sz w:val="28"/>
                <w:szCs w:val="28"/>
              </w:rPr>
              <w:t>;</w:t>
            </w:r>
          </w:p>
        </w:tc>
      </w:tr>
      <w:tr w:rsidR="00D07956" w:rsidRPr="00D07956" w14:paraId="6F48255E" w14:textId="77777777" w:rsidTr="00B43D11">
        <w:tc>
          <w:tcPr>
            <w:tcW w:w="75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AB754" w14:textId="77777777" w:rsidR="00B43D11" w:rsidRPr="00D07956" w:rsidRDefault="00B43D11" w:rsidP="005B5263">
            <w:pPr>
              <w:widowControl w:val="0"/>
              <w:tabs>
                <w:tab w:val="left" w:pos="5529"/>
              </w:tabs>
              <w:ind w:firstLine="567"/>
              <w:jc w:val="both"/>
              <w:rPr>
                <w:b/>
                <w:sz w:val="28"/>
                <w:szCs w:val="28"/>
              </w:rPr>
            </w:pPr>
            <w:r w:rsidRPr="00D07956">
              <w:rPr>
                <w:b/>
                <w:sz w:val="28"/>
                <w:szCs w:val="28"/>
              </w:rPr>
              <w:lastRenderedPageBreak/>
              <w:t>Стаття 4. Об’єкти приватизації</w:t>
            </w:r>
          </w:p>
          <w:p w14:paraId="27340B25" w14:textId="77777777" w:rsidR="00B43D11" w:rsidRPr="00D07956" w:rsidRDefault="00B43D11" w:rsidP="005B5263">
            <w:pPr>
              <w:widowControl w:val="0"/>
              <w:tabs>
                <w:tab w:val="left" w:pos="5529"/>
              </w:tabs>
              <w:ind w:firstLine="567"/>
              <w:jc w:val="both"/>
              <w:rPr>
                <w:b/>
                <w:sz w:val="28"/>
                <w:szCs w:val="28"/>
              </w:rPr>
            </w:pPr>
            <w:r w:rsidRPr="00D07956">
              <w:rPr>
                <w:b/>
                <w:sz w:val="28"/>
                <w:szCs w:val="28"/>
              </w:rPr>
              <w:t>…</w:t>
            </w:r>
          </w:p>
          <w:p w14:paraId="65591F53" w14:textId="54D269DC" w:rsidR="005A08C1" w:rsidRPr="00D07956" w:rsidRDefault="00EE373D" w:rsidP="005B5263">
            <w:pPr>
              <w:widowControl w:val="0"/>
              <w:tabs>
                <w:tab w:val="left" w:pos="5529"/>
              </w:tabs>
              <w:ind w:firstLine="567"/>
              <w:jc w:val="both"/>
              <w:rPr>
                <w:sz w:val="28"/>
                <w:szCs w:val="28"/>
              </w:rPr>
            </w:pPr>
            <w:r w:rsidRPr="00D07956">
              <w:rPr>
                <w:sz w:val="28"/>
                <w:szCs w:val="28"/>
              </w:rPr>
              <w:t>2. Крім передбачених частиною третьою цієї статті випадків,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та об’єкти права власності Українського народу, майно, що становить матеріальну основу суверенітету України, зокрема:</w:t>
            </w:r>
          </w:p>
          <w:p w14:paraId="2713B06F" w14:textId="77777777" w:rsidR="005A08C1" w:rsidRPr="00D07956" w:rsidRDefault="00EE373D" w:rsidP="005B5263">
            <w:pPr>
              <w:widowControl w:val="0"/>
              <w:tabs>
                <w:tab w:val="left" w:pos="5529"/>
              </w:tabs>
              <w:ind w:firstLine="567"/>
              <w:jc w:val="both"/>
              <w:rPr>
                <w:sz w:val="28"/>
                <w:szCs w:val="28"/>
              </w:rPr>
            </w:pPr>
            <w:r w:rsidRPr="00D07956">
              <w:rPr>
                <w:sz w:val="28"/>
                <w:szCs w:val="28"/>
              </w:rPr>
              <w:t>майно органів державної влади та органів місцевого самоврядування, майно Збройних Сил України (військове майно), Служби безпеки України, Державної прикордонної служби України, сил цивільного захисту, Державної служби спеціального зв’язку та захисту інформації України, правоохоронних органів та органів доходів і зборів, що безпосередньо забезпечує виконання зазначеними органами встановлених законодавством завдань, майно закладів охорони здоров’я системи екстреної медичної допомоги;</w:t>
            </w:r>
          </w:p>
          <w:p w14:paraId="396460C6" w14:textId="77884960" w:rsidR="005A08C1" w:rsidRPr="00D07956" w:rsidRDefault="00C772B3" w:rsidP="005B5263">
            <w:pPr>
              <w:widowControl w:val="0"/>
              <w:tabs>
                <w:tab w:val="left" w:pos="5529"/>
              </w:tabs>
              <w:ind w:firstLine="567"/>
              <w:jc w:val="both"/>
              <w:rPr>
                <w:b/>
                <w:sz w:val="28"/>
                <w:szCs w:val="28"/>
              </w:rPr>
            </w:pPr>
            <w:r>
              <w:rPr>
                <w:b/>
                <w:sz w:val="28"/>
                <w:szCs w:val="28"/>
              </w:rPr>
              <w:t>Норма в</w:t>
            </w:r>
            <w:r w:rsidR="005B5263" w:rsidRPr="00D07956">
              <w:rPr>
                <w:b/>
                <w:sz w:val="28"/>
                <w:szCs w:val="28"/>
              </w:rPr>
              <w:t>ідсутня</w:t>
            </w:r>
          </w:p>
          <w:p w14:paraId="150F9C79" w14:textId="62CBF46C" w:rsidR="005A08C1" w:rsidRPr="00D07956" w:rsidRDefault="005A08C1" w:rsidP="005B5263">
            <w:pPr>
              <w:widowControl w:val="0"/>
              <w:tabs>
                <w:tab w:val="left" w:pos="5529"/>
              </w:tabs>
              <w:ind w:firstLine="567"/>
              <w:jc w:val="both"/>
              <w:rPr>
                <w:sz w:val="28"/>
                <w:szCs w:val="28"/>
              </w:rPr>
            </w:pPr>
          </w:p>
          <w:p w14:paraId="12F2899A" w14:textId="797712B0" w:rsidR="005A08C1" w:rsidRPr="00D07956" w:rsidRDefault="005A08C1" w:rsidP="005B5263">
            <w:pPr>
              <w:widowControl w:val="0"/>
              <w:tabs>
                <w:tab w:val="left" w:pos="5529"/>
              </w:tabs>
              <w:ind w:firstLine="567"/>
              <w:jc w:val="both"/>
              <w:rPr>
                <w:sz w:val="28"/>
                <w:szCs w:val="28"/>
              </w:rPr>
            </w:pPr>
          </w:p>
          <w:p w14:paraId="7D95A2E5" w14:textId="77777777" w:rsidR="00534784" w:rsidRPr="00D07956" w:rsidRDefault="00534784" w:rsidP="005B5263">
            <w:pPr>
              <w:widowControl w:val="0"/>
              <w:tabs>
                <w:tab w:val="left" w:pos="5529"/>
              </w:tabs>
              <w:ind w:firstLine="567"/>
              <w:jc w:val="both"/>
              <w:rPr>
                <w:sz w:val="28"/>
                <w:szCs w:val="28"/>
              </w:rPr>
            </w:pPr>
          </w:p>
          <w:p w14:paraId="7097361B" w14:textId="77777777" w:rsidR="005A08C1" w:rsidRPr="00D07956" w:rsidRDefault="00EE373D" w:rsidP="005B5263">
            <w:pPr>
              <w:widowControl w:val="0"/>
              <w:tabs>
                <w:tab w:val="left" w:pos="5529"/>
              </w:tabs>
              <w:ind w:firstLine="567"/>
              <w:jc w:val="both"/>
              <w:rPr>
                <w:sz w:val="28"/>
                <w:szCs w:val="28"/>
              </w:rPr>
            </w:pPr>
            <w:r w:rsidRPr="00D07956">
              <w:rPr>
                <w:sz w:val="28"/>
                <w:szCs w:val="28"/>
              </w:rPr>
              <w:t>...</w:t>
            </w:r>
          </w:p>
          <w:p w14:paraId="7403A104" w14:textId="77777777" w:rsidR="005A08C1" w:rsidRPr="00D07956" w:rsidRDefault="00EE373D" w:rsidP="005B5263">
            <w:pPr>
              <w:widowControl w:val="0"/>
              <w:tabs>
                <w:tab w:val="left" w:pos="5529"/>
              </w:tabs>
              <w:ind w:firstLine="567"/>
              <w:jc w:val="both"/>
              <w:rPr>
                <w:b/>
                <w:sz w:val="28"/>
                <w:szCs w:val="28"/>
              </w:rPr>
            </w:pPr>
            <w:r w:rsidRPr="00D07956">
              <w:rPr>
                <w:sz w:val="28"/>
                <w:szCs w:val="28"/>
              </w:rPr>
              <w:t xml:space="preserve">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w:t>
            </w:r>
            <w:r w:rsidRPr="00D07956">
              <w:rPr>
                <w:b/>
                <w:sz w:val="28"/>
                <w:szCs w:val="28"/>
              </w:rPr>
              <w:t xml:space="preserve">об’єкти архітектури, меморіальні комплекси, заповідники, парки </w:t>
            </w:r>
            <w:r w:rsidRPr="00D07956">
              <w:rPr>
                <w:b/>
                <w:sz w:val="28"/>
                <w:szCs w:val="28"/>
              </w:rPr>
              <w:lastRenderedPageBreak/>
              <w:t>загальнонаціонального значення;</w:t>
            </w:r>
          </w:p>
          <w:p w14:paraId="1E0E9717" w14:textId="5D1E6730" w:rsidR="005A08C1" w:rsidRPr="00D07956" w:rsidRDefault="00EE373D" w:rsidP="0078772B">
            <w:pPr>
              <w:widowControl w:val="0"/>
              <w:tabs>
                <w:tab w:val="left" w:pos="5529"/>
              </w:tabs>
              <w:ind w:firstLine="567"/>
              <w:jc w:val="both"/>
              <w:rPr>
                <w:sz w:val="28"/>
                <w:szCs w:val="28"/>
              </w:rPr>
            </w:pPr>
            <w:r w:rsidRPr="00D07956">
              <w:rPr>
                <w:sz w:val="28"/>
                <w:szCs w:val="28"/>
              </w:rPr>
              <w:t>...</w:t>
            </w:r>
          </w:p>
        </w:tc>
        <w:tc>
          <w:tcPr>
            <w:tcW w:w="7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C4557" w14:textId="77777777" w:rsidR="00B43D11" w:rsidRPr="00D07956" w:rsidRDefault="00B43D11" w:rsidP="005B5263">
            <w:pPr>
              <w:widowControl w:val="0"/>
              <w:tabs>
                <w:tab w:val="left" w:pos="5529"/>
              </w:tabs>
              <w:ind w:firstLine="567"/>
              <w:jc w:val="both"/>
              <w:rPr>
                <w:b/>
                <w:sz w:val="28"/>
                <w:szCs w:val="28"/>
              </w:rPr>
            </w:pPr>
            <w:r w:rsidRPr="00D07956">
              <w:rPr>
                <w:b/>
                <w:sz w:val="28"/>
                <w:szCs w:val="28"/>
              </w:rPr>
              <w:lastRenderedPageBreak/>
              <w:t>Стаття 4. Об’єкти приватизації</w:t>
            </w:r>
          </w:p>
          <w:p w14:paraId="16CE0D44" w14:textId="77777777" w:rsidR="00B43D11" w:rsidRPr="00D07956" w:rsidRDefault="00B43D11" w:rsidP="005B5263">
            <w:pPr>
              <w:widowControl w:val="0"/>
              <w:ind w:firstLine="567"/>
              <w:jc w:val="both"/>
              <w:rPr>
                <w:b/>
                <w:sz w:val="28"/>
                <w:szCs w:val="28"/>
              </w:rPr>
            </w:pPr>
            <w:r w:rsidRPr="00D07956">
              <w:rPr>
                <w:b/>
                <w:sz w:val="28"/>
                <w:szCs w:val="28"/>
              </w:rPr>
              <w:t>…</w:t>
            </w:r>
          </w:p>
          <w:p w14:paraId="30C715F6" w14:textId="3AC79C90" w:rsidR="005A08C1" w:rsidRPr="00D07956" w:rsidRDefault="00EE373D" w:rsidP="005B5263">
            <w:pPr>
              <w:widowControl w:val="0"/>
              <w:ind w:firstLine="567"/>
              <w:jc w:val="both"/>
              <w:rPr>
                <w:sz w:val="28"/>
                <w:szCs w:val="28"/>
              </w:rPr>
            </w:pPr>
            <w:r w:rsidRPr="00D07956">
              <w:rPr>
                <w:sz w:val="28"/>
                <w:szCs w:val="28"/>
              </w:rPr>
              <w:t>2. Крім передбачених частиною третьою цієї статті випадків, приватизації не підлягають казенні підприємства та об’єкти, необхідні для виконання державою своїх основних функцій, для забезпечення обороноздатності держави, та об’єкти права власності Українського народу, майно, що становить матеріальну основу суверенітету України, зокрема:</w:t>
            </w:r>
          </w:p>
          <w:p w14:paraId="60A25894" w14:textId="77777777" w:rsidR="005A08C1" w:rsidRPr="00D07956" w:rsidRDefault="00EE373D" w:rsidP="005B5263">
            <w:pPr>
              <w:widowControl w:val="0"/>
              <w:ind w:firstLine="567"/>
              <w:jc w:val="both"/>
              <w:rPr>
                <w:sz w:val="28"/>
                <w:szCs w:val="28"/>
              </w:rPr>
            </w:pPr>
            <w:r w:rsidRPr="00D07956">
              <w:rPr>
                <w:sz w:val="28"/>
                <w:szCs w:val="28"/>
              </w:rPr>
              <w:t>майно органів державної влади та органів місцевого самоврядування, майно Збройних Сил України (військове майно), Служби безпеки України, Державної прикордонної служби України, сил цивільного захисту, Державної служби спеціального зв’язку та захисту інформації України, правоохоронних органів та органів доходів і зборів, що безпосередньо забезпечує виконання зазначеними органами встановлених законодавством завдань, майно закладів охорони здоров’я системи екстреної медичної допомоги;</w:t>
            </w:r>
          </w:p>
          <w:p w14:paraId="4F2D1A47" w14:textId="77777777" w:rsidR="005A08C1" w:rsidRPr="00D07956" w:rsidRDefault="00EE373D" w:rsidP="005B5263">
            <w:pPr>
              <w:widowControl w:val="0"/>
              <w:ind w:firstLine="567"/>
              <w:jc w:val="both"/>
              <w:rPr>
                <w:b/>
                <w:sz w:val="28"/>
                <w:szCs w:val="28"/>
              </w:rPr>
            </w:pPr>
            <w:r w:rsidRPr="00D07956">
              <w:rPr>
                <w:b/>
                <w:sz w:val="28"/>
                <w:szCs w:val="28"/>
              </w:rPr>
              <w:t>підприємства з виготовлення та ремонту всіх видів зброї, що перебуває на озброєнні Збройних Сил України, інших утворених відповідно до закону військових формувань, Служби безпеки України;</w:t>
            </w:r>
          </w:p>
          <w:p w14:paraId="105600F2" w14:textId="77777777" w:rsidR="005A08C1" w:rsidRPr="00D07956" w:rsidRDefault="00EE373D" w:rsidP="005B5263">
            <w:pPr>
              <w:widowControl w:val="0"/>
              <w:ind w:firstLine="567"/>
              <w:jc w:val="both"/>
              <w:rPr>
                <w:sz w:val="28"/>
                <w:szCs w:val="28"/>
              </w:rPr>
            </w:pPr>
            <w:r w:rsidRPr="00D07956">
              <w:rPr>
                <w:sz w:val="28"/>
                <w:szCs w:val="28"/>
              </w:rPr>
              <w:t>...</w:t>
            </w:r>
          </w:p>
          <w:p w14:paraId="4E6EEDA6" w14:textId="77777777" w:rsidR="005A08C1" w:rsidRPr="00D07956" w:rsidRDefault="00EE373D" w:rsidP="005B5263">
            <w:pPr>
              <w:widowControl w:val="0"/>
              <w:ind w:firstLine="567"/>
              <w:jc w:val="both"/>
              <w:rPr>
                <w:b/>
                <w:sz w:val="28"/>
                <w:szCs w:val="28"/>
              </w:rPr>
            </w:pPr>
            <w:r w:rsidRPr="00D07956">
              <w:rPr>
                <w:sz w:val="28"/>
                <w:szCs w:val="28"/>
              </w:rPr>
              <w:t xml:space="preserve">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w:t>
            </w:r>
            <w:r w:rsidRPr="00D07956">
              <w:rPr>
                <w:b/>
                <w:sz w:val="28"/>
                <w:szCs w:val="28"/>
              </w:rPr>
              <w:t xml:space="preserve">об’єкти загальнонаціонального значення, зокрема об’єкти </w:t>
            </w:r>
            <w:r w:rsidRPr="00D07956">
              <w:rPr>
                <w:b/>
                <w:sz w:val="28"/>
                <w:szCs w:val="28"/>
              </w:rPr>
              <w:lastRenderedPageBreak/>
              <w:t>архітектури, меморіальні комплекси, заповідники, парки;</w:t>
            </w:r>
          </w:p>
          <w:p w14:paraId="7A497631" w14:textId="77777777" w:rsidR="005A08C1" w:rsidRPr="00D07956" w:rsidRDefault="00EE373D" w:rsidP="005B5263">
            <w:pPr>
              <w:widowControl w:val="0"/>
              <w:ind w:firstLine="567"/>
              <w:jc w:val="both"/>
              <w:rPr>
                <w:sz w:val="28"/>
                <w:szCs w:val="28"/>
              </w:rPr>
            </w:pPr>
            <w:r w:rsidRPr="00D07956">
              <w:rPr>
                <w:sz w:val="28"/>
                <w:szCs w:val="28"/>
              </w:rPr>
              <w:t>...</w:t>
            </w:r>
          </w:p>
        </w:tc>
      </w:tr>
      <w:tr w:rsidR="00D07956" w:rsidRPr="00D07956" w14:paraId="3B0D8C58" w14:textId="77777777" w:rsidTr="00B43D11">
        <w:tc>
          <w:tcPr>
            <w:tcW w:w="75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E72D2" w14:textId="18CB342E" w:rsidR="005A08C1" w:rsidRPr="00D07956" w:rsidRDefault="00EE373D" w:rsidP="005B5263">
            <w:pPr>
              <w:widowControl w:val="0"/>
              <w:tabs>
                <w:tab w:val="left" w:pos="5529"/>
              </w:tabs>
              <w:ind w:firstLine="567"/>
              <w:jc w:val="both"/>
              <w:rPr>
                <w:sz w:val="28"/>
                <w:szCs w:val="28"/>
              </w:rPr>
            </w:pPr>
            <w:r w:rsidRPr="00D07956">
              <w:rPr>
                <w:sz w:val="28"/>
                <w:szCs w:val="28"/>
              </w:rPr>
              <w:lastRenderedPageBreak/>
              <w:t xml:space="preserve">Розділ V </w:t>
            </w:r>
            <w:r w:rsidR="0078772B" w:rsidRPr="00D07956">
              <w:rPr>
                <w:sz w:val="28"/>
                <w:szCs w:val="28"/>
              </w:rPr>
              <w:t>"</w:t>
            </w:r>
            <w:r w:rsidRPr="00D07956">
              <w:rPr>
                <w:sz w:val="28"/>
                <w:szCs w:val="28"/>
              </w:rPr>
              <w:t>Прикінцеві та перехідні положення</w:t>
            </w:r>
            <w:r w:rsidR="0078772B" w:rsidRPr="00D07956">
              <w:rPr>
                <w:sz w:val="28"/>
                <w:szCs w:val="28"/>
              </w:rPr>
              <w:t>"</w:t>
            </w:r>
            <w:r w:rsidRPr="00D07956">
              <w:rPr>
                <w:sz w:val="28"/>
                <w:szCs w:val="28"/>
              </w:rPr>
              <w:t xml:space="preserve"> </w:t>
            </w:r>
          </w:p>
          <w:p w14:paraId="3417BCE1" w14:textId="77777777" w:rsidR="005A08C1" w:rsidRPr="00D07956" w:rsidRDefault="00EE373D" w:rsidP="005B5263">
            <w:pPr>
              <w:widowControl w:val="0"/>
              <w:tabs>
                <w:tab w:val="left" w:pos="5529"/>
              </w:tabs>
              <w:ind w:firstLine="567"/>
              <w:jc w:val="both"/>
              <w:rPr>
                <w:sz w:val="28"/>
                <w:szCs w:val="28"/>
              </w:rPr>
            </w:pPr>
            <w:r w:rsidRPr="00D07956">
              <w:rPr>
                <w:sz w:val="28"/>
                <w:szCs w:val="28"/>
              </w:rPr>
              <w:t>…</w:t>
            </w:r>
          </w:p>
          <w:p w14:paraId="0DB5CE5F" w14:textId="55A5A44C" w:rsidR="005A08C1" w:rsidRPr="00D07956" w:rsidRDefault="007E5946" w:rsidP="005B5263">
            <w:pPr>
              <w:widowControl w:val="0"/>
              <w:tabs>
                <w:tab w:val="left" w:pos="5529"/>
              </w:tabs>
              <w:ind w:firstLine="567"/>
              <w:jc w:val="both"/>
              <w:rPr>
                <w:b/>
                <w:sz w:val="28"/>
                <w:szCs w:val="28"/>
              </w:rPr>
            </w:pPr>
            <w:r w:rsidRPr="00D07956">
              <w:rPr>
                <w:b/>
                <w:sz w:val="28"/>
                <w:szCs w:val="28"/>
                <w:shd w:val="clear" w:color="auto" w:fill="FFFFFF"/>
              </w:rPr>
              <w:t>7</w:t>
            </w:r>
            <w:r w:rsidRPr="00D07956">
              <w:rPr>
                <w:rStyle w:val="rvts37"/>
                <w:b/>
                <w:bCs/>
                <w:sz w:val="28"/>
                <w:szCs w:val="28"/>
                <w:shd w:val="clear" w:color="auto" w:fill="FFFFFF"/>
                <w:vertAlign w:val="superscript"/>
              </w:rPr>
              <w:t>2</w:t>
            </w:r>
            <w:r w:rsidRPr="00D07956">
              <w:rPr>
                <w:b/>
                <w:sz w:val="28"/>
                <w:szCs w:val="28"/>
                <w:shd w:val="clear" w:color="auto" w:fill="FFFFFF"/>
              </w:rPr>
              <w:t>. Тимчасово, на період встановлення Кабінетом Міністрів України карантину та обмежувальних заходів щодо запобігання виникненню та поширенню коронавірусної хвороби (COVID-19), аукціони із зниженням стартової ціни, аукціони за методом вивчення цінових пропозицій, а також приватизація шляхом викупу об’єктів великої приватизації не проводяться.</w:t>
            </w:r>
          </w:p>
          <w:p w14:paraId="12BAC2B2" w14:textId="77777777" w:rsidR="005A08C1" w:rsidRPr="00D07956" w:rsidRDefault="00EE373D" w:rsidP="005B5263">
            <w:pPr>
              <w:widowControl w:val="0"/>
              <w:tabs>
                <w:tab w:val="left" w:pos="5529"/>
              </w:tabs>
              <w:ind w:firstLine="567"/>
              <w:jc w:val="both"/>
              <w:rPr>
                <w:sz w:val="28"/>
                <w:szCs w:val="28"/>
              </w:rPr>
            </w:pPr>
            <w:r w:rsidRPr="00D07956">
              <w:rPr>
                <w:sz w:val="28"/>
                <w:szCs w:val="28"/>
              </w:rPr>
              <w:t>…</w:t>
            </w:r>
          </w:p>
        </w:tc>
        <w:tc>
          <w:tcPr>
            <w:tcW w:w="75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BD246" w14:textId="36EE7E66" w:rsidR="005A08C1" w:rsidRPr="00D07956" w:rsidRDefault="00EE373D" w:rsidP="005B5263">
            <w:pPr>
              <w:widowControl w:val="0"/>
              <w:ind w:firstLine="567"/>
              <w:jc w:val="both"/>
              <w:rPr>
                <w:sz w:val="28"/>
                <w:szCs w:val="28"/>
              </w:rPr>
            </w:pPr>
            <w:r w:rsidRPr="00D07956">
              <w:rPr>
                <w:sz w:val="28"/>
                <w:szCs w:val="28"/>
              </w:rPr>
              <w:t xml:space="preserve">Розділ V </w:t>
            </w:r>
            <w:r w:rsidR="0078772B" w:rsidRPr="00D07956">
              <w:rPr>
                <w:sz w:val="28"/>
                <w:szCs w:val="28"/>
              </w:rPr>
              <w:t>"</w:t>
            </w:r>
            <w:r w:rsidRPr="00D07956">
              <w:rPr>
                <w:sz w:val="28"/>
                <w:szCs w:val="28"/>
              </w:rPr>
              <w:t>Прикінцеві та перехідні положення</w:t>
            </w:r>
            <w:r w:rsidR="0078772B" w:rsidRPr="00D07956">
              <w:rPr>
                <w:sz w:val="28"/>
                <w:szCs w:val="28"/>
              </w:rPr>
              <w:t>"</w:t>
            </w:r>
            <w:r w:rsidRPr="00D07956">
              <w:rPr>
                <w:sz w:val="28"/>
                <w:szCs w:val="28"/>
              </w:rPr>
              <w:t xml:space="preserve"> </w:t>
            </w:r>
          </w:p>
          <w:p w14:paraId="234E9655" w14:textId="77777777" w:rsidR="005A08C1" w:rsidRPr="00D07956" w:rsidRDefault="00EE373D" w:rsidP="005B5263">
            <w:pPr>
              <w:widowControl w:val="0"/>
              <w:ind w:firstLine="567"/>
              <w:jc w:val="both"/>
              <w:rPr>
                <w:sz w:val="28"/>
                <w:szCs w:val="28"/>
              </w:rPr>
            </w:pPr>
            <w:r w:rsidRPr="00D07956">
              <w:rPr>
                <w:sz w:val="28"/>
                <w:szCs w:val="28"/>
              </w:rPr>
              <w:t>…</w:t>
            </w:r>
          </w:p>
          <w:p w14:paraId="18E9F89F" w14:textId="6A8D528E" w:rsidR="005A08C1" w:rsidRPr="00D07956" w:rsidRDefault="00623947" w:rsidP="005B5263">
            <w:pPr>
              <w:widowControl w:val="0"/>
              <w:ind w:firstLine="567"/>
              <w:jc w:val="both"/>
              <w:rPr>
                <w:sz w:val="28"/>
                <w:szCs w:val="28"/>
              </w:rPr>
            </w:pPr>
            <w:r w:rsidRPr="00D07956">
              <w:rPr>
                <w:b/>
                <w:sz w:val="28"/>
                <w:szCs w:val="28"/>
                <w:shd w:val="clear" w:color="auto" w:fill="FFFFFF"/>
              </w:rPr>
              <w:t>7</w:t>
            </w:r>
            <w:r w:rsidRPr="00D07956">
              <w:rPr>
                <w:b/>
                <w:sz w:val="28"/>
                <w:szCs w:val="28"/>
                <w:shd w:val="clear" w:color="auto" w:fill="FFFFFF"/>
                <w:vertAlign w:val="superscript"/>
              </w:rPr>
              <w:t>2</w:t>
            </w:r>
            <w:r w:rsidRPr="00D07956">
              <w:rPr>
                <w:b/>
                <w:sz w:val="28"/>
                <w:szCs w:val="28"/>
                <w:shd w:val="clear" w:color="auto" w:fill="FFFFFF"/>
              </w:rPr>
              <w:t>. Тимчасово, на період встановлення Кабінетом Міністрів України карантину та обмежувальних заходів щодо запобігання виникненню та поширенню коронавірусної хвороби (COVID-19), приватизація (продаж) об’єктів великої приватизації припиняється, а прийняті рішення щодо приватизації (продажу) таких об'єктів вважаються такими, що втратили чинність.</w:t>
            </w:r>
          </w:p>
          <w:p w14:paraId="62F3B903" w14:textId="77777777" w:rsidR="005A08C1" w:rsidRPr="00D07956" w:rsidRDefault="00EE373D" w:rsidP="005B5263">
            <w:pPr>
              <w:widowControl w:val="0"/>
              <w:ind w:firstLine="567"/>
              <w:jc w:val="both"/>
              <w:rPr>
                <w:sz w:val="28"/>
                <w:szCs w:val="28"/>
              </w:rPr>
            </w:pPr>
            <w:r w:rsidRPr="00D07956">
              <w:rPr>
                <w:sz w:val="28"/>
                <w:szCs w:val="28"/>
              </w:rPr>
              <w:t xml:space="preserve">… </w:t>
            </w:r>
          </w:p>
        </w:tc>
      </w:tr>
    </w:tbl>
    <w:p w14:paraId="11CDE729" w14:textId="464C162B" w:rsidR="005A08C1" w:rsidRPr="00D07956" w:rsidRDefault="005A08C1">
      <w:pPr>
        <w:widowControl w:val="0"/>
        <w:pBdr>
          <w:top w:val="nil"/>
          <w:left w:val="nil"/>
          <w:bottom w:val="nil"/>
          <w:right w:val="nil"/>
          <w:between w:val="nil"/>
        </w:pBdr>
        <w:rPr>
          <w:sz w:val="28"/>
          <w:szCs w:val="28"/>
        </w:rPr>
      </w:pPr>
    </w:p>
    <w:p w14:paraId="6FFB5525" w14:textId="77777777" w:rsidR="005B5263" w:rsidRPr="00D07956" w:rsidRDefault="005B5263">
      <w:pPr>
        <w:widowControl w:val="0"/>
        <w:pBdr>
          <w:top w:val="nil"/>
          <w:left w:val="nil"/>
          <w:bottom w:val="nil"/>
          <w:right w:val="nil"/>
          <w:between w:val="nil"/>
        </w:pBdr>
        <w:rPr>
          <w:sz w:val="28"/>
          <w:szCs w:val="28"/>
        </w:rPr>
      </w:pPr>
    </w:p>
    <w:p w14:paraId="2329C58C" w14:textId="77777777" w:rsidR="00534784" w:rsidRPr="00D07956" w:rsidRDefault="00534784">
      <w:pPr>
        <w:widowControl w:val="0"/>
        <w:pBdr>
          <w:top w:val="nil"/>
          <w:left w:val="nil"/>
          <w:bottom w:val="nil"/>
          <w:right w:val="nil"/>
          <w:between w:val="nil"/>
        </w:pBdr>
        <w:spacing w:line="276" w:lineRule="auto"/>
        <w:rPr>
          <w:b/>
          <w:sz w:val="28"/>
          <w:szCs w:val="28"/>
        </w:rPr>
      </w:pPr>
    </w:p>
    <w:p w14:paraId="148C4170" w14:textId="3E036041" w:rsidR="005A08C1" w:rsidRPr="00D07956" w:rsidRDefault="00EE373D" w:rsidP="00B43D11">
      <w:pPr>
        <w:widowControl w:val="0"/>
        <w:pBdr>
          <w:top w:val="nil"/>
          <w:left w:val="nil"/>
          <w:bottom w:val="nil"/>
          <w:right w:val="nil"/>
          <w:between w:val="nil"/>
        </w:pBdr>
        <w:spacing w:line="276" w:lineRule="auto"/>
        <w:jc w:val="center"/>
        <w:rPr>
          <w:b/>
          <w:sz w:val="28"/>
          <w:szCs w:val="28"/>
        </w:rPr>
      </w:pPr>
      <w:r w:rsidRPr="00D07956">
        <w:rPr>
          <w:b/>
          <w:sz w:val="28"/>
          <w:szCs w:val="28"/>
        </w:rPr>
        <w:t>Народн</w:t>
      </w:r>
      <w:r w:rsidR="00B43D11" w:rsidRPr="00D07956">
        <w:rPr>
          <w:b/>
          <w:sz w:val="28"/>
          <w:szCs w:val="28"/>
        </w:rPr>
        <w:t>ий депутат</w:t>
      </w:r>
      <w:r w:rsidRPr="00D07956">
        <w:rPr>
          <w:b/>
          <w:sz w:val="28"/>
          <w:szCs w:val="28"/>
        </w:rPr>
        <w:t xml:space="preserve"> України </w:t>
      </w:r>
      <w:r w:rsidR="00B43D11" w:rsidRPr="00D07956">
        <w:rPr>
          <w:b/>
          <w:sz w:val="28"/>
          <w:szCs w:val="28"/>
        </w:rPr>
        <w:t xml:space="preserve">                                                   Королевська Н.Ю.</w:t>
      </w:r>
    </w:p>
    <w:sectPr w:rsidR="005A08C1" w:rsidRPr="00D07956" w:rsidSect="00E208EB">
      <w:headerReference w:type="default" r:id="rId9"/>
      <w:footerReference w:type="default" r:id="rId10"/>
      <w:pgSz w:w="16838" w:h="11906" w:orient="landscape"/>
      <w:pgMar w:top="907" w:right="851" w:bottom="851" w:left="85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C657" w14:textId="77777777" w:rsidR="001708F7" w:rsidRDefault="001708F7">
      <w:r>
        <w:separator/>
      </w:r>
    </w:p>
  </w:endnote>
  <w:endnote w:type="continuationSeparator" w:id="0">
    <w:p w14:paraId="262C09E3" w14:textId="77777777" w:rsidR="001708F7" w:rsidRDefault="001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D844" w14:textId="5C2C5996" w:rsidR="005A08C1" w:rsidRDefault="005A08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CB43" w14:textId="77777777" w:rsidR="001708F7" w:rsidRDefault="001708F7">
      <w:r>
        <w:separator/>
      </w:r>
    </w:p>
  </w:footnote>
  <w:footnote w:type="continuationSeparator" w:id="0">
    <w:p w14:paraId="4F9EA3B3" w14:textId="77777777" w:rsidR="001708F7" w:rsidRDefault="0017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84839"/>
      <w:docPartObj>
        <w:docPartGallery w:val="Page Numbers (Top of Page)"/>
        <w:docPartUnique/>
      </w:docPartObj>
    </w:sdtPr>
    <w:sdtEndPr>
      <w:rPr>
        <w:sz w:val="24"/>
      </w:rPr>
    </w:sdtEndPr>
    <w:sdtContent>
      <w:p w14:paraId="665D83B1" w14:textId="035C723F" w:rsidR="00E208EB" w:rsidRPr="00E208EB" w:rsidRDefault="00E208EB">
        <w:pPr>
          <w:pStyle w:val="a6"/>
          <w:jc w:val="center"/>
          <w:rPr>
            <w:sz w:val="24"/>
          </w:rPr>
        </w:pPr>
        <w:r w:rsidRPr="00E208EB">
          <w:rPr>
            <w:sz w:val="24"/>
          </w:rPr>
          <w:fldChar w:fldCharType="begin"/>
        </w:r>
        <w:r w:rsidRPr="00E208EB">
          <w:rPr>
            <w:sz w:val="24"/>
          </w:rPr>
          <w:instrText>PAGE   \* MERGEFORMAT</w:instrText>
        </w:r>
        <w:r w:rsidRPr="00E208EB">
          <w:rPr>
            <w:sz w:val="24"/>
          </w:rPr>
          <w:fldChar w:fldCharType="separate"/>
        </w:r>
        <w:r w:rsidR="00E03D1A">
          <w:rPr>
            <w:noProof/>
            <w:sz w:val="24"/>
          </w:rPr>
          <w:t>3</w:t>
        </w:r>
        <w:r w:rsidRPr="00E208EB">
          <w:rPr>
            <w:sz w:val="24"/>
          </w:rPr>
          <w:fldChar w:fldCharType="end"/>
        </w:r>
      </w:p>
    </w:sdtContent>
  </w:sdt>
  <w:p w14:paraId="733790EE" w14:textId="77777777" w:rsidR="004963FF" w:rsidRDefault="004963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C1"/>
    <w:rsid w:val="00047F9A"/>
    <w:rsid w:val="001708F7"/>
    <w:rsid w:val="001C37D5"/>
    <w:rsid w:val="00481469"/>
    <w:rsid w:val="004963FF"/>
    <w:rsid w:val="0052591A"/>
    <w:rsid w:val="00534784"/>
    <w:rsid w:val="005A08C1"/>
    <w:rsid w:val="005B5263"/>
    <w:rsid w:val="00623947"/>
    <w:rsid w:val="0078772B"/>
    <w:rsid w:val="007E5946"/>
    <w:rsid w:val="00A46024"/>
    <w:rsid w:val="00B43D11"/>
    <w:rsid w:val="00B54437"/>
    <w:rsid w:val="00B56C0E"/>
    <w:rsid w:val="00C772B3"/>
    <w:rsid w:val="00D07956"/>
    <w:rsid w:val="00DA4F66"/>
    <w:rsid w:val="00E03D1A"/>
    <w:rsid w:val="00E208EB"/>
    <w:rsid w:val="00E324C4"/>
    <w:rsid w:val="00ED3981"/>
    <w:rsid w:val="00EE373D"/>
    <w:rsid w:val="00F41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7D34"/>
  <w15:docId w15:val="{82F3AAC2-2DA1-4CD5-B012-19C776E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1C37D5"/>
    <w:pPr>
      <w:tabs>
        <w:tab w:val="center" w:pos="4819"/>
        <w:tab w:val="right" w:pos="9639"/>
      </w:tabs>
    </w:pPr>
  </w:style>
  <w:style w:type="character" w:customStyle="1" w:styleId="a7">
    <w:name w:val="Верхній колонтитул Знак"/>
    <w:basedOn w:val="a0"/>
    <w:link w:val="a6"/>
    <w:uiPriority w:val="99"/>
    <w:rsid w:val="001C37D5"/>
  </w:style>
  <w:style w:type="paragraph" w:styleId="a8">
    <w:name w:val="footer"/>
    <w:basedOn w:val="a"/>
    <w:link w:val="a9"/>
    <w:uiPriority w:val="99"/>
    <w:unhideWhenUsed/>
    <w:rsid w:val="001C37D5"/>
    <w:pPr>
      <w:tabs>
        <w:tab w:val="center" w:pos="4819"/>
        <w:tab w:val="right" w:pos="9639"/>
      </w:tabs>
    </w:pPr>
  </w:style>
  <w:style w:type="character" w:customStyle="1" w:styleId="a9">
    <w:name w:val="Нижній колонтитул Знак"/>
    <w:basedOn w:val="a0"/>
    <w:link w:val="a8"/>
    <w:uiPriority w:val="99"/>
    <w:rsid w:val="001C37D5"/>
  </w:style>
  <w:style w:type="character" w:customStyle="1" w:styleId="rvts37">
    <w:name w:val="rvts37"/>
    <w:basedOn w:val="a0"/>
    <w:rsid w:val="007E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67AB9-C3D1-4CA4-94CC-42486D19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017C3-67C2-491F-986E-6B4ABE19B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D0629-2E5E-466D-8785-0EB2A9C1E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3721</Words>
  <Characters>2121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Павлюк Павло Петрович</dc:creator>
  <cp:lastModifiedBy>Павлюк Павло Петрович</cp:lastModifiedBy>
  <cp:revision>2</cp:revision>
  <dcterms:created xsi:type="dcterms:W3CDTF">2021-05-05T14:03:00Z</dcterms:created>
  <dcterms:modified xsi:type="dcterms:W3CDTF">2021-05-05T14:03:00Z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