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2393" w14:textId="77777777" w:rsidR="006343E5" w:rsidRPr="00270307" w:rsidRDefault="0060689A">
      <w:pPr>
        <w:pBdr>
          <w:top w:val="nil"/>
          <w:left w:val="nil"/>
          <w:bottom w:val="nil"/>
          <w:right w:val="nil"/>
          <w:between w:val="nil"/>
        </w:pBdr>
        <w:jc w:val="center"/>
        <w:rPr>
          <w:b/>
        </w:rPr>
      </w:pPr>
      <w:bookmarkStart w:id="0" w:name="_GoBack"/>
      <w:bookmarkEnd w:id="0"/>
      <w:r w:rsidRPr="00270307">
        <w:rPr>
          <w:b/>
        </w:rPr>
        <w:t>ПОРІВНЯЛЬНА ТАБЛИЦЯ</w:t>
      </w:r>
    </w:p>
    <w:p w14:paraId="02EA8789" w14:textId="77777777" w:rsidR="006343E5" w:rsidRPr="00270307" w:rsidRDefault="0060689A">
      <w:pPr>
        <w:pBdr>
          <w:top w:val="nil"/>
          <w:left w:val="nil"/>
          <w:bottom w:val="nil"/>
          <w:right w:val="nil"/>
          <w:between w:val="nil"/>
        </w:pBdr>
        <w:jc w:val="center"/>
        <w:rPr>
          <w:b/>
        </w:rPr>
      </w:pPr>
      <w:r w:rsidRPr="00270307">
        <w:rPr>
          <w:b/>
        </w:rPr>
        <w:t>до проекту Закону України «Про внесення змін до статті 110 та 111 Сімейного кодексу України»</w:t>
      </w:r>
    </w:p>
    <w:p w14:paraId="7A5E5108" w14:textId="77777777" w:rsidR="006343E5" w:rsidRPr="00270307" w:rsidRDefault="006343E5">
      <w:pPr>
        <w:pBdr>
          <w:top w:val="nil"/>
          <w:left w:val="nil"/>
          <w:bottom w:val="nil"/>
          <w:right w:val="nil"/>
          <w:between w:val="nil"/>
        </w:pBdr>
        <w:jc w:val="center"/>
        <w:rPr>
          <w:b/>
        </w:rPr>
      </w:pPr>
    </w:p>
    <w:p w14:paraId="0F579DF1" w14:textId="77777777" w:rsidR="006343E5" w:rsidRPr="00270307" w:rsidRDefault="006343E5">
      <w:pPr>
        <w:pBdr>
          <w:top w:val="nil"/>
          <w:left w:val="nil"/>
          <w:bottom w:val="nil"/>
          <w:right w:val="nil"/>
          <w:between w:val="nil"/>
        </w:pBdr>
        <w:jc w:val="center"/>
        <w:rPr>
          <w:b/>
        </w:rPr>
      </w:pPr>
    </w:p>
    <w:tbl>
      <w:tblPr>
        <w:tblStyle w:val="a5"/>
        <w:tblW w:w="141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87"/>
        <w:gridCol w:w="7096"/>
      </w:tblGrid>
      <w:tr w:rsidR="00270307" w:rsidRPr="00270307" w14:paraId="5161624F" w14:textId="77777777" w:rsidTr="00270307">
        <w:tc>
          <w:tcPr>
            <w:tcW w:w="7087" w:type="dxa"/>
            <w:shd w:val="clear" w:color="auto" w:fill="auto"/>
            <w:tcMar>
              <w:top w:w="0" w:type="dxa"/>
              <w:left w:w="108" w:type="dxa"/>
              <w:bottom w:w="0" w:type="dxa"/>
              <w:right w:w="108" w:type="dxa"/>
            </w:tcMar>
          </w:tcPr>
          <w:p w14:paraId="19354833" w14:textId="3B61AA95" w:rsidR="00270307" w:rsidRPr="00270307" w:rsidRDefault="00270307">
            <w:pPr>
              <w:pBdr>
                <w:top w:val="nil"/>
                <w:left w:val="nil"/>
                <w:bottom w:val="nil"/>
                <w:right w:val="nil"/>
                <w:between w:val="nil"/>
              </w:pBdr>
              <w:jc w:val="center"/>
              <w:rPr>
                <w:b/>
              </w:rPr>
            </w:pPr>
            <w:r w:rsidRPr="00270307">
              <w:rPr>
                <w:b/>
              </w:rPr>
              <w:t>Зміст положення (норми) чинного акту законодавства</w:t>
            </w:r>
          </w:p>
        </w:tc>
        <w:tc>
          <w:tcPr>
            <w:tcW w:w="7096" w:type="dxa"/>
            <w:shd w:val="clear" w:color="auto" w:fill="auto"/>
            <w:tcMar>
              <w:top w:w="0" w:type="dxa"/>
              <w:left w:w="108" w:type="dxa"/>
              <w:bottom w:w="0" w:type="dxa"/>
              <w:right w:w="108" w:type="dxa"/>
            </w:tcMar>
          </w:tcPr>
          <w:p w14:paraId="2C1F8C98" w14:textId="776715DA" w:rsidR="00270307" w:rsidRPr="00270307" w:rsidRDefault="00270307">
            <w:pPr>
              <w:pBdr>
                <w:top w:val="nil"/>
                <w:left w:val="nil"/>
                <w:bottom w:val="nil"/>
                <w:right w:val="nil"/>
                <w:between w:val="nil"/>
              </w:pBdr>
              <w:jc w:val="center"/>
              <w:rPr>
                <w:b/>
              </w:rPr>
            </w:pPr>
            <w:r w:rsidRPr="00270307">
              <w:rPr>
                <w:b/>
              </w:rPr>
              <w:t>Зміст відповідного положення (норми) з урахуванням пропонованих змін</w:t>
            </w:r>
          </w:p>
        </w:tc>
      </w:tr>
      <w:tr w:rsidR="00270307" w:rsidRPr="00270307" w14:paraId="79DF4B8D" w14:textId="77777777" w:rsidTr="00B655E5">
        <w:tc>
          <w:tcPr>
            <w:tcW w:w="14183" w:type="dxa"/>
            <w:gridSpan w:val="2"/>
            <w:shd w:val="clear" w:color="auto" w:fill="auto"/>
            <w:tcMar>
              <w:top w:w="0" w:type="dxa"/>
              <w:left w:w="108" w:type="dxa"/>
              <w:bottom w:w="0" w:type="dxa"/>
              <w:right w:w="108" w:type="dxa"/>
            </w:tcMar>
          </w:tcPr>
          <w:p w14:paraId="464C582B" w14:textId="0654B64A" w:rsidR="00270307" w:rsidRPr="00270307" w:rsidRDefault="00270307">
            <w:pPr>
              <w:pBdr>
                <w:top w:val="nil"/>
                <w:left w:val="nil"/>
                <w:bottom w:val="nil"/>
                <w:right w:val="nil"/>
                <w:between w:val="nil"/>
              </w:pBdr>
              <w:jc w:val="center"/>
              <w:rPr>
                <w:b/>
              </w:rPr>
            </w:pPr>
            <w:r w:rsidRPr="00270307">
              <w:rPr>
                <w:b/>
              </w:rPr>
              <w:t xml:space="preserve">Сімейний кодекс України </w:t>
            </w:r>
            <w:r w:rsidRPr="00270307">
              <w:rPr>
                <w:b/>
                <w:color w:val="000000"/>
              </w:rPr>
              <w:t>(Відомості Верховної Ради України, 2002 р., № 21-22, ст. 135)</w:t>
            </w:r>
          </w:p>
        </w:tc>
      </w:tr>
      <w:tr w:rsidR="00270307" w:rsidRPr="00270307" w14:paraId="11ECD357" w14:textId="77777777" w:rsidTr="00270307">
        <w:tc>
          <w:tcPr>
            <w:tcW w:w="7087" w:type="dxa"/>
            <w:shd w:val="clear" w:color="auto" w:fill="auto"/>
            <w:tcMar>
              <w:top w:w="0" w:type="dxa"/>
              <w:left w:w="108" w:type="dxa"/>
              <w:bottom w:w="0" w:type="dxa"/>
              <w:right w:w="108" w:type="dxa"/>
            </w:tcMar>
          </w:tcPr>
          <w:p w14:paraId="250A724B" w14:textId="4409CC2A" w:rsidR="00270307" w:rsidRDefault="00270307">
            <w:pPr>
              <w:pBdr>
                <w:top w:val="nil"/>
                <w:left w:val="nil"/>
                <w:bottom w:val="nil"/>
                <w:right w:val="nil"/>
                <w:between w:val="nil"/>
              </w:pBdr>
              <w:spacing w:before="150" w:after="150"/>
              <w:ind w:left="35" w:right="450" w:firstLine="425"/>
              <w:jc w:val="both"/>
            </w:pPr>
            <w:r w:rsidRPr="00270307">
              <w:rPr>
                <w:b/>
                <w:color w:val="000000"/>
              </w:rPr>
              <w:t xml:space="preserve">Стаття 110. </w:t>
            </w:r>
            <w:r w:rsidRPr="00270307">
              <w:rPr>
                <w:color w:val="000000"/>
              </w:rPr>
              <w:t>П</w:t>
            </w:r>
            <w:r w:rsidRPr="00270307">
              <w:t>раво на пред'явлення позову про розірвання шлюбу</w:t>
            </w:r>
          </w:p>
          <w:p w14:paraId="1CCF7792" w14:textId="79895ABA" w:rsidR="00270307" w:rsidRPr="00270307" w:rsidRDefault="00270307" w:rsidP="00270307">
            <w:pPr>
              <w:pStyle w:val="a6"/>
              <w:numPr>
                <w:ilvl w:val="0"/>
                <w:numId w:val="4"/>
              </w:numPr>
              <w:pBdr>
                <w:top w:val="nil"/>
                <w:left w:val="nil"/>
                <w:bottom w:val="nil"/>
                <w:right w:val="nil"/>
                <w:between w:val="nil"/>
              </w:pBdr>
              <w:spacing w:before="150" w:after="150"/>
              <w:ind w:right="450"/>
              <w:jc w:val="both"/>
              <w:rPr>
                <w:bCs/>
              </w:rPr>
            </w:pPr>
            <w:r w:rsidRPr="00270307">
              <w:rPr>
                <w:bCs/>
              </w:rPr>
              <w:t>Позов про розірвання шлюбу може бути пред'явлений одним із подружжя.</w:t>
            </w:r>
          </w:p>
          <w:p w14:paraId="5E2AEB16" w14:textId="77777777" w:rsidR="00270307" w:rsidRPr="00270307" w:rsidRDefault="00270307">
            <w:pPr>
              <w:pBdr>
                <w:top w:val="nil"/>
                <w:left w:val="nil"/>
                <w:bottom w:val="nil"/>
                <w:right w:val="nil"/>
                <w:between w:val="nil"/>
              </w:pBdr>
              <w:spacing w:before="150" w:after="150"/>
              <w:ind w:left="1330" w:right="450"/>
              <w:jc w:val="both"/>
            </w:pPr>
          </w:p>
          <w:p w14:paraId="2F899D09" w14:textId="77777777" w:rsidR="00270307" w:rsidRPr="00270307" w:rsidRDefault="00270307">
            <w:pPr>
              <w:pBdr>
                <w:top w:val="nil"/>
                <w:left w:val="nil"/>
                <w:bottom w:val="nil"/>
                <w:right w:val="nil"/>
                <w:between w:val="nil"/>
              </w:pBdr>
              <w:spacing w:before="150" w:after="150"/>
              <w:ind w:left="35" w:right="450" w:firstLine="425"/>
              <w:jc w:val="both"/>
              <w:rPr>
                <w:b/>
              </w:rPr>
            </w:pPr>
            <w:r w:rsidRPr="00270307">
              <w:rPr>
                <w:b/>
              </w:rPr>
              <w:t>2. Позов про розірвання шлюбу не може бути пред'явлений протягом вагітності дружини та протягом одного року після народження дитини, крім випадків, коли один із подружжя вчинив протиправну поведінку, яка містить ознаки кримінального правопорушення, щодо другого з подружжя або дитини.</w:t>
            </w:r>
          </w:p>
          <w:p w14:paraId="4D5A2747" w14:textId="77777777" w:rsidR="00270307" w:rsidRPr="00270307" w:rsidRDefault="00270307">
            <w:pPr>
              <w:pBdr>
                <w:top w:val="nil"/>
                <w:left w:val="nil"/>
                <w:bottom w:val="nil"/>
                <w:right w:val="nil"/>
                <w:between w:val="nil"/>
              </w:pBdr>
              <w:spacing w:before="150" w:after="150"/>
              <w:ind w:left="35" w:right="450" w:firstLine="425"/>
              <w:jc w:val="both"/>
              <w:rPr>
                <w:b/>
              </w:rPr>
            </w:pPr>
            <w:r w:rsidRPr="00270307">
              <w:rPr>
                <w:b/>
              </w:rPr>
              <w:t>{Частина друга статті 110 із змінами, внесеними згідно із Законом № 245-VII від 16.05.2013}</w:t>
            </w:r>
          </w:p>
          <w:p w14:paraId="547B6D41" w14:textId="2DBE3F16" w:rsidR="00270307" w:rsidRPr="00270307" w:rsidRDefault="00270307" w:rsidP="00F341AB">
            <w:pPr>
              <w:pBdr>
                <w:top w:val="nil"/>
                <w:left w:val="nil"/>
                <w:bottom w:val="nil"/>
                <w:right w:val="nil"/>
                <w:between w:val="nil"/>
              </w:pBdr>
              <w:spacing w:before="150" w:after="150"/>
              <w:ind w:left="35" w:right="450" w:firstLine="425"/>
              <w:jc w:val="both"/>
              <w:rPr>
                <w:b/>
              </w:rPr>
            </w:pPr>
            <w:r w:rsidRPr="00270307">
              <w:rPr>
                <w:b/>
              </w:rPr>
              <w:t xml:space="preserve">3. Чоловік, дружина мають право пред'явити позов про розірвання шлюбу протягом вагітності </w:t>
            </w:r>
            <w:r w:rsidRPr="00270307">
              <w:rPr>
                <w:b/>
              </w:rPr>
              <w:lastRenderedPageBreak/>
              <w:t>дружини, якщо батьківство зачатої дитини визнане іншою особою.</w:t>
            </w:r>
          </w:p>
          <w:p w14:paraId="1E1B2FC8" w14:textId="77777777" w:rsidR="00270307" w:rsidRPr="00270307" w:rsidRDefault="00270307">
            <w:pPr>
              <w:pBdr>
                <w:top w:val="nil"/>
                <w:left w:val="nil"/>
                <w:bottom w:val="nil"/>
                <w:right w:val="nil"/>
                <w:between w:val="nil"/>
              </w:pBdr>
              <w:spacing w:before="150" w:after="150"/>
              <w:ind w:left="35" w:right="450" w:firstLine="425"/>
              <w:jc w:val="both"/>
              <w:rPr>
                <w:b/>
              </w:rPr>
            </w:pPr>
            <w:r w:rsidRPr="00270307">
              <w:rPr>
                <w:b/>
              </w:rPr>
              <w:t>4. Чоловік, дружина мають право пред'явити позов про розірвання шлюбу до досягнення дитиною одного року, якщо батьківство щодо неї визнане іншою особою або за рішенням суду відомості про чоловіка як батька дитини виключено із актового запису про народження дитини.</w:t>
            </w:r>
          </w:p>
          <w:p w14:paraId="1404C4FB" w14:textId="77777777" w:rsidR="00270307" w:rsidRPr="00270307" w:rsidRDefault="00270307">
            <w:pPr>
              <w:pBdr>
                <w:top w:val="nil"/>
                <w:left w:val="nil"/>
                <w:bottom w:val="nil"/>
                <w:right w:val="nil"/>
                <w:between w:val="nil"/>
              </w:pBdr>
              <w:spacing w:before="150" w:after="150"/>
              <w:ind w:left="35" w:right="450" w:firstLine="425"/>
              <w:jc w:val="both"/>
            </w:pPr>
            <w:r w:rsidRPr="00270307">
              <w:t>5. Опікун має право пред'явити позов про розірвання шлюбу, якщо цього вимагають інтереси того з подружжя, хто визнаний недієздатним.</w:t>
            </w:r>
          </w:p>
          <w:p w14:paraId="160582F0" w14:textId="77777777" w:rsidR="00270307" w:rsidRPr="00270307" w:rsidRDefault="00270307">
            <w:pPr>
              <w:pBdr>
                <w:top w:val="nil"/>
                <w:left w:val="nil"/>
                <w:bottom w:val="nil"/>
                <w:right w:val="nil"/>
                <w:between w:val="nil"/>
              </w:pBdr>
              <w:spacing w:after="150"/>
              <w:ind w:firstLine="450"/>
              <w:jc w:val="both"/>
            </w:pPr>
          </w:p>
        </w:tc>
        <w:tc>
          <w:tcPr>
            <w:tcW w:w="7096" w:type="dxa"/>
            <w:shd w:val="clear" w:color="auto" w:fill="auto"/>
            <w:tcMar>
              <w:top w:w="0" w:type="dxa"/>
              <w:left w:w="108" w:type="dxa"/>
              <w:bottom w:w="0" w:type="dxa"/>
              <w:right w:w="108" w:type="dxa"/>
            </w:tcMar>
          </w:tcPr>
          <w:p w14:paraId="6C7CFC0A" w14:textId="77777777" w:rsidR="00270307" w:rsidRPr="00270307" w:rsidRDefault="00270307">
            <w:pPr>
              <w:pBdr>
                <w:top w:val="nil"/>
                <w:left w:val="nil"/>
                <w:bottom w:val="nil"/>
                <w:right w:val="nil"/>
                <w:between w:val="nil"/>
              </w:pBdr>
              <w:spacing w:before="150" w:after="150"/>
              <w:ind w:left="35" w:right="450" w:firstLine="425"/>
              <w:jc w:val="both"/>
              <w:rPr>
                <w:color w:val="000000"/>
              </w:rPr>
            </w:pPr>
            <w:r w:rsidRPr="00270307">
              <w:rPr>
                <w:b/>
                <w:bCs/>
                <w:color w:val="000000"/>
              </w:rPr>
              <w:lastRenderedPageBreak/>
              <w:t>Стаття 110.</w:t>
            </w:r>
            <w:r w:rsidRPr="00270307">
              <w:rPr>
                <w:color w:val="000000"/>
              </w:rPr>
              <w:t xml:space="preserve"> Право на пред'явлення позову про розірвання шлюбу</w:t>
            </w:r>
          </w:p>
          <w:p w14:paraId="11DDF715" w14:textId="77777777" w:rsidR="00270307" w:rsidRPr="00270307" w:rsidRDefault="00270307">
            <w:pPr>
              <w:numPr>
                <w:ilvl w:val="0"/>
                <w:numId w:val="1"/>
              </w:numPr>
              <w:pBdr>
                <w:top w:val="nil"/>
                <w:left w:val="nil"/>
                <w:bottom w:val="nil"/>
                <w:right w:val="nil"/>
                <w:between w:val="nil"/>
              </w:pBdr>
              <w:spacing w:before="150" w:after="150"/>
              <w:ind w:right="450" w:hanging="705"/>
              <w:jc w:val="both"/>
            </w:pPr>
            <w:r w:rsidRPr="00270307">
              <w:rPr>
                <w:color w:val="000000"/>
              </w:rPr>
              <w:t>Позов про розірвання шлюбу може бути пред'явлений одним із подружжя.</w:t>
            </w:r>
          </w:p>
          <w:p w14:paraId="7FE368CA" w14:textId="77777777" w:rsidR="00270307" w:rsidRPr="00270307" w:rsidRDefault="00270307">
            <w:pPr>
              <w:pBdr>
                <w:top w:val="nil"/>
                <w:left w:val="nil"/>
                <w:bottom w:val="nil"/>
                <w:right w:val="nil"/>
                <w:between w:val="nil"/>
              </w:pBdr>
              <w:spacing w:before="150" w:after="150"/>
              <w:ind w:right="450"/>
              <w:jc w:val="both"/>
              <w:rPr>
                <w:color w:val="000000"/>
              </w:rPr>
            </w:pPr>
          </w:p>
          <w:p w14:paraId="7C6801EC" w14:textId="34B93E6B" w:rsidR="00270307" w:rsidRPr="00777447" w:rsidRDefault="00270307">
            <w:pPr>
              <w:pBdr>
                <w:top w:val="nil"/>
                <w:left w:val="nil"/>
                <w:bottom w:val="nil"/>
                <w:right w:val="nil"/>
                <w:between w:val="nil"/>
              </w:pBdr>
              <w:spacing w:before="150" w:after="150"/>
              <w:ind w:right="450"/>
              <w:jc w:val="both"/>
              <w:rPr>
                <w:b/>
                <w:iCs/>
              </w:rPr>
            </w:pPr>
            <w:r w:rsidRPr="00777447">
              <w:rPr>
                <w:b/>
                <w:iCs/>
                <w:color w:val="000000"/>
              </w:rPr>
              <w:t>Виключити</w:t>
            </w:r>
            <w:r w:rsidR="00D45D94">
              <w:rPr>
                <w:b/>
                <w:iCs/>
                <w:color w:val="000000"/>
              </w:rPr>
              <w:t>.</w:t>
            </w:r>
          </w:p>
          <w:p w14:paraId="3D1EB265" w14:textId="77777777" w:rsidR="00270307" w:rsidRPr="00270307" w:rsidRDefault="00270307">
            <w:pPr>
              <w:pBdr>
                <w:top w:val="nil"/>
                <w:left w:val="nil"/>
                <w:bottom w:val="nil"/>
                <w:right w:val="nil"/>
                <w:between w:val="nil"/>
              </w:pBdr>
              <w:spacing w:before="150" w:after="150"/>
              <w:ind w:right="450"/>
              <w:jc w:val="both"/>
              <w:rPr>
                <w:b/>
                <w:i/>
              </w:rPr>
            </w:pPr>
          </w:p>
          <w:p w14:paraId="5DAEA9AD" w14:textId="77777777" w:rsidR="00270307" w:rsidRPr="00270307" w:rsidRDefault="00270307">
            <w:pPr>
              <w:pBdr>
                <w:top w:val="nil"/>
                <w:left w:val="nil"/>
                <w:bottom w:val="nil"/>
                <w:right w:val="nil"/>
                <w:between w:val="nil"/>
              </w:pBdr>
              <w:spacing w:before="150" w:after="150"/>
              <w:ind w:right="450"/>
              <w:jc w:val="both"/>
              <w:rPr>
                <w:b/>
                <w:i/>
              </w:rPr>
            </w:pPr>
          </w:p>
          <w:p w14:paraId="10B03BA6" w14:textId="77777777" w:rsidR="00270307" w:rsidRPr="00270307" w:rsidRDefault="00270307">
            <w:pPr>
              <w:pBdr>
                <w:top w:val="nil"/>
                <w:left w:val="nil"/>
                <w:bottom w:val="nil"/>
                <w:right w:val="nil"/>
                <w:between w:val="nil"/>
              </w:pBdr>
              <w:spacing w:before="150" w:after="150"/>
              <w:ind w:right="450"/>
              <w:jc w:val="both"/>
              <w:rPr>
                <w:b/>
                <w:i/>
              </w:rPr>
            </w:pPr>
          </w:p>
          <w:p w14:paraId="53ED1510" w14:textId="77777777" w:rsidR="00270307" w:rsidRPr="00270307" w:rsidRDefault="00270307">
            <w:pPr>
              <w:pBdr>
                <w:top w:val="nil"/>
                <w:left w:val="nil"/>
                <w:bottom w:val="nil"/>
                <w:right w:val="nil"/>
                <w:between w:val="nil"/>
              </w:pBdr>
              <w:spacing w:before="150" w:after="150"/>
              <w:ind w:right="450"/>
              <w:jc w:val="both"/>
              <w:rPr>
                <w:b/>
                <w:i/>
              </w:rPr>
            </w:pPr>
          </w:p>
          <w:p w14:paraId="494DE4C6" w14:textId="77777777" w:rsidR="00270307" w:rsidRPr="00270307" w:rsidRDefault="00270307">
            <w:pPr>
              <w:pBdr>
                <w:top w:val="nil"/>
                <w:left w:val="nil"/>
                <w:bottom w:val="nil"/>
                <w:right w:val="nil"/>
                <w:between w:val="nil"/>
              </w:pBdr>
              <w:spacing w:before="150" w:after="150"/>
              <w:ind w:right="450"/>
              <w:jc w:val="both"/>
              <w:rPr>
                <w:b/>
                <w:i/>
              </w:rPr>
            </w:pPr>
          </w:p>
          <w:p w14:paraId="4C4E513A" w14:textId="77777777" w:rsidR="00270307" w:rsidRPr="00270307" w:rsidRDefault="00270307">
            <w:pPr>
              <w:keepNext/>
              <w:pBdr>
                <w:top w:val="nil"/>
                <w:left w:val="nil"/>
                <w:bottom w:val="nil"/>
                <w:right w:val="nil"/>
                <w:between w:val="nil"/>
              </w:pBdr>
              <w:tabs>
                <w:tab w:val="left" w:pos="8244"/>
              </w:tabs>
              <w:spacing w:before="240" w:after="60"/>
              <w:jc w:val="both"/>
              <w:rPr>
                <w:b/>
                <w:i/>
              </w:rPr>
            </w:pPr>
          </w:p>
          <w:p w14:paraId="738EFAFB" w14:textId="77777777" w:rsidR="00270307" w:rsidRPr="00270307" w:rsidRDefault="00270307">
            <w:pPr>
              <w:keepNext/>
              <w:pBdr>
                <w:top w:val="nil"/>
                <w:left w:val="nil"/>
                <w:bottom w:val="nil"/>
                <w:right w:val="nil"/>
                <w:between w:val="nil"/>
              </w:pBdr>
              <w:tabs>
                <w:tab w:val="left" w:pos="8244"/>
              </w:tabs>
              <w:spacing w:before="240" w:after="60"/>
              <w:jc w:val="both"/>
              <w:rPr>
                <w:b/>
                <w:i/>
              </w:rPr>
            </w:pPr>
          </w:p>
          <w:p w14:paraId="4F3F5203" w14:textId="256A87A9" w:rsidR="00270307" w:rsidRDefault="00270307">
            <w:pPr>
              <w:keepNext/>
              <w:pBdr>
                <w:top w:val="nil"/>
                <w:left w:val="nil"/>
                <w:bottom w:val="nil"/>
                <w:right w:val="nil"/>
                <w:between w:val="nil"/>
              </w:pBdr>
              <w:tabs>
                <w:tab w:val="left" w:pos="8244"/>
              </w:tabs>
              <w:spacing w:before="240" w:after="60"/>
              <w:jc w:val="both"/>
              <w:rPr>
                <w:b/>
                <w:i/>
                <w:color w:val="000000"/>
              </w:rPr>
            </w:pPr>
          </w:p>
          <w:p w14:paraId="02E31C11" w14:textId="5DB85818" w:rsidR="00270307" w:rsidRDefault="00270307">
            <w:pPr>
              <w:keepNext/>
              <w:pBdr>
                <w:top w:val="nil"/>
                <w:left w:val="nil"/>
                <w:bottom w:val="nil"/>
                <w:right w:val="nil"/>
                <w:between w:val="nil"/>
              </w:pBdr>
              <w:tabs>
                <w:tab w:val="left" w:pos="8244"/>
              </w:tabs>
              <w:spacing w:before="240" w:after="60"/>
              <w:jc w:val="both"/>
              <w:rPr>
                <w:b/>
                <w:i/>
                <w:color w:val="000000"/>
              </w:rPr>
            </w:pPr>
          </w:p>
          <w:p w14:paraId="3314BFF4" w14:textId="77777777" w:rsidR="00F341AB" w:rsidRPr="00270307" w:rsidRDefault="00F341AB">
            <w:pPr>
              <w:keepNext/>
              <w:pBdr>
                <w:top w:val="nil"/>
                <w:left w:val="nil"/>
                <w:bottom w:val="nil"/>
                <w:right w:val="nil"/>
                <w:between w:val="nil"/>
              </w:pBdr>
              <w:tabs>
                <w:tab w:val="left" w:pos="8244"/>
              </w:tabs>
              <w:spacing w:before="240" w:after="60"/>
              <w:jc w:val="both"/>
              <w:rPr>
                <w:b/>
                <w:i/>
                <w:color w:val="000000"/>
              </w:rPr>
            </w:pPr>
          </w:p>
          <w:p w14:paraId="4B3A2D68" w14:textId="77777777" w:rsidR="00270307" w:rsidRPr="00270307" w:rsidRDefault="00270307">
            <w:pPr>
              <w:keepNext/>
              <w:pBdr>
                <w:top w:val="nil"/>
                <w:left w:val="nil"/>
                <w:bottom w:val="nil"/>
                <w:right w:val="nil"/>
                <w:between w:val="nil"/>
              </w:pBdr>
              <w:tabs>
                <w:tab w:val="left" w:pos="8244"/>
              </w:tabs>
              <w:spacing w:before="240" w:after="60"/>
              <w:jc w:val="both"/>
              <w:rPr>
                <w:color w:val="000000"/>
              </w:rPr>
            </w:pPr>
            <w:r w:rsidRPr="00270307">
              <w:rPr>
                <w:color w:val="000000"/>
              </w:rPr>
              <w:t>5. Опікун має право пред'явити позов про розірвання шлюбу, якщо цього вимагають інтереси того з подружжя, хто визнаний недієздатним.</w:t>
            </w:r>
          </w:p>
        </w:tc>
      </w:tr>
      <w:tr w:rsidR="00270307" w:rsidRPr="00270307" w14:paraId="19667596" w14:textId="77777777" w:rsidTr="00270307">
        <w:tc>
          <w:tcPr>
            <w:tcW w:w="7087" w:type="dxa"/>
            <w:shd w:val="clear" w:color="auto" w:fill="auto"/>
            <w:tcMar>
              <w:top w:w="0" w:type="dxa"/>
              <w:left w:w="108" w:type="dxa"/>
              <w:bottom w:w="0" w:type="dxa"/>
              <w:right w:w="108" w:type="dxa"/>
            </w:tcMar>
          </w:tcPr>
          <w:p w14:paraId="1BD19B15" w14:textId="77777777" w:rsidR="00270307" w:rsidRPr="00270307" w:rsidRDefault="00270307">
            <w:pPr>
              <w:pBdr>
                <w:top w:val="nil"/>
                <w:left w:val="nil"/>
                <w:bottom w:val="nil"/>
                <w:right w:val="nil"/>
                <w:between w:val="nil"/>
              </w:pBdr>
              <w:spacing w:before="150" w:after="150"/>
              <w:ind w:left="35" w:right="450" w:firstLine="425"/>
              <w:jc w:val="both"/>
              <w:rPr>
                <w:color w:val="000000"/>
              </w:rPr>
            </w:pPr>
            <w:r w:rsidRPr="00F341AB">
              <w:rPr>
                <w:b/>
                <w:bCs/>
                <w:color w:val="000000"/>
              </w:rPr>
              <w:lastRenderedPageBreak/>
              <w:t>Стаття 111.</w:t>
            </w:r>
            <w:r w:rsidRPr="00270307">
              <w:t xml:space="preserve"> </w:t>
            </w:r>
            <w:r w:rsidRPr="00270307">
              <w:rPr>
                <w:color w:val="000000"/>
              </w:rPr>
              <w:t>Заходи суду щодо примирення подружжя</w:t>
            </w:r>
          </w:p>
          <w:p w14:paraId="24B1FC7D" w14:textId="77777777" w:rsidR="00270307" w:rsidRDefault="00270307">
            <w:pPr>
              <w:pBdr>
                <w:top w:val="nil"/>
                <w:left w:val="nil"/>
                <w:bottom w:val="nil"/>
                <w:right w:val="nil"/>
                <w:between w:val="nil"/>
              </w:pBdr>
              <w:spacing w:before="150" w:after="150"/>
              <w:ind w:left="35" w:right="450" w:firstLine="425"/>
              <w:jc w:val="both"/>
              <w:rPr>
                <w:color w:val="000000"/>
              </w:rPr>
            </w:pPr>
            <w:r w:rsidRPr="00F341AB">
              <w:rPr>
                <w:bCs/>
                <w:color w:val="000000"/>
              </w:rPr>
              <w:t>1</w:t>
            </w:r>
            <w:r w:rsidRPr="00270307">
              <w:rPr>
                <w:color w:val="000000"/>
              </w:rPr>
              <w:t>. Суд вживає заходів щодо примирення подружжя, якщо це не суперечить моральним засадам суспільства</w:t>
            </w:r>
          </w:p>
          <w:p w14:paraId="6153882F" w14:textId="77777777" w:rsidR="00777447" w:rsidRDefault="00777447">
            <w:pPr>
              <w:pBdr>
                <w:top w:val="nil"/>
                <w:left w:val="nil"/>
                <w:bottom w:val="nil"/>
                <w:right w:val="nil"/>
                <w:between w:val="nil"/>
              </w:pBdr>
              <w:spacing w:before="150" w:after="150"/>
              <w:ind w:left="35" w:right="450" w:firstLine="425"/>
              <w:jc w:val="both"/>
              <w:rPr>
                <w:color w:val="000000"/>
              </w:rPr>
            </w:pPr>
          </w:p>
          <w:p w14:paraId="53372BB3" w14:textId="54720112" w:rsidR="00777447" w:rsidRPr="00777447" w:rsidRDefault="00777447" w:rsidP="00777447">
            <w:pPr>
              <w:rPr>
                <w:b/>
                <w:bCs/>
              </w:rPr>
            </w:pPr>
            <w:r>
              <w:rPr>
                <w:b/>
                <w:bCs/>
              </w:rPr>
              <w:t>Норма відсутня.</w:t>
            </w:r>
          </w:p>
        </w:tc>
        <w:tc>
          <w:tcPr>
            <w:tcW w:w="7096" w:type="dxa"/>
            <w:shd w:val="clear" w:color="auto" w:fill="auto"/>
            <w:tcMar>
              <w:top w:w="0" w:type="dxa"/>
              <w:left w:w="108" w:type="dxa"/>
              <w:bottom w:w="0" w:type="dxa"/>
              <w:right w:w="108" w:type="dxa"/>
            </w:tcMar>
          </w:tcPr>
          <w:p w14:paraId="06945F47" w14:textId="77777777" w:rsidR="00270307" w:rsidRPr="00270307" w:rsidRDefault="00270307">
            <w:pPr>
              <w:pBdr>
                <w:top w:val="nil"/>
                <w:left w:val="nil"/>
                <w:bottom w:val="nil"/>
                <w:right w:val="nil"/>
                <w:between w:val="nil"/>
              </w:pBdr>
              <w:spacing w:before="150" w:after="150"/>
              <w:ind w:left="35" w:right="450" w:firstLine="425"/>
              <w:rPr>
                <w:color w:val="000000"/>
              </w:rPr>
            </w:pPr>
            <w:r w:rsidRPr="00F341AB">
              <w:rPr>
                <w:b/>
                <w:bCs/>
                <w:color w:val="000000"/>
              </w:rPr>
              <w:t>Стаття 111.</w:t>
            </w:r>
            <w:r w:rsidRPr="00270307">
              <w:rPr>
                <w:color w:val="000000"/>
              </w:rPr>
              <w:t xml:space="preserve"> Заходи суду щодо примирення подружжя</w:t>
            </w:r>
          </w:p>
          <w:p w14:paraId="1403FC3C" w14:textId="77777777" w:rsidR="00F341AB" w:rsidRDefault="00F341AB" w:rsidP="00F341AB">
            <w:pPr>
              <w:pBdr>
                <w:top w:val="nil"/>
                <w:left w:val="nil"/>
                <w:bottom w:val="nil"/>
                <w:right w:val="nil"/>
                <w:between w:val="nil"/>
              </w:pBdr>
              <w:spacing w:before="150" w:after="150"/>
              <w:ind w:left="35" w:right="450" w:firstLine="425"/>
              <w:jc w:val="both"/>
              <w:rPr>
                <w:color w:val="000000"/>
              </w:rPr>
            </w:pPr>
            <w:r w:rsidRPr="00F341AB">
              <w:rPr>
                <w:bCs/>
                <w:color w:val="000000"/>
              </w:rPr>
              <w:t>1</w:t>
            </w:r>
            <w:r w:rsidRPr="00270307">
              <w:rPr>
                <w:color w:val="000000"/>
              </w:rPr>
              <w:t>. Суд вживає заходів щодо примирення подружжя, якщо це не суперечить моральним засадам суспільства</w:t>
            </w:r>
          </w:p>
          <w:p w14:paraId="18874B75" w14:textId="063901CB" w:rsidR="00270307" w:rsidRPr="00F341AB" w:rsidRDefault="00F341AB" w:rsidP="00F341AB">
            <w:pPr>
              <w:pBdr>
                <w:top w:val="nil"/>
                <w:left w:val="nil"/>
                <w:bottom w:val="nil"/>
                <w:right w:val="nil"/>
                <w:between w:val="nil"/>
              </w:pBdr>
              <w:spacing w:before="150" w:after="150"/>
              <w:ind w:left="35" w:right="450" w:firstLine="425"/>
              <w:jc w:val="both"/>
              <w:rPr>
                <w:color w:val="000000"/>
              </w:rPr>
            </w:pPr>
            <w:r>
              <w:rPr>
                <w:b/>
              </w:rPr>
              <w:t xml:space="preserve">2. </w:t>
            </w:r>
            <w:r w:rsidR="00270307" w:rsidRPr="00270307">
              <w:rPr>
                <w:b/>
              </w:rPr>
              <w:t>У випадку коли причиною розірвання шлюбу є ознаки вчинення домашнього насильства, незалежно від результатів розгляду цивільних, кримінальних чи адміністративних справ щодо домашнього насильства, заходи</w:t>
            </w:r>
            <w:r w:rsidR="008C7078">
              <w:rPr>
                <w:b/>
              </w:rPr>
              <w:t>,</w:t>
            </w:r>
            <w:r w:rsidR="00270307" w:rsidRPr="00270307">
              <w:rPr>
                <w:b/>
              </w:rPr>
              <w:t xml:space="preserve"> </w:t>
            </w:r>
            <w:r w:rsidR="00270307" w:rsidRPr="00270307">
              <w:rPr>
                <w:b/>
              </w:rPr>
              <w:lastRenderedPageBreak/>
              <w:t>передбачені частиною першою цієї статті</w:t>
            </w:r>
            <w:r w:rsidR="008C7078">
              <w:rPr>
                <w:b/>
              </w:rPr>
              <w:t>,</w:t>
            </w:r>
            <w:r w:rsidR="00270307" w:rsidRPr="00270307">
              <w:rPr>
                <w:b/>
              </w:rPr>
              <w:t xml:space="preserve"> судом не застосовуються»</w:t>
            </w:r>
            <w:r w:rsidR="00270307" w:rsidRPr="00270307">
              <w:rPr>
                <w:b/>
                <w:color w:val="000000"/>
              </w:rPr>
              <w:t>.</w:t>
            </w:r>
          </w:p>
        </w:tc>
      </w:tr>
    </w:tbl>
    <w:p w14:paraId="0AB9CA2C" w14:textId="77777777" w:rsidR="006343E5" w:rsidRPr="00270307" w:rsidRDefault="006343E5">
      <w:pPr>
        <w:pBdr>
          <w:top w:val="nil"/>
          <w:left w:val="nil"/>
          <w:bottom w:val="nil"/>
          <w:right w:val="nil"/>
          <w:between w:val="nil"/>
        </w:pBdr>
        <w:jc w:val="both"/>
        <w:rPr>
          <w:b/>
          <w:color w:val="000000"/>
        </w:rPr>
      </w:pPr>
    </w:p>
    <w:p w14:paraId="3C7A190F" w14:textId="77777777" w:rsidR="00F341AB" w:rsidRDefault="00F341AB">
      <w:pPr>
        <w:pBdr>
          <w:top w:val="nil"/>
          <w:left w:val="nil"/>
          <w:bottom w:val="nil"/>
          <w:right w:val="nil"/>
          <w:between w:val="nil"/>
        </w:pBdr>
        <w:jc w:val="both"/>
        <w:rPr>
          <w:b/>
        </w:rPr>
      </w:pPr>
    </w:p>
    <w:p w14:paraId="148DA2D3" w14:textId="0DA98C5A" w:rsidR="006343E5" w:rsidRPr="00270307" w:rsidRDefault="0060689A">
      <w:pPr>
        <w:pBdr>
          <w:top w:val="nil"/>
          <w:left w:val="nil"/>
          <w:bottom w:val="nil"/>
          <w:right w:val="nil"/>
          <w:between w:val="nil"/>
        </w:pBdr>
        <w:jc w:val="both"/>
        <w:rPr>
          <w:b/>
        </w:rPr>
      </w:pPr>
      <w:r w:rsidRPr="00270307">
        <w:rPr>
          <w:b/>
        </w:rPr>
        <w:t xml:space="preserve">Народні депутати України </w:t>
      </w:r>
      <w:r w:rsidRPr="00270307">
        <w:rPr>
          <w:b/>
        </w:rPr>
        <w:tab/>
      </w:r>
      <w:r w:rsidRPr="00270307">
        <w:rPr>
          <w:b/>
        </w:rPr>
        <w:tab/>
      </w:r>
      <w:r w:rsidRPr="00270307">
        <w:rPr>
          <w:b/>
        </w:rPr>
        <w:tab/>
      </w:r>
      <w:r w:rsidRPr="00270307">
        <w:rPr>
          <w:b/>
        </w:rPr>
        <w:tab/>
      </w:r>
      <w:r w:rsidRPr="00270307">
        <w:rPr>
          <w:b/>
        </w:rPr>
        <w:tab/>
      </w:r>
      <w:r w:rsidRPr="00270307">
        <w:rPr>
          <w:b/>
        </w:rPr>
        <w:tab/>
      </w:r>
      <w:r w:rsidRPr="00270307">
        <w:rPr>
          <w:b/>
        </w:rPr>
        <w:tab/>
      </w:r>
      <w:r w:rsidRPr="00270307">
        <w:rPr>
          <w:b/>
        </w:rPr>
        <w:tab/>
      </w:r>
      <w:r w:rsidRPr="00270307">
        <w:rPr>
          <w:b/>
        </w:rPr>
        <w:tab/>
      </w:r>
    </w:p>
    <w:sectPr w:rsidR="006343E5" w:rsidRPr="00270307">
      <w:footerReference w:type="default" r:id="rId10"/>
      <w:pgSz w:w="16838" w:h="11906" w:orient="landscape"/>
      <w:pgMar w:top="1701"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82619" w14:textId="77777777" w:rsidR="00021FBB" w:rsidRDefault="00021FBB">
      <w:r>
        <w:separator/>
      </w:r>
    </w:p>
  </w:endnote>
  <w:endnote w:type="continuationSeparator" w:id="0">
    <w:p w14:paraId="03323820" w14:textId="77777777" w:rsidR="00021FBB" w:rsidRDefault="0002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ABC9" w14:textId="77D05847" w:rsidR="006343E5" w:rsidRDefault="0060689A">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2A29AA">
      <w:rPr>
        <w:noProof/>
        <w:color w:val="000000"/>
      </w:rPr>
      <w:t>1</w:t>
    </w:r>
    <w:r>
      <w:rPr>
        <w:color w:val="000000"/>
      </w:rPr>
      <w:fldChar w:fldCharType="end"/>
    </w:r>
  </w:p>
  <w:p w14:paraId="5FFB135C" w14:textId="77777777" w:rsidR="006343E5" w:rsidRDefault="006343E5">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FC3F8" w14:textId="77777777" w:rsidR="00021FBB" w:rsidRDefault="00021FBB">
      <w:r>
        <w:separator/>
      </w:r>
    </w:p>
  </w:footnote>
  <w:footnote w:type="continuationSeparator" w:id="0">
    <w:p w14:paraId="2637BED9" w14:textId="77777777" w:rsidR="00021FBB" w:rsidRDefault="00021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02E"/>
    <w:multiLevelType w:val="multilevel"/>
    <w:tmpl w:val="2312B4F8"/>
    <w:lvl w:ilvl="0">
      <w:start w:val="1"/>
      <w:numFmt w:val="decimal"/>
      <w:lvlText w:val="%1."/>
      <w:lvlJc w:val="left"/>
      <w:pPr>
        <w:ind w:left="1420" w:hanging="14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540" w:hanging="15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260" w:hanging="22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980" w:hanging="29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700" w:hanging="37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420" w:hanging="44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140" w:hanging="51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860" w:hanging="58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580" w:hanging="65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46E34373"/>
    <w:multiLevelType w:val="hybridMultilevel"/>
    <w:tmpl w:val="442E2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FA35B6"/>
    <w:multiLevelType w:val="multilevel"/>
    <w:tmpl w:val="721ACF36"/>
    <w:lvl w:ilvl="0">
      <w:start w:val="1"/>
      <w:numFmt w:val="decimal"/>
      <w:lvlText w:val="%1."/>
      <w:lvlJc w:val="left"/>
      <w:pPr>
        <w:ind w:left="1330" w:hanging="133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540" w:hanging="15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260" w:hanging="22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980" w:hanging="29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700" w:hanging="37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420" w:hanging="44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140" w:hanging="51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860" w:hanging="58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580" w:hanging="65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6DC162B0"/>
    <w:multiLevelType w:val="multilevel"/>
    <w:tmpl w:val="32401706"/>
    <w:lvl w:ilvl="0">
      <w:start w:val="1"/>
      <w:numFmt w:val="decimal"/>
      <w:lvlText w:val="%1."/>
      <w:lvlJc w:val="left"/>
      <w:pPr>
        <w:ind w:left="1165" w:hanging="1165"/>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lowerLetter"/>
      <w:lvlText w:val="%2."/>
      <w:lvlJc w:val="left"/>
      <w:pPr>
        <w:ind w:left="1540" w:hanging="15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260" w:hanging="22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980" w:hanging="29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700" w:hanging="37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420" w:hanging="44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140" w:hanging="51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860" w:hanging="58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580" w:hanging="65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E5"/>
    <w:rsid w:val="00021FBB"/>
    <w:rsid w:val="00270307"/>
    <w:rsid w:val="002A29AA"/>
    <w:rsid w:val="002F3451"/>
    <w:rsid w:val="00312527"/>
    <w:rsid w:val="0060689A"/>
    <w:rsid w:val="006343E5"/>
    <w:rsid w:val="00683BB1"/>
    <w:rsid w:val="00777447"/>
    <w:rsid w:val="008C7078"/>
    <w:rsid w:val="00BE0316"/>
    <w:rsid w:val="00CB0CDA"/>
    <w:rsid w:val="00D45D94"/>
    <w:rsid w:val="00F341AB"/>
  </w:rsids>
  <m:mathPr>
    <m:mathFont m:val="Cambria Math"/>
    <m:brkBin m:val="before"/>
    <m:brkBinSub m:val="--"/>
    <m:smallFrac m:val="0"/>
    <m:dispDef/>
    <m:lMargin m:val="0"/>
    <m:rMargin m:val="0"/>
    <m:defJc m:val="centerGroup"/>
    <m:wrapIndent m:val="1440"/>
    <m:intLim m:val="subSup"/>
    <m:naryLim m:val="undOvr"/>
  </m:mathPr>
  <w:themeFontLang w:val="uk-U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D32A"/>
  <w15:docId w15:val="{855244C7-EA75-4453-BB69-A1D6F2BB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keepNext/>
      <w:pBdr>
        <w:top w:val="nil"/>
        <w:left w:val="nil"/>
        <w:bottom w:val="nil"/>
        <w:right w:val="nil"/>
        <w:between w:val="nil"/>
      </w:pBdr>
      <w:spacing w:before="240" w:after="60"/>
      <w:outlineLvl w:val="1"/>
    </w:pPr>
    <w:rPr>
      <w:rFonts w:ascii="Arial" w:eastAsia="Arial" w:hAnsi="Arial" w:cs="Arial"/>
      <w:b/>
      <w:i/>
    </w:rPr>
  </w:style>
  <w:style w:type="paragraph" w:styleId="3">
    <w:name w:val="heading 3"/>
    <w:basedOn w:val="a"/>
    <w:next w:val="a"/>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uiPriority w:val="9"/>
    <w:semiHidden/>
    <w:unhideWhenUsed/>
    <w:qFormat/>
    <w:pPr>
      <w:keepNext/>
      <w:pBdr>
        <w:top w:val="nil"/>
        <w:left w:val="nil"/>
        <w:bottom w:val="nil"/>
        <w:right w:val="nil"/>
        <w:between w:val="nil"/>
      </w:pBdr>
      <w:spacing w:before="240" w:after="60"/>
      <w:outlineLvl w:val="3"/>
    </w:pPr>
    <w:rPr>
      <w:b/>
    </w:rPr>
  </w:style>
  <w:style w:type="paragraph" w:styleId="5">
    <w:name w:val="heading 5"/>
    <w:basedOn w:val="a"/>
    <w:next w:val="a"/>
    <w:uiPriority w:val="9"/>
    <w:semiHidden/>
    <w:unhideWhenUsed/>
    <w:qFormat/>
    <w:pPr>
      <w:pBdr>
        <w:top w:val="nil"/>
        <w:left w:val="nil"/>
        <w:bottom w:val="nil"/>
        <w:right w:val="nil"/>
        <w:between w:val="nil"/>
      </w:pBdr>
      <w:spacing w:before="240" w:after="60"/>
      <w:outlineLvl w:val="4"/>
    </w:pPr>
    <w:rPr>
      <w:b/>
      <w:i/>
      <w:sz w:val="26"/>
      <w:szCs w:val="26"/>
    </w:rPr>
  </w:style>
  <w:style w:type="paragraph" w:styleId="6">
    <w:name w:val="heading 6"/>
    <w:basedOn w:val="a"/>
    <w:next w:val="a"/>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uiPriority w:val="11"/>
    <w:qFormat/>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270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45978-9127-4DA4-A7E7-C203B74842D8}">
  <ds:schemaRefs>
    <ds:schemaRef ds:uri="http://schemas.microsoft.com/sharepoint/v3/contenttype/forms"/>
  </ds:schemaRefs>
</ds:datastoreItem>
</file>

<file path=customXml/itemProps2.xml><?xml version="1.0" encoding="utf-8"?>
<ds:datastoreItem xmlns:ds="http://schemas.openxmlformats.org/officeDocument/2006/customXml" ds:itemID="{4D74D88A-6A91-40AC-A452-543E23D6C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91C82-5819-4E5C-BCD2-B4DF9C8243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834</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2021-05-17T12:03:00Z</dcterms:created>
  <dcterms:modified xsi:type="dcterms:W3CDTF">2021-05-17T12:03:00Z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