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BE" w:rsidRPr="00372D53" w:rsidRDefault="009D1ABE" w:rsidP="00760A82">
      <w:pPr>
        <w:spacing w:line="360" w:lineRule="auto"/>
        <w:ind w:left="4536"/>
        <w:jc w:val="right"/>
        <w:rPr>
          <w:sz w:val="28"/>
          <w:szCs w:val="28"/>
        </w:rPr>
      </w:pPr>
      <w:bookmarkStart w:id="0" w:name="_GoBack"/>
      <w:bookmarkEnd w:id="0"/>
      <w:r w:rsidRPr="00372D53">
        <w:rPr>
          <w:sz w:val="28"/>
          <w:szCs w:val="28"/>
        </w:rPr>
        <w:t>ПРОЕКТ</w:t>
      </w:r>
    </w:p>
    <w:p w:rsidR="009D1ABE" w:rsidRDefault="009D1ABE" w:rsidP="00760A82">
      <w:pPr>
        <w:keepNext/>
        <w:keepLines/>
        <w:widowControl w:val="0"/>
        <w:autoSpaceDE w:val="0"/>
        <w:autoSpaceDN w:val="0"/>
        <w:adjustRightInd w:val="0"/>
        <w:spacing w:line="360" w:lineRule="auto"/>
        <w:jc w:val="right"/>
        <w:rPr>
          <w:b/>
          <w:sz w:val="28"/>
          <w:szCs w:val="28"/>
        </w:rPr>
      </w:pPr>
      <w:r w:rsidRPr="00372D53">
        <w:rPr>
          <w:b/>
          <w:sz w:val="28"/>
          <w:szCs w:val="28"/>
        </w:rPr>
        <w:t>вноситься народним</w:t>
      </w:r>
      <w:r w:rsidR="00760A82">
        <w:rPr>
          <w:b/>
          <w:sz w:val="28"/>
          <w:szCs w:val="28"/>
        </w:rPr>
        <w:t>и</w:t>
      </w:r>
      <w:r w:rsidRPr="00372D53">
        <w:rPr>
          <w:b/>
          <w:sz w:val="28"/>
          <w:szCs w:val="28"/>
        </w:rPr>
        <w:t xml:space="preserve"> депутат</w:t>
      </w:r>
      <w:r w:rsidR="00760A82">
        <w:rPr>
          <w:b/>
          <w:sz w:val="28"/>
          <w:szCs w:val="28"/>
          <w:lang w:val="ru-RU"/>
        </w:rPr>
        <w:t>а</w:t>
      </w:r>
      <w:r>
        <w:rPr>
          <w:b/>
          <w:sz w:val="28"/>
          <w:szCs w:val="28"/>
          <w:lang w:val="ru-RU"/>
        </w:rPr>
        <w:t>м</w:t>
      </w:r>
      <w:r w:rsidR="00760A82">
        <w:rPr>
          <w:b/>
          <w:sz w:val="28"/>
          <w:szCs w:val="28"/>
          <w:lang w:val="ru-RU"/>
        </w:rPr>
        <w:t>и</w:t>
      </w:r>
      <w:r w:rsidRPr="00372D53">
        <w:rPr>
          <w:b/>
          <w:sz w:val="28"/>
          <w:szCs w:val="28"/>
        </w:rPr>
        <w:t xml:space="preserve"> України</w:t>
      </w:r>
    </w:p>
    <w:p w:rsidR="008361D8" w:rsidRDefault="008361D8" w:rsidP="00760A82">
      <w:pPr>
        <w:spacing w:before="120" w:line="360" w:lineRule="auto"/>
        <w:jc w:val="center"/>
        <w:rPr>
          <w:sz w:val="28"/>
        </w:rPr>
      </w:pPr>
    </w:p>
    <w:p w:rsidR="009D1ABE" w:rsidRDefault="009D1ABE" w:rsidP="00760A82">
      <w:pPr>
        <w:spacing w:before="120" w:line="360" w:lineRule="auto"/>
        <w:jc w:val="center"/>
        <w:rPr>
          <w:sz w:val="28"/>
        </w:rPr>
      </w:pPr>
    </w:p>
    <w:p w:rsidR="009D1ABE" w:rsidRDefault="009D1ABE" w:rsidP="00760A82">
      <w:pPr>
        <w:spacing w:before="120" w:line="360" w:lineRule="auto"/>
        <w:jc w:val="center"/>
        <w:rPr>
          <w:sz w:val="28"/>
        </w:rPr>
      </w:pPr>
    </w:p>
    <w:p w:rsidR="008361D8" w:rsidRDefault="008361D8" w:rsidP="00760A82">
      <w:pPr>
        <w:spacing w:before="120" w:line="360" w:lineRule="auto"/>
        <w:jc w:val="center"/>
        <w:rPr>
          <w:sz w:val="28"/>
        </w:rPr>
      </w:pPr>
    </w:p>
    <w:p w:rsidR="008361D8" w:rsidRDefault="00FE6424" w:rsidP="00760A82">
      <w:pPr>
        <w:spacing w:before="120" w:line="360" w:lineRule="auto"/>
        <w:jc w:val="center"/>
        <w:rPr>
          <w:b/>
          <w:sz w:val="28"/>
        </w:rPr>
      </w:pPr>
      <w:r>
        <w:rPr>
          <w:b/>
          <w:sz w:val="28"/>
        </w:rPr>
        <w:t>З А К О Н  У К Р А Ї Н И</w:t>
      </w:r>
    </w:p>
    <w:p w:rsidR="008361D8" w:rsidRDefault="008361D8" w:rsidP="00760A82">
      <w:pPr>
        <w:spacing w:line="360" w:lineRule="auto"/>
        <w:jc w:val="center"/>
        <w:rPr>
          <w:sz w:val="28"/>
        </w:rPr>
      </w:pPr>
    </w:p>
    <w:p w:rsidR="009D1ABE" w:rsidRDefault="00760A82" w:rsidP="00760A82">
      <w:pPr>
        <w:spacing w:before="120" w:line="360" w:lineRule="auto"/>
        <w:jc w:val="center"/>
        <w:rPr>
          <w:b/>
          <w:sz w:val="28"/>
          <w:szCs w:val="28"/>
        </w:rPr>
      </w:pPr>
      <w:r w:rsidRPr="002D1AAB">
        <w:rPr>
          <w:b/>
          <w:sz w:val="28"/>
          <w:szCs w:val="28"/>
        </w:rPr>
        <w:t>"</w:t>
      </w:r>
      <w:r w:rsidR="00724A84" w:rsidRPr="002D1AAB">
        <w:rPr>
          <w:b/>
          <w:sz w:val="28"/>
          <w:szCs w:val="28"/>
        </w:rPr>
        <w:t xml:space="preserve">Про внесення змін до </w:t>
      </w:r>
      <w:r w:rsidR="00724A84">
        <w:rPr>
          <w:b/>
          <w:sz w:val="28"/>
          <w:szCs w:val="28"/>
        </w:rPr>
        <w:t>Митного</w:t>
      </w:r>
      <w:r w:rsidR="00724A84" w:rsidRPr="002D1AAB">
        <w:rPr>
          <w:b/>
          <w:sz w:val="28"/>
          <w:szCs w:val="28"/>
        </w:rPr>
        <w:t xml:space="preserve"> кодексу України </w:t>
      </w:r>
      <w:r w:rsidR="00724A84">
        <w:rPr>
          <w:b/>
          <w:sz w:val="28"/>
          <w:szCs w:val="28"/>
        </w:rPr>
        <w:t>у зв'язку із прийняттям Закону України "Про</w:t>
      </w:r>
      <w:r w:rsidR="00724A84" w:rsidRPr="008C7AA4">
        <w:rPr>
          <w:b/>
          <w:sz w:val="28"/>
          <w:szCs w:val="28"/>
          <w:lang w:eastAsia="uk-UA"/>
        </w:rPr>
        <w:t xml:space="preserve">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w:t>
      </w:r>
      <w:r w:rsidRPr="002D1AAB">
        <w:rPr>
          <w:b/>
          <w:sz w:val="28"/>
          <w:szCs w:val="28"/>
        </w:rPr>
        <w:t>"</w:t>
      </w:r>
    </w:p>
    <w:p w:rsidR="00760A82" w:rsidRDefault="00760A82">
      <w:pPr>
        <w:spacing w:before="120"/>
        <w:jc w:val="center"/>
        <w:rPr>
          <w:b/>
          <w:sz w:val="28"/>
        </w:rPr>
      </w:pPr>
    </w:p>
    <w:p w:rsidR="008361D8" w:rsidRDefault="00FE6424" w:rsidP="00760A82">
      <w:pPr>
        <w:spacing w:after="240" w:line="360" w:lineRule="auto"/>
        <w:ind w:firstLine="720"/>
        <w:jc w:val="both"/>
        <w:rPr>
          <w:sz w:val="28"/>
        </w:rPr>
      </w:pPr>
      <w:r>
        <w:rPr>
          <w:sz w:val="28"/>
        </w:rPr>
        <w:t>Верховна Рада України п о с т а н о в л я є:</w:t>
      </w:r>
    </w:p>
    <w:p w:rsidR="008361D8" w:rsidRDefault="00724A84" w:rsidP="00724A84">
      <w:pPr>
        <w:tabs>
          <w:tab w:val="left" w:pos="993"/>
        </w:tabs>
        <w:spacing w:before="120" w:after="240" w:line="360" w:lineRule="auto"/>
        <w:ind w:firstLine="720"/>
        <w:jc w:val="both"/>
        <w:rPr>
          <w:sz w:val="28"/>
        </w:rPr>
      </w:pPr>
      <w:r>
        <w:rPr>
          <w:sz w:val="28"/>
        </w:rPr>
        <w:t>І. Пункт 5-1</w:t>
      </w:r>
      <w:r w:rsidR="00760A82">
        <w:rPr>
          <w:sz w:val="28"/>
        </w:rPr>
        <w:t xml:space="preserve"> розділу XX</w:t>
      </w:r>
      <w:r>
        <w:rPr>
          <w:sz w:val="28"/>
        </w:rPr>
        <w:t>І</w:t>
      </w:r>
      <w:r w:rsidR="00760A82">
        <w:rPr>
          <w:sz w:val="28"/>
        </w:rPr>
        <w:t xml:space="preserve"> "</w:t>
      </w:r>
      <w:r>
        <w:rPr>
          <w:sz w:val="28"/>
        </w:rPr>
        <w:t>Прикінцеві та п</w:t>
      </w:r>
      <w:r w:rsidR="00760A82">
        <w:rPr>
          <w:sz w:val="28"/>
        </w:rPr>
        <w:t xml:space="preserve">ерехідні положення" </w:t>
      </w:r>
      <w:r>
        <w:rPr>
          <w:sz w:val="28"/>
        </w:rPr>
        <w:t>Митного</w:t>
      </w:r>
      <w:r w:rsidR="00760A82">
        <w:rPr>
          <w:sz w:val="28"/>
        </w:rPr>
        <w:t xml:space="preserve"> кодексу</w:t>
      </w:r>
      <w:r w:rsidR="00FE6424">
        <w:rPr>
          <w:sz w:val="28"/>
        </w:rPr>
        <w:t xml:space="preserve"> України (</w:t>
      </w:r>
      <w:r w:rsidRPr="00724A84">
        <w:rPr>
          <w:sz w:val="28"/>
        </w:rPr>
        <w:t>Відомості Верховної Ради України (ВВР), 2012, № 44-45, № 46-47, № 48, ст.552</w:t>
      </w:r>
      <w:r>
        <w:rPr>
          <w:sz w:val="28"/>
        </w:rPr>
        <w:t xml:space="preserve">) </w:t>
      </w:r>
      <w:r w:rsidR="00760A82">
        <w:rPr>
          <w:sz w:val="28"/>
        </w:rPr>
        <w:t>викласти в такій редакції:</w:t>
      </w:r>
    </w:p>
    <w:p w:rsidR="00BF1AEF" w:rsidRPr="00BF1AEF" w:rsidRDefault="00BF1AEF" w:rsidP="00BF1AEF">
      <w:pPr>
        <w:spacing w:after="240" w:line="360" w:lineRule="auto"/>
        <w:ind w:firstLine="281"/>
        <w:jc w:val="both"/>
        <w:rPr>
          <w:sz w:val="28"/>
        </w:rPr>
      </w:pPr>
      <w:r>
        <w:rPr>
          <w:sz w:val="28"/>
        </w:rPr>
        <w:t>"</w:t>
      </w:r>
      <w:r w:rsidRPr="00BF1AEF">
        <w:rPr>
          <w:sz w:val="28"/>
        </w:rPr>
        <w:t xml:space="preserve">5-1. На період дії Закону України </w:t>
      </w:r>
      <w:hyperlink r:id="rId11" w:tgtFrame="_blank" w:history="1">
        <w:r w:rsidRPr="00BF1AEF">
          <w:rPr>
            <w:sz w:val="28"/>
          </w:rPr>
          <w:t>"Про забезпечення прав і свобод громадян та правовий режим на тимчасово окупованій території України"</w:t>
        </w:r>
      </w:hyperlink>
      <w:r w:rsidRPr="00BF1AEF">
        <w:rPr>
          <w:sz w:val="28"/>
        </w:rPr>
        <w:t xml:space="preserve"> норми цього Кодексу застосовуються з урахуванням цього закону.</w:t>
      </w:r>
    </w:p>
    <w:p w:rsidR="00724A84" w:rsidRDefault="00BF1AEF" w:rsidP="00BF1AEF">
      <w:pPr>
        <w:tabs>
          <w:tab w:val="left" w:pos="993"/>
        </w:tabs>
        <w:spacing w:before="120" w:after="240" w:line="360" w:lineRule="auto"/>
        <w:ind w:firstLine="720"/>
        <w:jc w:val="both"/>
        <w:rPr>
          <w:sz w:val="28"/>
        </w:rPr>
      </w:pPr>
      <w:r w:rsidRPr="00BF1AEF">
        <w:rPr>
          <w:sz w:val="28"/>
        </w:rPr>
        <w:t>До закінчення режиму тимчасової окупації Автономної Республіки Крим та міста Севастополя мито визначене статтею 271 цього Кодексу не справляється з операцій фізичних та юридичних осіб з переміщення товарів з та на тимчасово окуповану територію Автономної Республіки Крим та міста Севастополя</w:t>
      </w:r>
      <w:r>
        <w:rPr>
          <w:sz w:val="28"/>
        </w:rPr>
        <w:t>"</w:t>
      </w:r>
      <w:r w:rsidRPr="00BF1AEF">
        <w:rPr>
          <w:sz w:val="28"/>
        </w:rPr>
        <w:t>.</w:t>
      </w:r>
    </w:p>
    <w:p w:rsidR="00E00DD6" w:rsidRDefault="00E00DD6" w:rsidP="00BF3231">
      <w:pPr>
        <w:spacing w:after="240" w:line="360" w:lineRule="auto"/>
        <w:ind w:firstLine="720"/>
        <w:jc w:val="both"/>
        <w:rPr>
          <w:sz w:val="28"/>
        </w:rPr>
      </w:pPr>
      <w:r>
        <w:rPr>
          <w:sz w:val="28"/>
        </w:rPr>
        <w:lastRenderedPageBreak/>
        <w:t>II. Прикінцеві положення</w:t>
      </w:r>
    </w:p>
    <w:p w:rsidR="00E00DD6" w:rsidRDefault="00E00DD6" w:rsidP="00BF3231">
      <w:pPr>
        <w:spacing w:after="240" w:line="360" w:lineRule="auto"/>
        <w:ind w:firstLine="720"/>
        <w:jc w:val="both"/>
        <w:rPr>
          <w:sz w:val="28"/>
          <w:szCs w:val="28"/>
          <w:lang w:val="uk" w:eastAsia="ru-RU"/>
        </w:rPr>
      </w:pPr>
      <w:r>
        <w:rPr>
          <w:sz w:val="28"/>
        </w:rPr>
        <w:t xml:space="preserve">1. </w:t>
      </w:r>
      <w:r w:rsidRPr="00BF3231">
        <w:rPr>
          <w:sz w:val="28"/>
          <w:szCs w:val="28"/>
          <w:lang w:val="uk" w:eastAsia="ru-RU"/>
        </w:rPr>
        <w:t>Цей Закон набирає чинності з дня наступного за днем його опублікування, але не раніше дня набрання чинності Законом України "</w:t>
      </w:r>
      <w:r w:rsidR="00BF3231" w:rsidRPr="00BF3231">
        <w:rPr>
          <w:sz w:val="28"/>
          <w:szCs w:val="28"/>
          <w:lang w:val="uk" w:eastAsia="ru-RU"/>
        </w:rPr>
        <w:t>Про визнання таким, що в</w:t>
      </w:r>
      <w:r w:rsidR="0078268E">
        <w:rPr>
          <w:sz w:val="28"/>
          <w:szCs w:val="28"/>
          <w:lang w:val="uk" w:eastAsia="ru-RU"/>
        </w:rPr>
        <w:t>тратив чинність Закону України "</w:t>
      </w:r>
      <w:r w:rsidR="00BF3231" w:rsidRPr="00BF3231">
        <w:rPr>
          <w:sz w:val="28"/>
          <w:szCs w:val="28"/>
          <w:lang w:val="uk" w:eastAsia="ru-RU"/>
        </w:rPr>
        <w:t>Про створення вільної економічної зони "Крим" та про особливості здійснення економічної діяльності на тимчасово окупованій території України</w:t>
      </w:r>
      <w:r w:rsidR="0078268E">
        <w:rPr>
          <w:sz w:val="28"/>
          <w:szCs w:val="28"/>
          <w:lang w:val="uk" w:eastAsia="ru-RU"/>
        </w:rPr>
        <w:t>"</w:t>
      </w:r>
      <w:r w:rsidR="00BF3231" w:rsidRPr="00BF3231">
        <w:rPr>
          <w:sz w:val="28"/>
          <w:szCs w:val="28"/>
          <w:lang w:val="uk" w:eastAsia="ru-RU"/>
        </w:rPr>
        <w:t xml:space="preserve"> та про внесення змін</w:t>
      </w:r>
      <w:r w:rsidR="00107C9F">
        <w:rPr>
          <w:sz w:val="28"/>
          <w:szCs w:val="28"/>
          <w:lang w:val="uk" w:eastAsia="ru-RU"/>
        </w:rPr>
        <w:t xml:space="preserve"> до деяких законодавчих актів України"</w:t>
      </w:r>
      <w:r w:rsidR="00BF3231">
        <w:rPr>
          <w:sz w:val="28"/>
          <w:szCs w:val="28"/>
          <w:lang w:val="uk" w:eastAsia="ru-RU"/>
        </w:rPr>
        <w:t>.</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3. Кабінету Міністрів України у місячний строк із дня набрання чинності цим Законом:</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привести свої нормативно-правові акти у відповідність із цим Законом;</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забезпечити прийняття нормативно-правових актів, необхідних для реалізації цього Закону;</w:t>
      </w:r>
    </w:p>
    <w:p w:rsidR="0078268E" w:rsidRPr="0078268E" w:rsidRDefault="0078268E" w:rsidP="0078268E">
      <w:pPr>
        <w:spacing w:after="240" w:line="360" w:lineRule="auto"/>
        <w:ind w:firstLine="720"/>
        <w:jc w:val="both"/>
        <w:rPr>
          <w:color w:val="000000" w:themeColor="text1"/>
          <w:sz w:val="28"/>
          <w:szCs w:val="28"/>
        </w:rPr>
      </w:pPr>
      <w:r w:rsidRPr="0078268E">
        <w:rPr>
          <w:color w:val="000000" w:themeColor="text1"/>
          <w:sz w:val="28"/>
          <w:szCs w:val="28"/>
        </w:rPr>
        <w:t>забезпечити перегляд та приведення центральними органами виконавчої влади їх нормативно-правових актів у відповідність із цим Законом.</w:t>
      </w:r>
    </w:p>
    <w:p w:rsidR="00B866C3" w:rsidRDefault="00B866C3">
      <w:pPr>
        <w:spacing w:before="120"/>
        <w:ind w:firstLine="720"/>
        <w:jc w:val="both"/>
        <w:rPr>
          <w:sz w:val="28"/>
        </w:rPr>
      </w:pPr>
    </w:p>
    <w:p w:rsidR="00B866C3" w:rsidRPr="00372D53" w:rsidRDefault="00B866C3" w:rsidP="00B866C3">
      <w:pPr>
        <w:widowControl w:val="0"/>
        <w:suppressAutoHyphens/>
        <w:autoSpaceDE w:val="0"/>
        <w:autoSpaceDN w:val="0"/>
        <w:adjustRightInd w:val="0"/>
        <w:spacing w:line="360" w:lineRule="auto"/>
        <w:rPr>
          <w:b/>
          <w:bCs/>
          <w:sz w:val="28"/>
          <w:szCs w:val="28"/>
        </w:rPr>
      </w:pPr>
      <w:r w:rsidRPr="00372D53">
        <w:rPr>
          <w:b/>
          <w:bCs/>
          <w:sz w:val="28"/>
          <w:szCs w:val="28"/>
        </w:rPr>
        <w:t>Голова Верховної Ради</w:t>
      </w:r>
    </w:p>
    <w:p w:rsidR="00B866C3" w:rsidRPr="00372D53" w:rsidRDefault="00B866C3" w:rsidP="00B866C3">
      <w:pPr>
        <w:widowControl w:val="0"/>
        <w:suppressAutoHyphens/>
        <w:autoSpaceDE w:val="0"/>
        <w:autoSpaceDN w:val="0"/>
        <w:adjustRightInd w:val="0"/>
        <w:spacing w:after="100" w:afterAutospacing="1" w:line="360" w:lineRule="auto"/>
      </w:pPr>
      <w:r w:rsidRPr="00372D53">
        <w:rPr>
          <w:b/>
          <w:bCs/>
          <w:sz w:val="28"/>
          <w:szCs w:val="28"/>
        </w:rPr>
        <w:t xml:space="preserve">              України </w:t>
      </w:r>
    </w:p>
    <w:sectPr w:rsidR="00B866C3" w:rsidRPr="00372D53">
      <w:headerReference w:type="default" r:id="rId12"/>
      <w:footerReference w:type="default" r:id="rId13"/>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8C" w:rsidRDefault="0055038C">
      <w:r>
        <w:separator/>
      </w:r>
    </w:p>
  </w:endnote>
  <w:endnote w:type="continuationSeparator" w:id="0">
    <w:p w:rsidR="0055038C" w:rsidRDefault="0055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D8" w:rsidRDefault="008361D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8C" w:rsidRDefault="0055038C">
      <w:r>
        <w:separator/>
      </w:r>
    </w:p>
  </w:footnote>
  <w:footnote w:type="continuationSeparator" w:id="0">
    <w:p w:rsidR="0055038C" w:rsidRDefault="0055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D8" w:rsidRDefault="00FE6424">
    <w:pPr>
      <w:pStyle w:val="a3"/>
      <w:jc w:val="center"/>
      <w:rPr>
        <w:sz w:val="28"/>
      </w:rPr>
    </w:pPr>
    <w:r>
      <w:rPr>
        <w:sz w:val="28"/>
      </w:rPr>
      <w:fldChar w:fldCharType="begin"/>
    </w:r>
    <w:r>
      <w:rPr>
        <w:sz w:val="28"/>
      </w:rPr>
      <w:instrText>PAGE   \* MERGEFORMAT</w:instrText>
    </w:r>
    <w:r>
      <w:rPr>
        <w:sz w:val="28"/>
      </w:rPr>
      <w:fldChar w:fldCharType="separate"/>
    </w:r>
    <w:r w:rsidR="00EC7F3E">
      <w:rPr>
        <w:noProof/>
        <w:sz w:val="28"/>
      </w:rPr>
      <w:t>2</w:t>
    </w:r>
    <w:r>
      <w:rPr>
        <w:sz w:val="28"/>
      </w:rPr>
      <w:fldChar w:fldCharType="end"/>
    </w:r>
  </w:p>
  <w:p w:rsidR="008361D8" w:rsidRDefault="008361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067"/>
    <w:multiLevelType w:val="hybridMultilevel"/>
    <w:tmpl w:val="604CDF9E"/>
    <w:lvl w:ilvl="0" w:tplc="4BA8D4FC">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9C5AF8"/>
    <w:multiLevelType w:val="hybridMultilevel"/>
    <w:tmpl w:val="478AD0B2"/>
    <w:lvl w:ilvl="0" w:tplc="04220011">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5C30BB2"/>
    <w:multiLevelType w:val="hybridMultilevel"/>
    <w:tmpl w:val="858E098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AAB5FB8"/>
    <w:multiLevelType w:val="hybridMultilevel"/>
    <w:tmpl w:val="322E8B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D342FDF"/>
    <w:multiLevelType w:val="hybridMultilevel"/>
    <w:tmpl w:val="F4EE0CDA"/>
    <w:lvl w:ilvl="0" w:tplc="2F94AC2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43A1283C"/>
    <w:multiLevelType w:val="hybridMultilevel"/>
    <w:tmpl w:val="42645484"/>
    <w:lvl w:ilvl="0" w:tplc="7BD89522">
      <w:start w:val="5"/>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6" w15:restartNumberingAfterBreak="0">
    <w:nsid w:val="4A3523D2"/>
    <w:multiLevelType w:val="hybridMultilevel"/>
    <w:tmpl w:val="3B024EE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5A1E01EF"/>
    <w:multiLevelType w:val="hybridMultilevel"/>
    <w:tmpl w:val="0F160188"/>
    <w:lvl w:ilvl="0" w:tplc="31D65604">
      <w:start w:val="1"/>
      <w:numFmt w:val="decimal"/>
      <w:lvlText w:val="%1)"/>
      <w:lvlJc w:val="left"/>
      <w:pPr>
        <w:ind w:left="1211" w:hanging="360"/>
      </w:pPr>
      <w:rPr>
        <w:b w:val="0"/>
        <w:color w:val="auto"/>
        <w:vertAlign w:val="baseline"/>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6296732A"/>
    <w:multiLevelType w:val="hybridMultilevel"/>
    <w:tmpl w:val="E710FD10"/>
    <w:lvl w:ilvl="0" w:tplc="7004DD9E">
      <w:start w:val="1"/>
      <w:numFmt w:val="bullet"/>
      <w:lvlText w:val="-"/>
      <w:lvlJc w:val="left"/>
      <w:pPr>
        <w:ind w:left="792" w:hanging="360"/>
      </w:pPr>
      <w:rPr>
        <w:rFonts w:ascii="Times New Roman" w:hAnsi="Times New Roman"/>
      </w:rPr>
    </w:lvl>
    <w:lvl w:ilvl="1" w:tplc="04220003">
      <w:start w:val="1"/>
      <w:numFmt w:val="bullet"/>
      <w:lvlText w:val="o"/>
      <w:lvlJc w:val="left"/>
      <w:pPr>
        <w:ind w:left="1512" w:hanging="360"/>
      </w:pPr>
      <w:rPr>
        <w:rFonts w:ascii="Courier New" w:hAnsi="Courier New"/>
      </w:rPr>
    </w:lvl>
    <w:lvl w:ilvl="2" w:tplc="04220005">
      <w:start w:val="1"/>
      <w:numFmt w:val="bullet"/>
      <w:lvlText w:val=""/>
      <w:lvlJc w:val="left"/>
      <w:pPr>
        <w:ind w:left="2232" w:hanging="360"/>
      </w:pPr>
      <w:rPr>
        <w:rFonts w:ascii="Wingdings" w:hAnsi="Wingdings"/>
      </w:rPr>
    </w:lvl>
    <w:lvl w:ilvl="3" w:tplc="04220001">
      <w:start w:val="1"/>
      <w:numFmt w:val="bullet"/>
      <w:lvlText w:val=""/>
      <w:lvlJc w:val="left"/>
      <w:pPr>
        <w:ind w:left="2952" w:hanging="360"/>
      </w:pPr>
      <w:rPr>
        <w:rFonts w:ascii="Symbol" w:hAnsi="Symbol"/>
      </w:rPr>
    </w:lvl>
    <w:lvl w:ilvl="4" w:tplc="04220003">
      <w:start w:val="1"/>
      <w:numFmt w:val="bullet"/>
      <w:lvlText w:val="o"/>
      <w:lvlJc w:val="left"/>
      <w:pPr>
        <w:ind w:left="3672" w:hanging="360"/>
      </w:pPr>
      <w:rPr>
        <w:rFonts w:ascii="Courier New" w:hAnsi="Courier New"/>
      </w:rPr>
    </w:lvl>
    <w:lvl w:ilvl="5" w:tplc="04220005">
      <w:start w:val="1"/>
      <w:numFmt w:val="bullet"/>
      <w:lvlText w:val=""/>
      <w:lvlJc w:val="left"/>
      <w:pPr>
        <w:ind w:left="4392" w:hanging="360"/>
      </w:pPr>
      <w:rPr>
        <w:rFonts w:ascii="Wingdings" w:hAnsi="Wingdings"/>
      </w:rPr>
    </w:lvl>
    <w:lvl w:ilvl="6" w:tplc="04220001">
      <w:start w:val="1"/>
      <w:numFmt w:val="bullet"/>
      <w:lvlText w:val=""/>
      <w:lvlJc w:val="left"/>
      <w:pPr>
        <w:ind w:left="5112" w:hanging="360"/>
      </w:pPr>
      <w:rPr>
        <w:rFonts w:ascii="Symbol" w:hAnsi="Symbol"/>
      </w:rPr>
    </w:lvl>
    <w:lvl w:ilvl="7" w:tplc="04220003">
      <w:start w:val="1"/>
      <w:numFmt w:val="bullet"/>
      <w:lvlText w:val="o"/>
      <w:lvlJc w:val="left"/>
      <w:pPr>
        <w:ind w:left="5832" w:hanging="360"/>
      </w:pPr>
      <w:rPr>
        <w:rFonts w:ascii="Courier New" w:hAnsi="Courier New"/>
      </w:rPr>
    </w:lvl>
    <w:lvl w:ilvl="8" w:tplc="04220005">
      <w:start w:val="1"/>
      <w:numFmt w:val="bullet"/>
      <w:lvlText w:val=""/>
      <w:lvlJc w:val="left"/>
      <w:pPr>
        <w:ind w:left="6552" w:hanging="360"/>
      </w:pPr>
      <w:rPr>
        <w:rFonts w:ascii="Wingdings" w:hAnsi="Wingdings"/>
      </w:rPr>
    </w:lvl>
  </w:abstractNum>
  <w:abstractNum w:abstractNumId="9" w15:restartNumberingAfterBreak="0">
    <w:nsid w:val="7AD17229"/>
    <w:multiLevelType w:val="hybridMultilevel"/>
    <w:tmpl w:val="BB727FE0"/>
    <w:lvl w:ilvl="0" w:tplc="31D65604">
      <w:start w:val="1"/>
      <w:numFmt w:val="decimal"/>
      <w:lvlText w:val="%1)"/>
      <w:lvlJc w:val="left"/>
      <w:pPr>
        <w:ind w:left="1211" w:hanging="360"/>
      </w:pPr>
      <w:rPr>
        <w:b w:val="0"/>
        <w:color w:val="auto"/>
        <w:vertAlign w:val="baseline"/>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7F3558B5"/>
    <w:multiLevelType w:val="hybridMultilevel"/>
    <w:tmpl w:val="86889940"/>
    <w:lvl w:ilvl="0" w:tplc="F1AACD56">
      <w:start w:val="4"/>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1" w15:restartNumberingAfterBreak="0">
    <w:nsid w:val="7FB46124"/>
    <w:multiLevelType w:val="hybridMultilevel"/>
    <w:tmpl w:val="C1B27362"/>
    <w:lvl w:ilvl="0" w:tplc="A62C51E6">
      <w:start w:val="1"/>
      <w:numFmt w:val="upp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1"/>
  </w:num>
  <w:num w:numId="2">
    <w:abstractNumId w:val="9"/>
  </w:num>
  <w:num w:numId="3">
    <w:abstractNumId w:val="4"/>
  </w:num>
  <w:num w:numId="4">
    <w:abstractNumId w:val="10"/>
  </w:num>
  <w:num w:numId="5">
    <w:abstractNumId w:val="5"/>
  </w:num>
  <w:num w:numId="6">
    <w:abstractNumId w:val="7"/>
  </w:num>
  <w:num w:numId="7">
    <w:abstractNumId w:val="6"/>
  </w:num>
  <w:num w:numId="8">
    <w:abstractNumId w:val="2"/>
  </w:num>
  <w:num w:numId="9">
    <w:abstractNumId w:val="3"/>
  </w:num>
  <w:num w:numId="10">
    <w:abstractNumId w:val="0"/>
  </w:num>
  <w:num w:numId="11">
    <w:abstractNumId w:val="8"/>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D8"/>
    <w:rsid w:val="00072118"/>
    <w:rsid w:val="00081DF1"/>
    <w:rsid w:val="00103A5C"/>
    <w:rsid w:val="00107C9F"/>
    <w:rsid w:val="00257644"/>
    <w:rsid w:val="002E7214"/>
    <w:rsid w:val="003D2478"/>
    <w:rsid w:val="00404C51"/>
    <w:rsid w:val="00404C99"/>
    <w:rsid w:val="0055038C"/>
    <w:rsid w:val="0056464F"/>
    <w:rsid w:val="00592733"/>
    <w:rsid w:val="00612D83"/>
    <w:rsid w:val="0069657C"/>
    <w:rsid w:val="006A2F16"/>
    <w:rsid w:val="00724A84"/>
    <w:rsid w:val="00760A82"/>
    <w:rsid w:val="0078268E"/>
    <w:rsid w:val="00794A02"/>
    <w:rsid w:val="008361D8"/>
    <w:rsid w:val="0086720B"/>
    <w:rsid w:val="00886432"/>
    <w:rsid w:val="00897301"/>
    <w:rsid w:val="008E1C60"/>
    <w:rsid w:val="009D1ABE"/>
    <w:rsid w:val="00AE57CB"/>
    <w:rsid w:val="00AF135F"/>
    <w:rsid w:val="00B03FF5"/>
    <w:rsid w:val="00B30687"/>
    <w:rsid w:val="00B817AF"/>
    <w:rsid w:val="00B866C3"/>
    <w:rsid w:val="00BF1AEF"/>
    <w:rsid w:val="00BF3231"/>
    <w:rsid w:val="00C200F4"/>
    <w:rsid w:val="00C621F8"/>
    <w:rsid w:val="00CD3E53"/>
    <w:rsid w:val="00CE1B7A"/>
    <w:rsid w:val="00D349AE"/>
    <w:rsid w:val="00D5641C"/>
    <w:rsid w:val="00DC0BB9"/>
    <w:rsid w:val="00DC243C"/>
    <w:rsid w:val="00E00DD6"/>
    <w:rsid w:val="00E00E4D"/>
    <w:rsid w:val="00EC1631"/>
    <w:rsid w:val="00EC7F3E"/>
    <w:rsid w:val="00F21EFB"/>
    <w:rsid w:val="00F329DD"/>
    <w:rsid w:val="00FB17C2"/>
    <w:rsid w:val="00FC611A"/>
    <w:rsid w:val="00FE6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Balloon Text"/>
    <w:basedOn w:val="a"/>
    <w:link w:val="a8"/>
    <w:semiHidden/>
    <w:rPr>
      <w:sz w:val="18"/>
    </w:rPr>
  </w:style>
  <w:style w:type="paragraph" w:styleId="a9">
    <w:name w:val="annotation text"/>
    <w:basedOn w:val="a"/>
    <w:link w:val="aa"/>
    <w:rPr>
      <w:sz w:val="20"/>
    </w:rPr>
  </w:style>
  <w:style w:type="paragraph" w:styleId="ab">
    <w:name w:val="annotation subject"/>
    <w:basedOn w:val="a9"/>
    <w:next w:val="a9"/>
    <w:link w:val="ac"/>
    <w:semiHidden/>
    <w:rPr>
      <w:b/>
    </w:rPr>
  </w:style>
  <w:style w:type="paragraph" w:styleId="ad">
    <w:name w:val="Revision"/>
    <w:hidden/>
    <w:semiHidden/>
    <w:rPr>
      <w:lang w:val="uk-UA"/>
    </w:rPr>
  </w:style>
  <w:style w:type="paragraph" w:styleId="ae">
    <w:name w:val="List Paragraph"/>
    <w:basedOn w:val="a"/>
    <w:qFormat/>
    <w:pPr>
      <w:ind w:left="720"/>
      <w:contextualSpacing/>
    </w:pPr>
  </w:style>
  <w:style w:type="paragraph" w:customStyle="1" w:styleId="af">
    <w:name w:val="Нормальний текст"/>
    <w:basedOn w:val="a"/>
    <w:link w:val="af0"/>
    <w:pPr>
      <w:spacing w:before="120"/>
      <w:ind w:firstLine="567"/>
      <w:jc w:val="both"/>
    </w:pPr>
    <w:rPr>
      <w:rFonts w:ascii="Antiqua" w:hAnsi="Antiqua"/>
      <w:sz w:val="26"/>
      <w:lang w:eastAsia="ru-RU"/>
    </w:rPr>
  </w:style>
  <w:style w:type="paragraph" w:customStyle="1" w:styleId="af1">
    <w:name w:val="Вид документа"/>
    <w:basedOn w:val="a"/>
    <w:next w:val="a"/>
    <w:pPr>
      <w:keepNext/>
      <w:keepLines/>
      <w:spacing w:after="240"/>
      <w:jc w:val="right"/>
    </w:pPr>
    <w:rPr>
      <w:rFonts w:ascii="Antiqua" w:hAnsi="Antiqua"/>
      <w:sz w:val="26"/>
      <w:lang w:eastAsia="ru-RU"/>
    </w:rPr>
  </w:style>
  <w:style w:type="paragraph" w:customStyle="1" w:styleId="rvps2">
    <w:name w:val="rvps2"/>
    <w:basedOn w:val="a"/>
    <w:pPr>
      <w:spacing w:before="100" w:beforeAutospacing="1" w:after="100" w:afterAutospacing="1"/>
    </w:pPr>
    <w:rPr>
      <w:lang w:val="ru-RU" w:eastAsia="ru-RU"/>
    </w:rPr>
  </w:style>
  <w:style w:type="paragraph" w:customStyle="1" w:styleId="rvps1">
    <w:name w:val="rvps1"/>
    <w:basedOn w:val="a"/>
    <w:pPr>
      <w:spacing w:before="100" w:beforeAutospacing="1" w:after="100" w:afterAutospacing="1"/>
    </w:pPr>
    <w:rPr>
      <w:lang w:val="en-US"/>
    </w:rPr>
  </w:style>
  <w:style w:type="paragraph" w:customStyle="1" w:styleId="rvps4">
    <w:name w:val="rvps4"/>
    <w:basedOn w:val="a"/>
    <w:pPr>
      <w:spacing w:before="100" w:beforeAutospacing="1" w:after="100" w:afterAutospacing="1"/>
    </w:pPr>
    <w:rPr>
      <w:lang w:val="en-US"/>
    </w:rPr>
  </w:style>
  <w:style w:type="paragraph" w:customStyle="1" w:styleId="rvps7">
    <w:name w:val="rvps7"/>
    <w:basedOn w:val="a"/>
    <w:pPr>
      <w:spacing w:before="100" w:beforeAutospacing="1" w:after="100" w:afterAutospacing="1"/>
    </w:pPr>
    <w:rPr>
      <w:lang w:val="en-US"/>
    </w:rPr>
  </w:style>
  <w:style w:type="character" w:styleId="af2">
    <w:name w:val="line number"/>
    <w:basedOn w:val="a0"/>
    <w:semiHidden/>
  </w:style>
  <w:style w:type="character" w:styleId="af3">
    <w:name w:val="Hyperlink"/>
    <w:basedOn w:val="a0"/>
    <w:semiHidden/>
    <w:rPr>
      <w:color w:val="0000FF"/>
      <w:u w:val="single"/>
    </w:rPr>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customStyle="1" w:styleId="a8">
    <w:name w:val="Текст у виносці Знак"/>
    <w:basedOn w:val="a0"/>
    <w:link w:val="a7"/>
    <w:semiHidden/>
    <w:rPr>
      <w:sz w:val="18"/>
    </w:rPr>
  </w:style>
  <w:style w:type="character" w:styleId="af4">
    <w:name w:val="annotation reference"/>
    <w:basedOn w:val="a0"/>
    <w:uiPriority w:val="99"/>
    <w:semiHidden/>
    <w:rPr>
      <w:sz w:val="16"/>
    </w:rPr>
  </w:style>
  <w:style w:type="character" w:customStyle="1" w:styleId="aa">
    <w:name w:val="Текст примітки Знак"/>
    <w:basedOn w:val="a0"/>
    <w:link w:val="a9"/>
    <w:rPr>
      <w:sz w:val="20"/>
    </w:rPr>
  </w:style>
  <w:style w:type="character" w:customStyle="1" w:styleId="ac">
    <w:name w:val="Тема примітки Знак"/>
    <w:basedOn w:val="aa"/>
    <w:link w:val="ab"/>
    <w:semiHidden/>
    <w:rPr>
      <w:b/>
      <w:sz w:val="20"/>
    </w:rPr>
  </w:style>
  <w:style w:type="character" w:customStyle="1" w:styleId="af0">
    <w:name w:val="Нормальний текст Знак"/>
    <w:link w:val="af"/>
    <w:rPr>
      <w:rFonts w:ascii="Antiqua" w:hAnsi="Antiqua"/>
      <w:sz w:val="26"/>
      <w:lang w:eastAsia="ru-RU"/>
    </w:rPr>
  </w:style>
  <w:style w:type="character" w:customStyle="1" w:styleId="4">
    <w:name w:val="Основной текст (4) + Не полужирный"/>
    <w:rPr>
      <w:b/>
      <w:sz w:val="26"/>
      <w:shd w:val="clear" w:color="auto" w:fill="FFFFFF"/>
    </w:rPr>
  </w:style>
  <w:style w:type="character" w:styleId="af5">
    <w:name w:val="Emphasis"/>
    <w:basedOn w:val="a0"/>
    <w:qFormat/>
    <w:rPr>
      <w:i/>
    </w:rPr>
  </w:style>
  <w:style w:type="character" w:customStyle="1" w:styleId="rvts0">
    <w:name w:val="rvts0"/>
    <w:basedOn w:val="a0"/>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rvts46">
    <w:name w:val="rvts46"/>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78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207-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1DCB-6913-4EAB-AFAD-7778877B4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A0467-FD90-4FD7-93EA-C333689A2156}">
  <ds:schemaRefs>
    <ds:schemaRef ds:uri="http://schemas.microsoft.com/sharepoint/v3/contenttype/forms"/>
  </ds:schemaRefs>
</ds:datastoreItem>
</file>

<file path=customXml/itemProps3.xml><?xml version="1.0" encoding="utf-8"?>
<ds:datastoreItem xmlns:ds="http://schemas.openxmlformats.org/officeDocument/2006/customXml" ds:itemID="{AD18D013-460C-40E9-9578-CAEE2D59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6FA60-2160-458E-9A57-74A14C2D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2021-05-20T09:37:00Z</dcterms:created>
  <dcterms:modified xsi:type="dcterms:W3CDTF">2021-05-20T09:37:00Z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