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3" w:rsidRPr="00A54D42" w:rsidRDefault="001446C3" w:rsidP="00A24363">
      <w:pPr>
        <w:shd w:val="clear" w:color="auto" w:fill="FFFFFF"/>
        <w:spacing w:after="0" w:line="240" w:lineRule="auto"/>
        <w:ind w:left="4536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</w:p>
    <w:p w:rsidR="00153BA8" w:rsidRPr="00A00B66" w:rsidRDefault="00153BA8" w:rsidP="00A54D42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A00B66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</w:p>
    <w:p w:rsidR="00153BA8" w:rsidRPr="00A00B66" w:rsidRDefault="00A54D42" w:rsidP="00A54D42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A00B66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з питань гуманітарної та інформаційної політики</w:t>
      </w:r>
    </w:p>
    <w:p w:rsidR="005B66D6" w:rsidRPr="00A00B66" w:rsidRDefault="005B66D6" w:rsidP="005B66D6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936D62" w:rsidRPr="00A00B66" w:rsidRDefault="00936D62" w:rsidP="005B66D6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5B66D6" w:rsidRPr="00A00B66" w:rsidRDefault="005B66D6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A00B66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 розгляду законопроекту</w:t>
      </w:r>
    </w:p>
    <w:p w:rsidR="005B66D6" w:rsidRPr="00A00B66" w:rsidRDefault="00A54D42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A00B66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реєстр. №5585</w:t>
      </w:r>
    </w:p>
    <w:p w:rsidR="00A24363" w:rsidRPr="00A00B66" w:rsidRDefault="00A24363" w:rsidP="00A24363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</w:p>
    <w:p w:rsidR="00153BA8" w:rsidRPr="00A00B66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A54D4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30 червня</w:t>
      </w:r>
      <w:r w:rsidR="00204E9C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202</w:t>
      </w:r>
      <w:r w:rsidR="00A54D4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1 року (протокол № 94</w:t>
      </w: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</w:t>
      </w:r>
      <w:r w:rsidR="00A54D4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про внесення змін до Закону України «Про державну допомогу сім'ям з дітьми» щодо збільшення розміру допомоги при народженні дитини (реєстр. № 5585 від 28</w:t>
      </w: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.0</w:t>
      </w:r>
      <w:r w:rsidR="00A54D4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5</w:t>
      </w: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.202</w:t>
      </w:r>
      <w:r w:rsidR="00A54D4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1</w:t>
      </w: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р.), поданий Кабінетом Міністрів України, і повідомляє таке.</w:t>
      </w:r>
    </w:p>
    <w:p w:rsidR="00FE2E8D" w:rsidRPr="00A00B66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У законопроекті </w:t>
      </w:r>
      <w:r w:rsidR="00BA18FB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пропонується</w:t>
      </w: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FE2E8D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встановити </w:t>
      </w:r>
      <w:r w:rsidR="00AD7903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 1 </w:t>
      </w:r>
      <w:r w:rsidR="00FE2E8D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січня</w:t>
      </w:r>
      <w:r w:rsidR="00AD7903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202</w:t>
      </w:r>
      <w:r w:rsidR="00FE2E8D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2</w:t>
      </w:r>
      <w:r w:rsidR="00AD7903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року </w:t>
      </w:r>
      <w:r w:rsidR="00936D6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розмір державної соціальної допомоги </w:t>
      </w:r>
      <w:r w:rsidR="00FE2E8D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при народженні дитини у розмірі 50 000 грн з щорічним збільшенням</w:t>
      </w:r>
      <w:r w:rsidR="0015201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FE2E8D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на </w:t>
      </w:r>
      <w:r w:rsidR="0015201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прогнозний</w:t>
      </w:r>
      <w:r w:rsidR="00FE2E8D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показник зростання індексу </w:t>
      </w:r>
      <w:r w:rsidR="0015201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споживчих цін (грудень порівняно до грудня попереднього року), який затверджується Кабінетом Міністрів України </w:t>
      </w:r>
      <w:r w:rsidR="00FE2E8D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та проводити її виплат</w:t>
      </w:r>
      <w:r w:rsidR="0015201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у</w:t>
      </w:r>
      <w:r w:rsidR="00FE2E8D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таким чином: одноразово у розмірі 25 відсотків загального розміру допомоги, а решта суми допомоги виплачуватиметься протягом наступних 36 місяців</w:t>
      </w:r>
      <w:r w:rsidR="0026579C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26579C" w:rsidRP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/чинна норма – допомога при народженні</w:t>
      </w:r>
      <w:r w:rsid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першої</w:t>
      </w:r>
      <w:r w:rsidR="0026579C" w:rsidRP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дитини</w:t>
      </w:r>
      <w:r w:rsid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та кожної наступної дитини призначається у розмірі 41 280 гривень </w:t>
      </w:r>
      <w:r w:rsidR="0026579C" w:rsidRP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та </w:t>
      </w:r>
      <w:r w:rsid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виплачується </w:t>
      </w:r>
      <w:r w:rsidR="0026579C" w:rsidRP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одноразово </w:t>
      </w:r>
      <w:r w:rsid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у сумі</w:t>
      </w:r>
      <w:r w:rsidR="0026579C" w:rsidRP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</w:t>
      </w:r>
      <w:r w:rsid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10 320 </w:t>
      </w:r>
      <w:r w:rsidR="0026579C" w:rsidRP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грн, а решта суми допомоги виплачу</w:t>
      </w:r>
      <w:r w:rsid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ється</w:t>
      </w:r>
      <w:r w:rsidR="0026579C" w:rsidRP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протягом наступних 36 місяців рівними частинами у порядку, встановлен</w:t>
      </w:r>
      <w:r w:rsidR="0026579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ому Кабінетом Міністрів України/.</w:t>
      </w:r>
      <w:bookmarkStart w:id="0" w:name="_GoBack"/>
      <w:bookmarkEnd w:id="0"/>
    </w:p>
    <w:p w:rsidR="00153BA8" w:rsidRPr="00A00B66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Зважаючи, що відповідно до підпункту «і» пункту 9 частини першої статті 87 Бюджетного кодексу України видатки на виплату відповідних соціальних допомог, здійснюються за рахунок коштів Державного бюджету України, з</w:t>
      </w:r>
      <w:r w:rsidR="003E5F0E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апропоноване збільшення розміру</w:t>
      </w: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соціальн</w:t>
      </w:r>
      <w:r w:rsidR="003E5F0E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ої</w:t>
      </w: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допомог</w:t>
      </w:r>
      <w:r w:rsidR="003E5F0E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и</w:t>
      </w: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зазначеним категоріям громадян потребуватиме додаткових витрат з державного бюджету.</w:t>
      </w:r>
    </w:p>
    <w:p w:rsidR="007834F6" w:rsidRPr="00A00B66" w:rsidRDefault="00152012" w:rsidP="00684D1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У пояснювальній записці та фінансово-економічних обґрунтуваннях до законопроекту зазначається, що реалізація запропонованих положень потребуватиме додаткових коштів з державного бюджету у 2022 році – 994,7 млн грн, у 2023 році – </w:t>
      </w:r>
      <w:r w:rsidR="00684D1A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854,4 млн грн, у 2024 році – 1.107,4 млн грн </w:t>
      </w:r>
      <w:r w:rsidR="009939E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і буде здійснюватися у межах коштів, передбачених </w:t>
      </w:r>
      <w:r w:rsidR="002E4393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Міністерству</w:t>
      </w:r>
      <w:r w:rsidR="00523F2B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соціальної політики України </w:t>
      </w:r>
      <w:r w:rsidR="00684D1A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з</w:t>
      </w:r>
      <w:r w:rsidR="009939E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аконом </w:t>
      </w:r>
      <w:r w:rsidR="00684D1A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п</w:t>
      </w:r>
      <w:r w:rsidR="009939E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ро </w:t>
      </w:r>
      <w:r w:rsidR="00684D1A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д</w:t>
      </w:r>
      <w:r w:rsidR="009939E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ержавний бюджет</w:t>
      </w:r>
      <w:r w:rsidR="00684D1A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на відповідний рік</w:t>
      </w:r>
      <w:r w:rsidR="009939E2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за бюджетною програмою</w:t>
      </w:r>
      <w:r w:rsidR="00BA18FB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7834F6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2501030</w:t>
      </w:r>
      <w:r w:rsidR="00FF6CC5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 </w:t>
      </w:r>
      <w:r w:rsidR="007834F6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«Виплата деяких видів допомог, компенсацій, грошового забезпечення та оплата послуг окремим категоріям </w:t>
      </w:r>
      <w:r w:rsidR="007834F6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lastRenderedPageBreak/>
        <w:t>населення»</w:t>
      </w:r>
      <w:r w:rsidR="003E5F0E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, про що також зазначається у </w:t>
      </w:r>
      <w:r w:rsidR="00684D1A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експертному висновку Міністерства фінансів України </w:t>
      </w:r>
      <w:r w:rsidR="003E5F0E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до законоп</w:t>
      </w:r>
      <w:r w:rsidR="00377236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р</w:t>
      </w:r>
      <w:r w:rsidR="003E5F0E" w:rsidRPr="00A00B66">
        <w:rPr>
          <w:rFonts w:ascii="Times New Roman" w:eastAsiaTheme="minorHAnsi" w:hAnsi="Times New Roman" w:cstheme="minorBidi"/>
          <w:sz w:val="28"/>
          <w:szCs w:val="28"/>
          <w:lang w:val="uk-UA"/>
        </w:rPr>
        <w:t>оекту.</w:t>
      </w:r>
    </w:p>
    <w:p w:rsidR="0050736C" w:rsidRPr="0050736C" w:rsidRDefault="0050736C" w:rsidP="0050736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50736C">
        <w:rPr>
          <w:rFonts w:ascii="Times New Roman" w:eastAsiaTheme="minorHAnsi" w:hAnsi="Times New Roman" w:cstheme="minorBidi"/>
          <w:sz w:val="28"/>
          <w:szCs w:val="28"/>
          <w:lang w:val="uk-UA"/>
        </w:rPr>
        <w:t>Крім того, термін набрання чинності законом, визначений у законопроекті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, має</w:t>
      </w:r>
      <w:r w:rsidRPr="0050736C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узгоджу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ватись</w:t>
      </w:r>
      <w:r w:rsidRPr="0050736C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з положеннями частини третьої статті 27 Бюджетного кодексу України, що передбачає вимоги щодо введення в дію законів, що впливають на показники бюджету (зменшують надходження бюджету та/або збільшують витрати бюджету).</w:t>
      </w:r>
    </w:p>
    <w:p w:rsidR="00A24363" w:rsidRPr="00A00B66" w:rsidRDefault="0050736C" w:rsidP="0050736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50736C">
        <w:rPr>
          <w:rFonts w:ascii="Times New Roman" w:eastAsiaTheme="minorHAnsi" w:hAnsi="Times New Roman" w:cstheme="minorBidi"/>
          <w:sz w:val="28"/>
          <w:szCs w:val="28"/>
          <w:lang w:val="uk-UA"/>
        </w:rPr>
        <w:t>За підсумками розгляду Комітет ухвалив рішення, що проект Закону про внесення змін до Закону України «Про державну допомогу сім'ям з дітьми» щодо збільшення розміру допомоги при народженні дитини (реєстр. № 5585 від 28.05.2021 р.), поданий Кабінетом Міністрів України, має вплив на показники державного бюджету (призведе до збільшення його видатків). У разі прийняття відповідного закону до 15 липня 2021 року він має вводитися в дію не раніше 1 січня 2022 року, а після 15 липня 2021 року – не раніше 1 січня 2023 року (або 1 січня наступного за цим року залежно від часу прийняття закону).</w:t>
      </w:r>
    </w:p>
    <w:p w:rsidR="00520511" w:rsidRPr="00A00B66" w:rsidRDefault="00520511" w:rsidP="0039031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A24363" w:rsidRPr="00A00B66" w:rsidRDefault="00A24363" w:rsidP="00A2436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39031D" w:rsidRPr="00A00B66" w:rsidRDefault="00A24363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  <w:r w:rsidRPr="00A00B66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A00B66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A00B66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A00B66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A00B66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A00B66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="00FF6CC5" w:rsidRPr="00A00B66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="00A93088" w:rsidRPr="00A00B66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A00B66">
        <w:rPr>
          <w:rFonts w:ascii="Times New Roman" w:eastAsiaTheme="minorHAnsi" w:hAnsi="Times New Roman" w:cstheme="minorBidi"/>
          <w:b/>
          <w:sz w:val="28"/>
          <w:lang w:val="uk-UA"/>
        </w:rPr>
        <w:t>Ю.Ю.</w:t>
      </w:r>
      <w:r w:rsidR="00520511" w:rsidRPr="00A00B66">
        <w:rPr>
          <w:rFonts w:ascii="Times New Roman" w:eastAsiaTheme="minorHAnsi" w:hAnsi="Times New Roman" w:cstheme="minorBidi"/>
          <w:b/>
          <w:sz w:val="28"/>
          <w:lang w:val="uk-UA"/>
        </w:rPr>
        <w:t> </w:t>
      </w:r>
      <w:proofErr w:type="spellStart"/>
      <w:r w:rsidRPr="00A00B66">
        <w:rPr>
          <w:rFonts w:ascii="Times New Roman" w:eastAsiaTheme="minorHAnsi" w:hAnsi="Times New Roman" w:cstheme="minorBidi"/>
          <w:b/>
          <w:sz w:val="28"/>
          <w:lang w:val="uk-UA"/>
        </w:rPr>
        <w:t>Арістов</w:t>
      </w:r>
      <w:proofErr w:type="spellEnd"/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C6298F" w:rsidRPr="00A00B66" w:rsidRDefault="00C6298F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435891" w:rsidRPr="00A00B66" w:rsidRDefault="00435891" w:rsidP="00435891">
      <w:pPr>
        <w:spacing w:after="0" w:line="240" w:lineRule="atLeast"/>
        <w:jc w:val="both"/>
        <w:rPr>
          <w:rFonts w:ascii="Times New Roman" w:eastAsia="Times New Roman" w:hAnsi="Times New Roman"/>
          <w:i/>
          <w:sz w:val="18"/>
          <w:szCs w:val="18"/>
          <w:lang w:val="uk-UA" w:eastAsia="ru-RU"/>
        </w:rPr>
      </w:pPr>
      <w:proofErr w:type="spellStart"/>
      <w:r w:rsidRPr="00A00B66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>вик</w:t>
      </w:r>
      <w:proofErr w:type="spellEnd"/>
      <w:r w:rsidRPr="00A00B66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>. Войтенко</w:t>
      </w:r>
    </w:p>
    <w:p w:rsidR="00435891" w:rsidRPr="00A54D42" w:rsidRDefault="00435891" w:rsidP="0043589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  <w:r w:rsidRPr="00A00B66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>255-49-91</w:t>
      </w:r>
    </w:p>
    <w:sectPr w:rsidR="00435891" w:rsidRPr="00A54D42" w:rsidSect="00A54D42">
      <w:headerReference w:type="default" r:id="rId6"/>
      <w:headerReference w:type="first" r:id="rId7"/>
      <w:footerReference w:type="first" r:id="rId8"/>
      <w:pgSz w:w="11906" w:h="16838"/>
      <w:pgMar w:top="1134" w:right="1134" w:bottom="1134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40" w:rsidRDefault="00632240">
      <w:pPr>
        <w:spacing w:after="0" w:line="240" w:lineRule="auto"/>
      </w:pPr>
      <w:r>
        <w:separator/>
      </w:r>
    </w:p>
  </w:endnote>
  <w:endnote w:type="continuationSeparator" w:id="0">
    <w:p w:rsidR="00632240" w:rsidRDefault="0063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26579C" w:rsidP="00936D62">
    <w:pPr>
      <w:pStyle w:val="a5"/>
    </w:pPr>
  </w:p>
  <w:p w:rsidR="00A7635E" w:rsidRDefault="002657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40" w:rsidRDefault="00632240">
      <w:pPr>
        <w:spacing w:after="0" w:line="240" w:lineRule="auto"/>
      </w:pPr>
      <w:r>
        <w:separator/>
      </w:r>
    </w:p>
  </w:footnote>
  <w:footnote w:type="continuationSeparator" w:id="0">
    <w:p w:rsidR="00632240" w:rsidRDefault="0063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A24363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26579C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26579C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26579C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A24363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16B44293" wp14:editId="1C6ACF6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A24363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A24363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26579C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26579C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26579C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26579C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3"/>
    <w:rsid w:val="000374A3"/>
    <w:rsid w:val="00082EBA"/>
    <w:rsid w:val="001446C3"/>
    <w:rsid w:val="00152012"/>
    <w:rsid w:val="00153BA8"/>
    <w:rsid w:val="00180728"/>
    <w:rsid w:val="00204E9C"/>
    <w:rsid w:val="0026579C"/>
    <w:rsid w:val="002A61F8"/>
    <w:rsid w:val="002E420A"/>
    <w:rsid w:val="002E4393"/>
    <w:rsid w:val="0032624C"/>
    <w:rsid w:val="00357B08"/>
    <w:rsid w:val="00374527"/>
    <w:rsid w:val="00377236"/>
    <w:rsid w:val="0039031D"/>
    <w:rsid w:val="003A1960"/>
    <w:rsid w:val="003C7E0B"/>
    <w:rsid w:val="003E5F0E"/>
    <w:rsid w:val="00435891"/>
    <w:rsid w:val="004D3695"/>
    <w:rsid w:val="0050736C"/>
    <w:rsid w:val="00520511"/>
    <w:rsid w:val="00523F2B"/>
    <w:rsid w:val="005B66D6"/>
    <w:rsid w:val="005B679A"/>
    <w:rsid w:val="00632240"/>
    <w:rsid w:val="006552D2"/>
    <w:rsid w:val="00684D1A"/>
    <w:rsid w:val="00694A48"/>
    <w:rsid w:val="006A3395"/>
    <w:rsid w:val="006E2B60"/>
    <w:rsid w:val="006E5F19"/>
    <w:rsid w:val="007122D8"/>
    <w:rsid w:val="00721558"/>
    <w:rsid w:val="00744ED9"/>
    <w:rsid w:val="007834F6"/>
    <w:rsid w:val="00787DE0"/>
    <w:rsid w:val="007A2358"/>
    <w:rsid w:val="007B728B"/>
    <w:rsid w:val="00817F5F"/>
    <w:rsid w:val="008532CA"/>
    <w:rsid w:val="008D0A20"/>
    <w:rsid w:val="00936D62"/>
    <w:rsid w:val="009939E2"/>
    <w:rsid w:val="00A00B66"/>
    <w:rsid w:val="00A1761E"/>
    <w:rsid w:val="00A24363"/>
    <w:rsid w:val="00A54D42"/>
    <w:rsid w:val="00A93088"/>
    <w:rsid w:val="00AC085A"/>
    <w:rsid w:val="00AD7903"/>
    <w:rsid w:val="00BA18FB"/>
    <w:rsid w:val="00C6132E"/>
    <w:rsid w:val="00C6298F"/>
    <w:rsid w:val="00CD1417"/>
    <w:rsid w:val="00D0214C"/>
    <w:rsid w:val="00D043F8"/>
    <w:rsid w:val="00EC050E"/>
    <w:rsid w:val="00F02965"/>
    <w:rsid w:val="00FC0170"/>
    <w:rsid w:val="00FD354B"/>
    <w:rsid w:val="00FE2E8D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5AE2"/>
  <w15:chartTrackingRefBased/>
  <w15:docId w15:val="{6056D5DF-E843-4D74-9776-4F2E19B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436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2436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A243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017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Войтенко Євген Анатолійович</cp:lastModifiedBy>
  <cp:revision>9</cp:revision>
  <cp:lastPrinted>2021-06-29T11:00:00Z</cp:lastPrinted>
  <dcterms:created xsi:type="dcterms:W3CDTF">2021-06-28T18:30:00Z</dcterms:created>
  <dcterms:modified xsi:type="dcterms:W3CDTF">2021-06-29T12:05:00Z</dcterms:modified>
</cp:coreProperties>
</file>