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1D8F" w:rsidRDefault="00AA1708">
      <w:pPr>
        <w:shd w:val="clear" w:color="auto" w:fill="FFFFFF"/>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ПОЯСНЮВАЛЬНА ЗАПИСКА</w:t>
      </w:r>
    </w:p>
    <w:p w14:paraId="00000002" w14:textId="1D59BAC6" w:rsidR="008E1D8F" w:rsidRDefault="002B4E40">
      <w:pPr>
        <w:pBdr>
          <w:top w:val="nil"/>
          <w:left w:val="nil"/>
          <w:bottom w:val="nil"/>
          <w:right w:val="nil"/>
          <w:between w:val="nil"/>
        </w:pBdr>
        <w:shd w:val="clear" w:color="auto" w:fill="FFFFFF"/>
        <w:spacing w:after="0" w:line="240" w:lineRule="auto"/>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до проє</w:t>
      </w:r>
      <w:r w:rsidR="00AA1708">
        <w:rPr>
          <w:rFonts w:ascii="Times New Roman" w:hAnsi="Times New Roman"/>
          <w:b/>
          <w:color w:val="000000"/>
          <w:sz w:val="28"/>
          <w:szCs w:val="28"/>
          <w:highlight w:val="white"/>
        </w:rPr>
        <w:t xml:space="preserve">кту Закону України </w:t>
      </w:r>
    </w:p>
    <w:p w14:paraId="00000003" w14:textId="77777777" w:rsidR="008E1D8F" w:rsidRDefault="00AA1708">
      <w:pPr>
        <w:spacing w:after="0" w:line="240" w:lineRule="auto"/>
        <w:jc w:val="center"/>
        <w:rPr>
          <w:rFonts w:ascii="Times New Roman" w:hAnsi="Times New Roman"/>
          <w:b/>
          <w:sz w:val="28"/>
          <w:szCs w:val="28"/>
        </w:rPr>
      </w:pPr>
      <w:r>
        <w:rPr>
          <w:b/>
          <w:sz w:val="28"/>
          <w:szCs w:val="28"/>
        </w:rPr>
        <w:t>«</w:t>
      </w:r>
      <w:r>
        <w:rPr>
          <w:rFonts w:ascii="Times New Roman" w:hAnsi="Times New Roman"/>
          <w:b/>
          <w:sz w:val="28"/>
          <w:szCs w:val="28"/>
        </w:rPr>
        <w:t>Про фортифікацію борошна</w:t>
      </w:r>
      <w:r>
        <w:rPr>
          <w:b/>
          <w:sz w:val="28"/>
          <w:szCs w:val="28"/>
        </w:rPr>
        <w:t>»</w:t>
      </w:r>
    </w:p>
    <w:p w14:paraId="00000004" w14:textId="77777777" w:rsidR="008E1D8F" w:rsidRDefault="008E1D8F">
      <w:pPr>
        <w:spacing w:after="0" w:line="240" w:lineRule="auto"/>
        <w:ind w:firstLine="709"/>
        <w:jc w:val="center"/>
        <w:rPr>
          <w:rFonts w:ascii="Times New Roman" w:hAnsi="Times New Roman"/>
          <w:b/>
          <w:sz w:val="28"/>
          <w:szCs w:val="28"/>
          <w:highlight w:val="white"/>
        </w:rPr>
      </w:pPr>
    </w:p>
    <w:p w14:paraId="00000005" w14:textId="2C2C5938" w:rsidR="008E1D8F" w:rsidRDefault="00AA1708">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1. Обґрунтув</w:t>
      </w:r>
      <w:r w:rsidR="002B4E40">
        <w:rPr>
          <w:rFonts w:ascii="Times New Roman" w:hAnsi="Times New Roman"/>
          <w:b/>
          <w:sz w:val="28"/>
          <w:szCs w:val="28"/>
        </w:rPr>
        <w:t>ання необхідності прийняття проє</w:t>
      </w:r>
      <w:r>
        <w:rPr>
          <w:rFonts w:ascii="Times New Roman" w:hAnsi="Times New Roman"/>
          <w:b/>
          <w:sz w:val="28"/>
          <w:szCs w:val="28"/>
        </w:rPr>
        <w:t>кту Закону</w:t>
      </w:r>
    </w:p>
    <w:p w14:paraId="00000006"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07"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Захворювання та стани, пов'язані з нестачею в організмі людини вітамінів, мінеральних речовин та мікроелементів є глобальною проблемою громадського здоров’я у багатьох країнах світу. Дефіцит вітамінів та мікроелементів, необхідних для обміну речовин в організмі, негативно впливає на здоров’я мільйонів людей, цим самим знижуючи інтелектуальний та економічний потенціал нації. Численні дослідження довели, що від дефіциту найбільш важливих мікронутрієнтів (залізо, йод, фолієва кислота, вітамін А тощо) особливо страждають діти і жінки репродуктивного віку.</w:t>
      </w:r>
    </w:p>
    <w:p w14:paraId="00000008"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Розповсюдження дефіциту вітамінів і мінералів серед дітей та жінок вимагала здійснення широкомасштабних заходів з відновлення недостатньої кількості мікронутрієнтів. Тому у 1998 році рішенням Управління продовольства і медикаментів США (FDA) запроваджено обов’язкову фортифікацію (збагачення) борошна фолієвою кислотою. Наступними країнами, які почали збагачувати борошно фолієвою кислотою стали Канада та Чилі. На сьогоднішній день таких держав налічується більш як 80.</w:t>
      </w:r>
    </w:p>
    <w:p w14:paraId="00000009" w14:textId="77777777" w:rsidR="008E1D8F" w:rsidRDefault="00AA1708">
      <w:pPr>
        <w:spacing w:after="0" w:line="240" w:lineRule="auto"/>
        <w:ind w:firstLine="567"/>
        <w:jc w:val="both"/>
        <w:rPr>
          <w:rFonts w:ascii="Times New Roman" w:hAnsi="Times New Roman"/>
          <w:color w:val="8DB3E2"/>
          <w:sz w:val="28"/>
          <w:szCs w:val="28"/>
        </w:rPr>
      </w:pPr>
      <w:r>
        <w:rPr>
          <w:rFonts w:ascii="Times New Roman" w:hAnsi="Times New Roman"/>
          <w:sz w:val="28"/>
          <w:szCs w:val="28"/>
        </w:rPr>
        <w:t xml:space="preserve">Сьогодні в Україні особливо актуальною є проблема вроджених вад розвитку, адже вони є однією із провідних причин малюкової смертності. Так, </w:t>
      </w:r>
      <w:r>
        <w:rPr>
          <w:rFonts w:ascii="Times New Roman" w:hAnsi="Times New Roman"/>
          <w:sz w:val="26"/>
          <w:szCs w:val="26"/>
        </w:rPr>
        <w:t>частота дефектів нервової трубки (спинномозкової кили і аненцефалії)</w:t>
      </w:r>
      <w:r>
        <w:t xml:space="preserve">, </w:t>
      </w:r>
      <w:r>
        <w:rPr>
          <w:rFonts w:ascii="Times New Roman" w:hAnsi="Times New Roman"/>
          <w:sz w:val="28"/>
          <w:szCs w:val="28"/>
        </w:rPr>
        <w:t>які пов‘язані з високою смертністю і довічним паралічем у тих, хто вижив, в Україні найвища</w:t>
      </w:r>
      <w:r>
        <w:rPr>
          <w:rFonts w:ascii="Times New Roman" w:hAnsi="Times New Roman"/>
          <w:sz w:val="26"/>
          <w:szCs w:val="26"/>
        </w:rPr>
        <w:t xml:space="preserve"> у Європі (за даними EUROCAT - мережі ЄС з моніторингу вроджених вад розвитку).</w:t>
      </w:r>
      <w:r>
        <w:rPr>
          <w:rFonts w:ascii="Times New Roman" w:hAnsi="Times New Roman"/>
          <w:color w:val="8DB3E2"/>
          <w:sz w:val="26"/>
          <w:szCs w:val="26"/>
        </w:rPr>
        <w:t xml:space="preserve"> </w:t>
      </w:r>
      <w:r>
        <w:rPr>
          <w:rFonts w:ascii="Times New Roman" w:hAnsi="Times New Roman"/>
          <w:sz w:val="28"/>
          <w:szCs w:val="28"/>
        </w:rPr>
        <w:t>На виникнення більшості вроджених вад у дітей впливають фактори навколишнього середовищ, зокрема, іонізуюча радіація, дефіцит вітамінів та мікроелементів.</w:t>
      </w:r>
    </w:p>
    <w:p w14:paraId="0000000A"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В Україні норми потреб у вітамінах, зокрема і у фолієвій кислоті, встановлені наказом Міністерства охорони здоров’я України № 1073 від 03.09.2017р. «</w:t>
      </w:r>
      <w:r>
        <w:rPr>
          <w:rFonts w:ascii="Times New Roman" w:hAnsi="Times New Roman"/>
          <w:sz w:val="28"/>
          <w:szCs w:val="28"/>
          <w:highlight w:val="white"/>
        </w:rPr>
        <w:t>Про затвердження Норм фізіологічних потреб населення України в основних харчових речовинах і енергії</w:t>
      </w:r>
      <w:r>
        <w:rPr>
          <w:rFonts w:ascii="Times New Roman" w:hAnsi="Times New Roman"/>
          <w:sz w:val="28"/>
          <w:szCs w:val="28"/>
        </w:rPr>
        <w:t xml:space="preserve">». У наказі визначено, що добова потреба дорослого населення   фолієвої кислоти становить 400  мкг. Але ж це за умови достатньої кількості у харчовому раціоні природнього фолату. Проте, загальновідомо, що більшість населення України не має змоги харчуватися раціонально. </w:t>
      </w:r>
    </w:p>
    <w:p w14:paraId="0000000B"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січня 2013 року МОЗ України затверджено наказ № 15 «Про затвердження Методичних рекомендацій для лікарів загальної практики - сімейної медицини з приводу консультування пацієнтів щодо основних засад здорового харчування», в якому зазначено: «Фолієва кислота. Являється вкрай важливим мікроелементом для еритропоезу. Крім того, достатнє надходження фолату необхідно для попередження вроджених дефектів нервової трубки. Продовжує з’ясовуватись її значення для профілактики інших захворювань: </w:t>
      </w:r>
    </w:p>
    <w:p w14:paraId="0000000C"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 Дефіцит фолату асоціюється із зростанням ризику дефектів нервової трубки у новонароджених. Для зменшення цього ризику жінки дітородного віку повинні отримувати додатково до харчових джерел 400 мкг фолієвої кислоти щоденно.</w:t>
      </w:r>
    </w:p>
    <w:p w14:paraId="0000000D"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Достатня кількість природнього фолату у дієті зумовлює зменшення ризику певних локалізацій раку, зокрема, раку ободової кишки». </w:t>
      </w:r>
    </w:p>
    <w:p w14:paraId="0000000E"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6"/>
          <w:szCs w:val="26"/>
        </w:rPr>
        <w:t xml:space="preserve">Важливо зазначити також, що дефіцит </w:t>
      </w:r>
      <w:r>
        <w:rPr>
          <w:rFonts w:ascii="Times New Roman" w:hAnsi="Times New Roman"/>
          <w:sz w:val="28"/>
          <w:szCs w:val="28"/>
        </w:rPr>
        <w:t>фолату призводить до підвищення рівня гомоцистеїну в крові, який пов‘язаний з інсультами/інфарктами - основними причинами смертності населення України. У той же час є докази, що фолієва кислота зменшує ризик інсультів/інфарктів.</w:t>
      </w:r>
    </w:p>
    <w:p w14:paraId="0000000F"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Фолієва кислота може потрапляти в організм людини з продуктами харчування, з прийманням таблетованих форм (синтетична фолієва кислота) і з вживанням фортифікованих (збагачених) продуктів харчування. </w:t>
      </w:r>
    </w:p>
    <w:p w14:paraId="00000010"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У харчових продуктах (зелені листові овочі, зернові, бобові, деякі фрукти та печінка) фолієва кислота представлена у вигляді фолатів. Проте фолати нестійкі до теплової обробки, дії ультрафіолетових променів та повітря, близько 70 % фолатів втрачається при приготуванні їжі. Та до того ж значна кількість наших громадян не мають змоги харчуватися збалансовано.</w:t>
      </w:r>
    </w:p>
    <w:p w14:paraId="00000011"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Приймання препарату у вигляді таблеток, капсул (або суплементація) дає швидкий ефект, особливо для профілактики і лікування гіповітамінозів. Суплементацію фолієвою кислотою рекомендовано проводити жінкам до початку вагітності, оскільки дефекти розвитку нервової трубки розвиваються у ранніх термінах вагітності.  Але ж у більшості країн суплементація найдорожча і зазвичай найкоротша стратегія, її використовують переважно в групах ризику. Вживання препаратів фолієвої кислоти до настання вагітності не є ефективним  методом, оскільки майже половина вагітностей є незапланованими.</w:t>
      </w:r>
    </w:p>
    <w:p w14:paraId="00000012"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Тому, вже більше як у 80 країнах застосовується один із довготривалих та ефективних методів масової профілактики дефіциту фолієвої кислоти — фортифікація (збагачення) нею продуктів регулярного та масового вживання. </w:t>
      </w:r>
    </w:p>
    <w:p w14:paraId="00000013"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У більшості країн, а саме  в США, Канаді, Чилі, Угорщині, Великій Британії та Франції борошно збагачують фолієвою кислотою — синтетичним аналогом природнього вітаміну В9 як правило, із розрахунку 220 мкг на 100 г борошна, у Китаї фортифікують рис як продукт наймасовішого вживання.</w:t>
      </w:r>
    </w:p>
    <w:p w14:paraId="00000014"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Інші вітаміни та мікроелементи, які вносяться в премікс, в залежності від ситуації в конкретній країні включають вітамін A, цинк, вітаміни Д, B12 та інші вітаміни групи B, такі як тіамін, рибофлавін і ніацин. </w:t>
      </w:r>
    </w:p>
    <w:p w14:paraId="00000015"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Наприклад, завдяки добавці ніацину (нікотинова кислота, вітаміни РР, В3) було повністю ліквідовано таке важке захворювання, як пелагра. Якщо в 1938 році в США від пелагри померло 3 тис. осіб, то до 1950 року смертність від неї знизилася до нуля.</w:t>
      </w:r>
    </w:p>
    <w:p w14:paraId="00000016"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 xml:space="preserve">Як правило, органи охорони здоров'я кожної країни вирішують, які мікронутрієнти потрібно внести в премікс, враховуючи потреби в них </w:t>
      </w:r>
      <w:r>
        <w:rPr>
          <w:rFonts w:ascii="Times New Roman" w:hAnsi="Times New Roman"/>
          <w:sz w:val="28"/>
          <w:szCs w:val="28"/>
        </w:rPr>
        <w:lastRenderedPageBreak/>
        <w:t>населення. Наприклад, багато продуктів зі злаків, бобів і горіхів містять багато фітинової кислоти (фітину), яка гальмує всмоктування заліза і цинку. У тих країнах, де високий рівень споживання продуктів з зерна і бобових, рекомендують збільшити вміст заліза і цинку в премікс.  Фолієва кислота включається в премікс в країнах з високою поширеністю грижі спинного мозку і аненцефалії у дітей. У північних країнах, де люди більшу частину часу проводять у приміщенні і недостатньо на сонці, рекомендують додавання в борошно вітаміну Д.</w:t>
      </w:r>
    </w:p>
    <w:p w14:paraId="00000017"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Всесвітньою організацією охорони здоров’я (ВООЗ) розроблені рекомендації за результатами наукових оглядів, підготовлених для технічного семінару в рамках ініціативи зі збагачення борошна (FFI), що відбувся в місті Стоун Маунтін, штат Джорджія, США в 2008 р, в ході якого різні організації, які активно займаються питанням профілактики і боротьби проти дефіциту вітамінів і мінеральних речовин, а також інші відповідні зацікавлені сторони зібралися і обговорили конкретні практичні рекомендації в якості орієнтира у роботі зі збагачення борошна, яка проводиться в різних країнах громадським, приватним і цивільним секторами. В цих рекомендаціях відображена позиція ВООЗ, Продовольчої і Сільськогосподарської Організації Об'єднаних Націй (ФАО), Дитячого фонду Організації Об'єднаних Націй (ЮНІСЕФ), Глобального альянсу з покращення харчування (GAIN), Ініціативи за поживними мікроелементів (MI), а також FFI. Рекомендації ВООЗ призначені для широкої аудиторії, включаючи харчову промисловість, вчених і урядів, які займаються розробкою і здійсненням програм зі збагачення борошна в якості заходів громадського здоров’я.</w:t>
      </w:r>
    </w:p>
    <w:p w14:paraId="00000018"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sz w:val="28"/>
          <w:szCs w:val="28"/>
        </w:rPr>
        <w:t>У Рекомендаціях ВООЗ зазначено, що збагачення пшеничного і кукурудзяного борошна є профілактичним методом, в якому використовуються продукти харчування, спрямованим на поліпшення з плином часу статусу населення за поживними мікроелементів. Цей метод може використовуватися паралельно з  іншими заходами з тим, щоб знизити дефіцит вітамінів і мінеральних речовин, якщо цей дефіцит є проблемою охорони громадського здоров'я. Програми збагачення пшеничного і кукурудзяного борошна можуть виявитися найбільш ефективними в досягненні визначених зрушень в охороні громадського здоров'я, якщо вони</w:t>
      </w:r>
    </w:p>
    <w:p w14:paraId="00000019" w14:textId="77777777" w:rsidR="008E1D8F" w:rsidRDefault="00AA1708">
      <w:pPr>
        <w:spacing w:after="0" w:line="240" w:lineRule="auto"/>
        <w:jc w:val="both"/>
        <w:rPr>
          <w:rFonts w:ascii="Times New Roman" w:hAnsi="Times New Roman"/>
          <w:sz w:val="28"/>
          <w:szCs w:val="28"/>
        </w:rPr>
      </w:pPr>
      <w:r>
        <w:rPr>
          <w:rFonts w:ascii="Times New Roman" w:hAnsi="Times New Roman"/>
          <w:sz w:val="28"/>
          <w:szCs w:val="28"/>
        </w:rPr>
        <w:t>вводяться на національному рівні і можуть сприяти досягненню міжнародних цілей охорони громадського здоров'я. Програми збагачення борошна повинні передбачати належні програми забезпечення якості та контролю якості(QA/QC) на борошномельних підприємствах, а також моніторинг з боку регулятивних органів і органів охорони здоров'я на предмет вмісту збагачених продуктів харчування і оцінку дієтологічних/медико-санітарних наслідків заходів зі збагачення продуктів харчування. Незважаючи на те, що пшеничне і кукурудзяне борошно може збагачуватися багатьма поживними мікроелементами.</w:t>
      </w:r>
    </w:p>
    <w:p w14:paraId="0000001A"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1B" w14:textId="74617BAE" w:rsidR="008E1D8F" w:rsidRDefault="002B4E40">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2. Цілі та завдання проє</w:t>
      </w:r>
      <w:r w:rsidR="00AA1708">
        <w:rPr>
          <w:rFonts w:ascii="Times New Roman" w:hAnsi="Times New Roman"/>
          <w:b/>
          <w:sz w:val="28"/>
          <w:szCs w:val="28"/>
        </w:rPr>
        <w:t>кту Закону</w:t>
      </w:r>
    </w:p>
    <w:p w14:paraId="0000001C" w14:textId="77777777" w:rsidR="008E1D8F" w:rsidRDefault="00AA1708">
      <w:pPr>
        <w:pBdr>
          <w:top w:val="nil"/>
          <w:left w:val="nil"/>
          <w:bottom w:val="nil"/>
          <w:right w:val="nil"/>
          <w:between w:val="nil"/>
        </w:pBdr>
        <w:shd w:val="clear" w:color="auto" w:fill="FFFFFF"/>
        <w:spacing w:after="0" w:line="240" w:lineRule="auto"/>
        <w:ind w:firstLine="448"/>
        <w:jc w:val="both"/>
        <w:rPr>
          <w:rFonts w:ascii="Times New Roman" w:hAnsi="Times New Roman"/>
          <w:color w:val="000000"/>
          <w:sz w:val="28"/>
          <w:szCs w:val="28"/>
        </w:rPr>
      </w:pPr>
      <w:r>
        <w:rPr>
          <w:rFonts w:ascii="Times New Roman" w:hAnsi="Times New Roman"/>
          <w:color w:val="000000"/>
          <w:sz w:val="28"/>
          <w:szCs w:val="28"/>
        </w:rPr>
        <w:t>Метою прийняття проекту Закону є зміцнення та збереження здоров'я населення, пов'язаних нестачею в організмі людини вітамінів, мінеральних речовин та мікроелементів, поліпшення демографічної ситуації в Україні.</w:t>
      </w:r>
    </w:p>
    <w:p w14:paraId="0000001D" w14:textId="468E499F" w:rsidR="008E1D8F" w:rsidRDefault="00AA1708">
      <w:pPr>
        <w:pBdr>
          <w:top w:val="nil"/>
          <w:left w:val="nil"/>
          <w:bottom w:val="nil"/>
          <w:right w:val="nil"/>
          <w:between w:val="nil"/>
        </w:pBdr>
        <w:shd w:val="clear" w:color="auto" w:fill="FFFFFF"/>
        <w:spacing w:before="280" w:after="240" w:line="240" w:lineRule="auto"/>
        <w:ind w:firstLine="567"/>
        <w:jc w:val="both"/>
        <w:rPr>
          <w:rFonts w:ascii="Times New Roman" w:hAnsi="Times New Roman"/>
          <w:color w:val="000000"/>
          <w:sz w:val="28"/>
          <w:szCs w:val="28"/>
        </w:rPr>
      </w:pPr>
      <w:r>
        <w:rPr>
          <w:rFonts w:ascii="Times New Roman" w:hAnsi="Times New Roman"/>
          <w:b/>
          <w:color w:val="000000"/>
          <w:sz w:val="28"/>
          <w:szCs w:val="28"/>
        </w:rPr>
        <w:t>3. Загальна характе</w:t>
      </w:r>
      <w:r w:rsidR="002B4E40">
        <w:rPr>
          <w:rFonts w:ascii="Times New Roman" w:hAnsi="Times New Roman"/>
          <w:b/>
          <w:color w:val="000000"/>
          <w:sz w:val="28"/>
          <w:szCs w:val="28"/>
        </w:rPr>
        <w:t>ристика і основні положення проє</w:t>
      </w:r>
      <w:r>
        <w:rPr>
          <w:rFonts w:ascii="Times New Roman" w:hAnsi="Times New Roman"/>
          <w:b/>
          <w:color w:val="000000"/>
          <w:sz w:val="28"/>
          <w:szCs w:val="28"/>
        </w:rPr>
        <w:t>кту Закону</w:t>
      </w:r>
    </w:p>
    <w:p w14:paraId="0000001E" w14:textId="77777777" w:rsidR="008E1D8F" w:rsidRDefault="00AA1708">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Законопроектом пропонується визначення </w:t>
      </w:r>
      <w:r>
        <w:rPr>
          <w:rFonts w:ascii="Times New Roman" w:hAnsi="Times New Roman"/>
          <w:color w:val="000000"/>
          <w:sz w:val="28"/>
          <w:szCs w:val="28"/>
        </w:rPr>
        <w:t>правових, економічних та організаційних засад забезпечення населення безпечним та якісним борошном збагаченим вітамінами, мінеральними речовинами та мікроелементами</w:t>
      </w:r>
      <w:r>
        <w:rPr>
          <w:rFonts w:ascii="Times New Roman" w:hAnsi="Times New Roman"/>
          <w:color w:val="000000"/>
          <w:sz w:val="28"/>
          <w:szCs w:val="28"/>
          <w:highlight w:val="white"/>
        </w:rPr>
        <w:t xml:space="preserve">, а саме: </w:t>
      </w:r>
    </w:p>
    <w:p w14:paraId="0000001F" w14:textId="77777777" w:rsidR="008E1D8F" w:rsidRDefault="00AA1708">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розділ І визначає понятійний апарат, сферу дії Закону та запровадження в Україні обов’язкової фортифікації пшеничного борошна вищого та першого сортів </w:t>
      </w:r>
      <w:r>
        <w:rPr>
          <w:rFonts w:ascii="Times New Roman" w:hAnsi="Times New Roman"/>
          <w:color w:val="000000"/>
          <w:sz w:val="28"/>
          <w:szCs w:val="28"/>
        </w:rPr>
        <w:t>фолієвою кислотою (вітаміном В</w:t>
      </w:r>
      <w:r>
        <w:rPr>
          <w:rFonts w:ascii="Times New Roman" w:hAnsi="Times New Roman"/>
          <w:color w:val="000000"/>
          <w:sz w:val="28"/>
          <w:szCs w:val="28"/>
          <w:vertAlign w:val="subscript"/>
        </w:rPr>
        <w:t>9</w:t>
      </w:r>
      <w:r>
        <w:rPr>
          <w:rFonts w:ascii="Times New Roman" w:hAnsi="Times New Roman"/>
          <w:color w:val="000000"/>
          <w:sz w:val="28"/>
          <w:szCs w:val="28"/>
        </w:rPr>
        <w:t>);</w:t>
      </w:r>
    </w:p>
    <w:p w14:paraId="00000020" w14:textId="77777777" w:rsidR="008E1D8F" w:rsidRDefault="00AA1708">
      <w:pPr>
        <w:spacing w:after="0" w:line="240" w:lineRule="auto"/>
        <w:ind w:firstLine="567"/>
        <w:jc w:val="both"/>
        <w:rPr>
          <w:rFonts w:ascii="Times New Roman" w:hAnsi="Times New Roman"/>
          <w:sz w:val="28"/>
          <w:szCs w:val="28"/>
        </w:rPr>
      </w:pPr>
      <w:r>
        <w:rPr>
          <w:rFonts w:ascii="Times New Roman" w:hAnsi="Times New Roman"/>
          <w:color w:val="232323"/>
          <w:sz w:val="28"/>
          <w:szCs w:val="28"/>
          <w:highlight w:val="white"/>
        </w:rPr>
        <w:t xml:space="preserve">розділ ІІ визначає </w:t>
      </w:r>
      <w:r>
        <w:rPr>
          <w:rFonts w:ascii="Times New Roman" w:hAnsi="Times New Roman"/>
          <w:color w:val="212121"/>
          <w:sz w:val="28"/>
          <w:szCs w:val="28"/>
        </w:rPr>
        <w:t>державну політику у сфері фортифікації борошна, а також повноваження Кабінету Міністрів України</w:t>
      </w:r>
      <w:r>
        <w:rPr>
          <w:rFonts w:ascii="Times New Roman" w:hAnsi="Times New Roman"/>
          <w:color w:val="000000"/>
          <w:sz w:val="28"/>
          <w:szCs w:val="28"/>
        </w:rPr>
        <w:t>, центральних органів виконавчої влади, місцевих державних адміністрацій та органів місцевого самоврядування</w:t>
      </w:r>
      <w:r>
        <w:rPr>
          <w:rFonts w:ascii="Times New Roman" w:hAnsi="Times New Roman"/>
          <w:color w:val="000000"/>
          <w:sz w:val="28"/>
          <w:szCs w:val="28"/>
          <w:highlight w:val="white"/>
        </w:rPr>
        <w:t>;</w:t>
      </w:r>
      <w:r>
        <w:rPr>
          <w:rFonts w:ascii="Times New Roman" w:hAnsi="Times New Roman"/>
          <w:sz w:val="28"/>
          <w:szCs w:val="28"/>
        </w:rPr>
        <w:t xml:space="preserve"> державний контроль за безпекою та якістю збагаченого борошна; забезпечення безпеки та якості збагаченого борошна; </w:t>
      </w:r>
    </w:p>
    <w:p w14:paraId="00000021" w14:textId="77777777" w:rsidR="008E1D8F" w:rsidRDefault="00AA1708">
      <w:pPr>
        <w:spacing w:after="0" w:line="240" w:lineRule="auto"/>
        <w:ind w:firstLine="448"/>
        <w:jc w:val="both"/>
        <w:rPr>
          <w:rFonts w:ascii="Times New Roman" w:hAnsi="Times New Roman"/>
          <w:sz w:val="28"/>
          <w:szCs w:val="28"/>
        </w:rPr>
      </w:pPr>
      <w:r>
        <w:rPr>
          <w:rFonts w:ascii="Times New Roman" w:hAnsi="Times New Roman"/>
          <w:sz w:val="28"/>
          <w:szCs w:val="28"/>
          <w:highlight w:val="white"/>
        </w:rPr>
        <w:t xml:space="preserve">розділ ІІІ визначає обов’язки суб’єктів господарювання у сфері </w:t>
      </w:r>
      <w:r>
        <w:rPr>
          <w:rFonts w:ascii="Times New Roman" w:hAnsi="Times New Roman"/>
          <w:sz w:val="28"/>
          <w:szCs w:val="28"/>
        </w:rPr>
        <w:t>забезпечення безпеки та якості збагаченого борошна та вимоги до упаковки та маркування, а також встановлює, що реклама некомерційного характеру, спрямована на профілактику</w:t>
      </w:r>
      <w:r>
        <w:rPr>
          <w:rFonts w:ascii="Times New Roman" w:hAnsi="Times New Roman"/>
          <w:sz w:val="28"/>
          <w:szCs w:val="28"/>
          <w:highlight w:val="white"/>
        </w:rPr>
        <w:t xml:space="preserve"> мікронутрієнтної недостатності</w:t>
      </w:r>
      <w:r>
        <w:rPr>
          <w:rFonts w:ascii="Times New Roman" w:hAnsi="Times New Roman"/>
          <w:sz w:val="28"/>
          <w:szCs w:val="28"/>
        </w:rPr>
        <w:t xml:space="preserve"> серед населення, є соціальною рекламною;</w:t>
      </w:r>
    </w:p>
    <w:p w14:paraId="00000022" w14:textId="77777777" w:rsidR="008E1D8F" w:rsidRDefault="00AA1708">
      <w:pPr>
        <w:spacing w:after="0" w:line="240" w:lineRule="auto"/>
        <w:jc w:val="both"/>
        <w:rPr>
          <w:rFonts w:ascii="Times New Roman" w:hAnsi="Times New Roman"/>
          <w:color w:val="000000"/>
          <w:sz w:val="28"/>
          <w:szCs w:val="28"/>
        </w:rPr>
      </w:pPr>
      <w:r>
        <w:rPr>
          <w:rFonts w:ascii="Times New Roman" w:hAnsi="Times New Roman"/>
          <w:sz w:val="28"/>
          <w:szCs w:val="28"/>
          <w:highlight w:val="white"/>
        </w:rPr>
        <w:t xml:space="preserve"> </w:t>
      </w:r>
      <w:r>
        <w:rPr>
          <w:rFonts w:ascii="Times New Roman" w:hAnsi="Times New Roman"/>
          <w:sz w:val="28"/>
          <w:szCs w:val="28"/>
        </w:rPr>
        <w:t>відповідальність за порушення законодавства у сфері фортифікації борошна;</w:t>
      </w:r>
    </w:p>
    <w:p w14:paraId="00000023" w14:textId="77777777" w:rsidR="008E1D8F" w:rsidRDefault="00AA1708">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розділ IV визначає </w:t>
      </w:r>
      <w:r>
        <w:rPr>
          <w:rFonts w:ascii="Times New Roman" w:hAnsi="Times New Roman"/>
          <w:color w:val="000000"/>
          <w:sz w:val="28"/>
          <w:szCs w:val="28"/>
        </w:rPr>
        <w:t>відповідальність за порушення закону у сфері фортифікації борошна;</w:t>
      </w:r>
    </w:p>
    <w:p w14:paraId="00000024" w14:textId="77777777" w:rsidR="008E1D8F" w:rsidRDefault="00AA1708">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highlight w:val="white"/>
        </w:rPr>
        <w:t>розділом V «Прикінцеві та перехідні положення» визначається, що обов’язкова фортифікація фолієвою кислотою (вітаміном В</w:t>
      </w:r>
      <w:r>
        <w:rPr>
          <w:rFonts w:ascii="Times New Roman" w:hAnsi="Times New Roman"/>
          <w:color w:val="000000"/>
          <w:sz w:val="28"/>
          <w:szCs w:val="28"/>
          <w:highlight w:val="white"/>
          <w:vertAlign w:val="subscript"/>
        </w:rPr>
        <w:t>9</w:t>
      </w:r>
      <w:r>
        <w:rPr>
          <w:rFonts w:ascii="Times New Roman" w:hAnsi="Times New Roman"/>
          <w:color w:val="000000"/>
          <w:sz w:val="28"/>
          <w:szCs w:val="28"/>
          <w:highlight w:val="white"/>
        </w:rPr>
        <w:t xml:space="preserve">) </w:t>
      </w:r>
      <w:r>
        <w:rPr>
          <w:rFonts w:ascii="Times New Roman" w:hAnsi="Times New Roman"/>
          <w:color w:val="000000"/>
          <w:sz w:val="28"/>
          <w:szCs w:val="28"/>
        </w:rPr>
        <w:t xml:space="preserve">пшеничного борошна вищого і першого сортів, що виробляється суб’єктами господарювання </w:t>
      </w:r>
      <w:r>
        <w:rPr>
          <w:rFonts w:ascii="Times New Roman" w:hAnsi="Times New Roman"/>
          <w:color w:val="000000"/>
          <w:sz w:val="28"/>
          <w:szCs w:val="28"/>
          <w:highlight w:val="white"/>
        </w:rPr>
        <w:t>вводиться поетапно:</w:t>
      </w:r>
    </w:p>
    <w:p w14:paraId="00000025" w14:textId="4A0C841F" w:rsidR="008E1D8F" w:rsidRDefault="00AA1708">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highlight w:val="white"/>
        </w:rPr>
      </w:pPr>
      <w:r>
        <w:rPr>
          <w:rFonts w:ascii="Times New Roman" w:hAnsi="Times New Roman"/>
          <w:color w:val="000000"/>
          <w:sz w:val="28"/>
          <w:szCs w:val="28"/>
          <w:highlight w:val="white"/>
        </w:rPr>
        <w:t>1) з потужністю понад 150 тон зерна на добу з 1 січня 202</w:t>
      </w:r>
      <w:r w:rsidR="0096177F">
        <w:rPr>
          <w:rFonts w:ascii="Times New Roman" w:hAnsi="Times New Roman"/>
          <w:color w:val="000000"/>
          <w:sz w:val="28"/>
          <w:szCs w:val="28"/>
          <w:highlight w:val="white"/>
        </w:rPr>
        <w:t>2</w:t>
      </w:r>
      <w:r>
        <w:rPr>
          <w:rFonts w:ascii="Times New Roman" w:hAnsi="Times New Roman"/>
          <w:color w:val="000000"/>
          <w:sz w:val="28"/>
          <w:szCs w:val="28"/>
          <w:highlight w:val="white"/>
        </w:rPr>
        <w:t xml:space="preserve"> року;</w:t>
      </w:r>
    </w:p>
    <w:p w14:paraId="00000026" w14:textId="66C9DB66" w:rsidR="008E1D8F" w:rsidRDefault="00AA1708">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highlight w:val="white"/>
        </w:rPr>
      </w:pPr>
      <w:r>
        <w:rPr>
          <w:rFonts w:ascii="Times New Roman" w:hAnsi="Times New Roman"/>
          <w:color w:val="000000"/>
          <w:sz w:val="28"/>
          <w:szCs w:val="28"/>
          <w:highlight w:val="white"/>
        </w:rPr>
        <w:t>2) потужністю від 50 до 150 тон зерна на добу з 1 липня 202</w:t>
      </w:r>
      <w:r w:rsidR="0096177F">
        <w:rPr>
          <w:rFonts w:ascii="Times New Roman" w:hAnsi="Times New Roman"/>
          <w:color w:val="000000"/>
          <w:sz w:val="28"/>
          <w:szCs w:val="28"/>
          <w:highlight w:val="white"/>
        </w:rPr>
        <w:t>2</w:t>
      </w:r>
      <w:r>
        <w:rPr>
          <w:rFonts w:ascii="Times New Roman" w:hAnsi="Times New Roman"/>
          <w:color w:val="000000"/>
          <w:sz w:val="28"/>
          <w:szCs w:val="28"/>
          <w:highlight w:val="white"/>
        </w:rPr>
        <w:t xml:space="preserve"> року;</w:t>
      </w:r>
    </w:p>
    <w:p w14:paraId="00000027" w14:textId="45D55F5E" w:rsidR="008E1D8F" w:rsidRDefault="00AA1708">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highlight w:val="white"/>
        </w:rPr>
      </w:pPr>
      <w:r>
        <w:rPr>
          <w:rFonts w:ascii="Times New Roman" w:hAnsi="Times New Roman"/>
          <w:color w:val="000000"/>
          <w:sz w:val="28"/>
          <w:szCs w:val="28"/>
          <w:highlight w:val="white"/>
        </w:rPr>
        <w:t>3) потужністю менше 50 тон зерна на добу з 1 січня 202</w:t>
      </w:r>
      <w:r w:rsidR="0096177F">
        <w:rPr>
          <w:rFonts w:ascii="Times New Roman" w:hAnsi="Times New Roman"/>
          <w:color w:val="000000"/>
          <w:sz w:val="28"/>
          <w:szCs w:val="28"/>
          <w:highlight w:val="white"/>
        </w:rPr>
        <w:t>3</w:t>
      </w:r>
      <w:r>
        <w:rPr>
          <w:rFonts w:ascii="Times New Roman" w:hAnsi="Times New Roman"/>
          <w:color w:val="000000"/>
          <w:sz w:val="28"/>
          <w:szCs w:val="28"/>
          <w:highlight w:val="white"/>
        </w:rPr>
        <w:t xml:space="preserve"> року.</w:t>
      </w:r>
    </w:p>
    <w:p w14:paraId="00000028" w14:textId="77777777" w:rsidR="008E1D8F" w:rsidRDefault="008E1D8F">
      <w:pPr>
        <w:pBdr>
          <w:top w:val="nil"/>
          <w:left w:val="nil"/>
          <w:bottom w:val="nil"/>
          <w:right w:val="nil"/>
          <w:between w:val="nil"/>
        </w:pBdr>
        <w:shd w:val="clear" w:color="auto" w:fill="FFFFFF"/>
        <w:spacing w:after="0" w:line="240" w:lineRule="auto"/>
        <w:ind w:firstLine="567"/>
        <w:jc w:val="both"/>
        <w:rPr>
          <w:rFonts w:ascii="Times New Roman" w:hAnsi="Times New Roman"/>
          <w:color w:val="000000"/>
          <w:sz w:val="28"/>
          <w:szCs w:val="28"/>
        </w:rPr>
      </w:pPr>
    </w:p>
    <w:p w14:paraId="00000029" w14:textId="77777777" w:rsidR="008E1D8F" w:rsidRDefault="00AA1708">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4. Стан нормативно-правової бази у даній сфері правового регулювання</w:t>
      </w:r>
    </w:p>
    <w:p w14:paraId="0000002A"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2B" w14:textId="77777777" w:rsidR="008E1D8F" w:rsidRDefault="00AA17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сьогодні відносини, що належать до предмету правового регулювання проекту Закону частково врегульовані нормами, що містяться у Законі України «Основи законодавства України про охорону здоров’я», </w:t>
      </w:r>
      <w:r>
        <w:rPr>
          <w:rFonts w:ascii="Times New Roman" w:hAnsi="Times New Roman"/>
          <w:color w:val="000000"/>
          <w:sz w:val="28"/>
          <w:szCs w:val="28"/>
        </w:rPr>
        <w:t xml:space="preserve">Законі України </w:t>
      </w:r>
      <w:r>
        <w:rPr>
          <w:rFonts w:ascii="Times New Roman" w:hAnsi="Times New Roman"/>
          <w:sz w:val="28"/>
          <w:szCs w:val="28"/>
        </w:rPr>
        <w:t xml:space="preserve">«Про основні принципи та вимоги до безпечності та якості харчових </w:t>
      </w:r>
      <w:r>
        <w:rPr>
          <w:rFonts w:ascii="Times New Roman" w:hAnsi="Times New Roman"/>
          <w:sz w:val="28"/>
          <w:szCs w:val="28"/>
        </w:rPr>
        <w:lastRenderedPageBreak/>
        <w:t>продуктів</w:t>
      </w:r>
      <w:r>
        <w:rPr>
          <w:rFonts w:ascii="Times New Roman" w:hAnsi="Times New Roman"/>
          <w:color w:val="000000"/>
          <w:sz w:val="28"/>
          <w:szCs w:val="28"/>
          <w:highlight w:val="white"/>
        </w:rPr>
        <w:t xml:space="preserve">», </w:t>
      </w:r>
      <w:r>
        <w:rPr>
          <w:rFonts w:ascii="Times New Roman" w:hAnsi="Times New Roman"/>
          <w:sz w:val="28"/>
          <w:szCs w:val="28"/>
        </w:rPr>
        <w:t>Законі України «Про захист прав споживачів»</w:t>
      </w:r>
      <w:r>
        <w:rPr>
          <w:rFonts w:ascii="Times New Roman" w:hAnsi="Times New Roman"/>
          <w:color w:val="000000"/>
          <w:sz w:val="28"/>
          <w:szCs w:val="28"/>
          <w:highlight w:val="white"/>
        </w:rPr>
        <w:t xml:space="preserve"> </w:t>
      </w:r>
      <w:r>
        <w:rPr>
          <w:rFonts w:ascii="Times New Roman" w:hAnsi="Times New Roman"/>
          <w:sz w:val="28"/>
          <w:szCs w:val="28"/>
        </w:rPr>
        <w:t>та інших нормативно - правових актах України.</w:t>
      </w:r>
    </w:p>
    <w:p w14:paraId="0000002C" w14:textId="77777777" w:rsidR="008E1D8F" w:rsidRDefault="008E1D8F">
      <w:pPr>
        <w:shd w:val="clear" w:color="auto" w:fill="FFFFFF"/>
        <w:spacing w:after="0" w:line="240" w:lineRule="auto"/>
        <w:ind w:firstLine="709"/>
        <w:jc w:val="both"/>
        <w:rPr>
          <w:rFonts w:ascii="Times New Roman" w:hAnsi="Times New Roman"/>
          <w:b/>
          <w:sz w:val="28"/>
          <w:szCs w:val="28"/>
        </w:rPr>
      </w:pPr>
    </w:p>
    <w:p w14:paraId="0000002D" w14:textId="08A7D1FD" w:rsidR="008E1D8F" w:rsidRDefault="00AA1708">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5. Фінансов</w:t>
      </w:r>
      <w:r w:rsidR="002B4E40">
        <w:rPr>
          <w:rFonts w:ascii="Times New Roman" w:hAnsi="Times New Roman"/>
          <w:b/>
          <w:sz w:val="28"/>
          <w:szCs w:val="28"/>
        </w:rPr>
        <w:t>о-економічне обґрунтування проє</w:t>
      </w:r>
      <w:r>
        <w:rPr>
          <w:rFonts w:ascii="Times New Roman" w:hAnsi="Times New Roman"/>
          <w:b/>
          <w:sz w:val="28"/>
          <w:szCs w:val="28"/>
        </w:rPr>
        <w:t>кту Закону</w:t>
      </w:r>
    </w:p>
    <w:p w14:paraId="0000002E"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2F" w14:textId="77777777" w:rsidR="008E1D8F" w:rsidRDefault="00AA1708">
      <w:pPr>
        <w:shd w:val="clear" w:color="auto" w:fill="FFFFFF"/>
        <w:spacing w:after="0" w:line="240" w:lineRule="auto"/>
        <w:ind w:firstLine="709"/>
        <w:jc w:val="both"/>
        <w:rPr>
          <w:rFonts w:ascii="Times New Roman" w:hAnsi="Times New Roman"/>
          <w:color w:val="00B0F0"/>
          <w:sz w:val="28"/>
          <w:szCs w:val="28"/>
        </w:rPr>
      </w:pPr>
      <w:r>
        <w:rPr>
          <w:rFonts w:ascii="Times New Roman" w:hAnsi="Times New Roman"/>
          <w:sz w:val="28"/>
          <w:szCs w:val="28"/>
        </w:rPr>
        <w:t>Реалізація проекту Закону не потребує додаткових витрат з Державного бюджету України або місцевих бюджетів.</w:t>
      </w:r>
    </w:p>
    <w:p w14:paraId="00000030"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31" w14:textId="2A5862E8" w:rsidR="008E1D8F" w:rsidRDefault="00AA1708">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6. Прогноз соціально-економічних т</w:t>
      </w:r>
      <w:r w:rsidR="002B4E40">
        <w:rPr>
          <w:rFonts w:ascii="Times New Roman" w:hAnsi="Times New Roman"/>
          <w:b/>
          <w:sz w:val="28"/>
          <w:szCs w:val="28"/>
        </w:rPr>
        <w:t>а інших наслідків прийняття проє</w:t>
      </w:r>
      <w:r>
        <w:rPr>
          <w:rFonts w:ascii="Times New Roman" w:hAnsi="Times New Roman"/>
          <w:b/>
          <w:sz w:val="28"/>
          <w:szCs w:val="28"/>
        </w:rPr>
        <w:t>ктів Закону.</w:t>
      </w:r>
    </w:p>
    <w:p w14:paraId="00000032"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33" w14:textId="77777777" w:rsidR="008E1D8F" w:rsidRDefault="00AA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567"/>
        <w:jc w:val="both"/>
        <w:rPr>
          <w:rFonts w:ascii="Times New Roman" w:hAnsi="Times New Roman"/>
          <w:sz w:val="28"/>
          <w:szCs w:val="28"/>
        </w:rPr>
      </w:pPr>
      <w:r>
        <w:rPr>
          <w:rFonts w:ascii="Times New Roman" w:hAnsi="Times New Roman"/>
          <w:sz w:val="28"/>
          <w:szCs w:val="28"/>
        </w:rPr>
        <w:t>Прийняття проекту Закону дозволить забезпечити профілактику захворювань і станів, пов'язаних з нестачею в організмі людини вітамінів, мінеральних речовин та мікроелементів, зміцнення та збереження здоров'я населення, поліпшення демографічної ситуації в Україні</w:t>
      </w:r>
      <w:r>
        <w:rPr>
          <w:rFonts w:ascii="Times New Roman" w:hAnsi="Times New Roman"/>
          <w:color w:val="000000"/>
          <w:sz w:val="28"/>
          <w:szCs w:val="28"/>
        </w:rPr>
        <w:t xml:space="preserve"> шляхом фортифікації борошна. </w:t>
      </w:r>
      <w:r>
        <w:rPr>
          <w:rFonts w:ascii="Times New Roman" w:hAnsi="Times New Roman"/>
          <w:sz w:val="28"/>
          <w:szCs w:val="28"/>
        </w:rPr>
        <w:t>Завдяки фортифікації борошна фолієвою кислотою можна зменшити частоту спинномозкової кили, а значить заощадити великі кошти, необхідні для пожиттєвої опіки паралізованих внаслідок цієї вродженої вади дітей. Ці кошти можна буде вкладати у поширення профілактики вроджених вад розвитку.</w:t>
      </w:r>
    </w:p>
    <w:p w14:paraId="00000034" w14:textId="77777777" w:rsidR="008E1D8F" w:rsidRDefault="008E1D8F">
      <w:pPr>
        <w:shd w:val="clear" w:color="auto" w:fill="FFFFFF"/>
        <w:spacing w:after="0" w:line="240" w:lineRule="auto"/>
        <w:ind w:firstLine="709"/>
        <w:jc w:val="both"/>
        <w:rPr>
          <w:rFonts w:ascii="Times New Roman" w:hAnsi="Times New Roman"/>
          <w:sz w:val="28"/>
          <w:szCs w:val="28"/>
        </w:rPr>
      </w:pPr>
    </w:p>
    <w:p w14:paraId="00000035" w14:textId="77777777" w:rsidR="008E1D8F" w:rsidRDefault="008E1D8F">
      <w:pPr>
        <w:spacing w:after="0" w:line="240" w:lineRule="auto"/>
        <w:ind w:firstLine="709"/>
        <w:jc w:val="both"/>
        <w:rPr>
          <w:rFonts w:ascii="Times New Roman" w:hAnsi="Times New Roman"/>
          <w:b/>
          <w:color w:val="232323"/>
          <w:sz w:val="28"/>
          <w:szCs w:val="28"/>
        </w:rPr>
      </w:pPr>
    </w:p>
    <w:p w14:paraId="3BF41955" w14:textId="77777777" w:rsidR="002B4E40" w:rsidRDefault="00AA1708">
      <w:pPr>
        <w:pBdr>
          <w:top w:val="nil"/>
          <w:left w:val="nil"/>
          <w:bottom w:val="nil"/>
          <w:right w:val="nil"/>
          <w:between w:val="nil"/>
        </w:pBdr>
        <w:spacing w:after="0" w:line="240" w:lineRule="auto"/>
        <w:rPr>
          <w:rFonts w:ascii="Times New Roman" w:hAnsi="Times New Roman"/>
          <w:b/>
          <w:color w:val="000000"/>
          <w:sz w:val="28"/>
          <w:szCs w:val="28"/>
        </w:rPr>
      </w:pPr>
      <w:r>
        <w:rPr>
          <w:rFonts w:ascii="Times New Roman" w:hAnsi="Times New Roman"/>
          <w:b/>
          <w:color w:val="000000"/>
          <w:sz w:val="28"/>
          <w:szCs w:val="28"/>
        </w:rPr>
        <w:t>Народні депутати</w:t>
      </w:r>
      <w:r>
        <w:rPr>
          <w:rFonts w:eastAsia="Calibri" w:cs="Calibri"/>
          <w:color w:val="000000"/>
        </w:rPr>
        <w:t xml:space="preserve"> </w:t>
      </w:r>
      <w:r>
        <w:rPr>
          <w:rFonts w:ascii="Times New Roman" w:hAnsi="Times New Roman"/>
          <w:b/>
          <w:color w:val="000000"/>
          <w:sz w:val="28"/>
          <w:szCs w:val="28"/>
        </w:rPr>
        <w:t>України</w:t>
      </w:r>
    </w:p>
    <w:p w14:paraId="49CB95A4" w14:textId="77777777" w:rsidR="002B4E40" w:rsidRDefault="002B4E40">
      <w:pPr>
        <w:pBdr>
          <w:top w:val="nil"/>
          <w:left w:val="nil"/>
          <w:bottom w:val="nil"/>
          <w:right w:val="nil"/>
          <w:between w:val="nil"/>
        </w:pBdr>
        <w:spacing w:after="0" w:line="240" w:lineRule="auto"/>
        <w:rPr>
          <w:rFonts w:ascii="Times New Roman" w:hAnsi="Times New Roman"/>
          <w:b/>
          <w:color w:val="000000"/>
          <w:sz w:val="28"/>
          <w:szCs w:val="28"/>
        </w:rPr>
      </w:pPr>
      <w:r>
        <w:rPr>
          <w:rFonts w:ascii="Times New Roman" w:hAnsi="Times New Roman"/>
          <w:b/>
          <w:color w:val="000000"/>
          <w:sz w:val="28"/>
          <w:szCs w:val="28"/>
        </w:rPr>
        <w:t>І.М. Констанкевич</w:t>
      </w:r>
    </w:p>
    <w:p w14:paraId="2977E032" w14:textId="77777777" w:rsidR="002B4E40" w:rsidRDefault="002B4E40">
      <w:pPr>
        <w:pBdr>
          <w:top w:val="nil"/>
          <w:left w:val="nil"/>
          <w:bottom w:val="nil"/>
          <w:right w:val="nil"/>
          <w:between w:val="nil"/>
        </w:pBdr>
        <w:spacing w:after="0" w:line="240" w:lineRule="auto"/>
        <w:rPr>
          <w:rFonts w:ascii="Times New Roman" w:hAnsi="Times New Roman"/>
          <w:b/>
          <w:color w:val="000000"/>
          <w:sz w:val="28"/>
          <w:szCs w:val="28"/>
        </w:rPr>
      </w:pPr>
      <w:r>
        <w:rPr>
          <w:rFonts w:ascii="Times New Roman" w:hAnsi="Times New Roman"/>
          <w:b/>
          <w:color w:val="000000"/>
          <w:sz w:val="28"/>
          <w:szCs w:val="28"/>
        </w:rPr>
        <w:t>Т.І. Батенко</w:t>
      </w:r>
    </w:p>
    <w:p w14:paraId="00000036" w14:textId="602CC4A1" w:rsidR="008E1D8F" w:rsidRDefault="002B4E40">
      <w:pPr>
        <w:pBdr>
          <w:top w:val="nil"/>
          <w:left w:val="nil"/>
          <w:bottom w:val="nil"/>
          <w:right w:val="nil"/>
          <w:between w:val="nil"/>
        </w:pBdr>
        <w:spacing w:after="0" w:line="240" w:lineRule="auto"/>
        <w:rPr>
          <w:rFonts w:ascii="Times New Roman" w:hAnsi="Times New Roman"/>
          <w:b/>
          <w:color w:val="000000"/>
          <w:sz w:val="28"/>
          <w:szCs w:val="28"/>
        </w:rPr>
      </w:pPr>
      <w:r>
        <w:rPr>
          <w:rFonts w:ascii="Times New Roman" w:hAnsi="Times New Roman"/>
          <w:b/>
          <w:color w:val="000000"/>
          <w:sz w:val="28"/>
          <w:szCs w:val="28"/>
        </w:rPr>
        <w:t>та інші</w:t>
      </w:r>
      <w:r w:rsidR="00AA1708">
        <w:rPr>
          <w:rFonts w:ascii="Times New Roman" w:hAnsi="Times New Roman"/>
          <w:b/>
          <w:color w:val="000000"/>
          <w:sz w:val="28"/>
          <w:szCs w:val="28"/>
        </w:rPr>
        <w:t xml:space="preserve">                          </w:t>
      </w:r>
    </w:p>
    <w:p w14:paraId="00000037" w14:textId="77777777" w:rsidR="008E1D8F" w:rsidRDefault="00AA1708">
      <w:pPr>
        <w:tabs>
          <w:tab w:val="left" w:pos="6840"/>
        </w:tabs>
        <w:spacing w:after="0" w:line="360" w:lineRule="auto"/>
        <w:jc w:val="both"/>
        <w:rPr>
          <w:rFonts w:ascii="Times New Roman" w:hAnsi="Times New Roman"/>
          <w:b/>
          <w:sz w:val="28"/>
          <w:szCs w:val="28"/>
        </w:rPr>
      </w:pPr>
      <w:bookmarkStart w:id="1" w:name="_heading=h.gjdgxs" w:colFirst="0" w:colLast="0"/>
      <w:bookmarkEnd w:id="1"/>
      <w:r>
        <w:rPr>
          <w:rFonts w:ascii="Times New Roman" w:hAnsi="Times New Roman"/>
          <w:b/>
          <w:sz w:val="28"/>
          <w:szCs w:val="28"/>
        </w:rPr>
        <w:t xml:space="preserve">                                                                                    </w:t>
      </w:r>
    </w:p>
    <w:sectPr w:rsidR="008E1D8F">
      <w:headerReference w:type="even" r:id="rId10"/>
      <w:headerReference w:type="default" r:id="rId11"/>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0A27" w14:textId="77777777" w:rsidR="00F80B7E" w:rsidRDefault="00F80B7E">
      <w:pPr>
        <w:spacing w:after="0" w:line="240" w:lineRule="auto"/>
      </w:pPr>
      <w:r>
        <w:separator/>
      </w:r>
    </w:p>
  </w:endnote>
  <w:endnote w:type="continuationSeparator" w:id="0">
    <w:p w14:paraId="3C3D1DB0" w14:textId="77777777" w:rsidR="00F80B7E" w:rsidRDefault="00F8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TT">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6A15" w14:textId="77777777" w:rsidR="00F80B7E" w:rsidRDefault="00F80B7E">
      <w:pPr>
        <w:spacing w:after="0" w:line="240" w:lineRule="auto"/>
      </w:pPr>
      <w:r>
        <w:separator/>
      </w:r>
    </w:p>
  </w:footnote>
  <w:footnote w:type="continuationSeparator" w:id="0">
    <w:p w14:paraId="4F08B8B1" w14:textId="77777777" w:rsidR="00F80B7E" w:rsidRDefault="00F80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8E1D8F" w:rsidRDefault="00AA1708">
    <w:pPr>
      <w:pBdr>
        <w:top w:val="nil"/>
        <w:left w:val="nil"/>
        <w:bottom w:val="nil"/>
        <w:right w:val="nil"/>
        <w:between w:val="nil"/>
      </w:pBdr>
      <w:tabs>
        <w:tab w:val="center" w:pos="4819"/>
        <w:tab w:val="right" w:pos="9639"/>
      </w:tabs>
      <w:jc w:val="center"/>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0000003B" w14:textId="77777777" w:rsidR="008E1D8F" w:rsidRDefault="008E1D8F">
    <w:pPr>
      <w:pBdr>
        <w:top w:val="nil"/>
        <w:left w:val="nil"/>
        <w:bottom w:val="nil"/>
        <w:right w:val="nil"/>
        <w:between w:val="nil"/>
      </w:pBdr>
      <w:tabs>
        <w:tab w:val="center" w:pos="4819"/>
        <w:tab w:val="right" w:pos="9639"/>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04DC9023" w:rsidR="008E1D8F" w:rsidRDefault="00AA1708">
    <w:pPr>
      <w:pBdr>
        <w:top w:val="nil"/>
        <w:left w:val="nil"/>
        <w:bottom w:val="nil"/>
        <w:right w:val="nil"/>
        <w:between w:val="nil"/>
      </w:pBdr>
      <w:tabs>
        <w:tab w:val="center" w:pos="4819"/>
        <w:tab w:val="right" w:pos="9639"/>
      </w:tabs>
      <w:jc w:val="center"/>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B16639">
      <w:rPr>
        <w:rFonts w:eastAsia="Calibri" w:cs="Calibri"/>
        <w:noProof/>
        <w:color w:val="000000"/>
      </w:rPr>
      <w:t>5</w:t>
    </w:r>
    <w:r>
      <w:rPr>
        <w:rFonts w:eastAsia="Calibri" w:cs="Calibri"/>
        <w:color w:val="000000"/>
      </w:rPr>
      <w:fldChar w:fldCharType="end"/>
    </w:r>
  </w:p>
  <w:p w14:paraId="00000039" w14:textId="77777777" w:rsidR="008E1D8F" w:rsidRDefault="008E1D8F">
    <w:pPr>
      <w:pBdr>
        <w:top w:val="nil"/>
        <w:left w:val="nil"/>
        <w:bottom w:val="nil"/>
        <w:right w:val="nil"/>
        <w:between w:val="nil"/>
      </w:pBdr>
      <w:tabs>
        <w:tab w:val="center" w:pos="4819"/>
        <w:tab w:val="right" w:pos="9639"/>
      </w:tabs>
      <w:rPr>
        <w:rFonts w:eastAsia="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F"/>
    <w:rsid w:val="002B4E40"/>
    <w:rsid w:val="006E6E33"/>
    <w:rsid w:val="007D3152"/>
    <w:rsid w:val="008E1D8F"/>
    <w:rsid w:val="0096177F"/>
    <w:rsid w:val="00AA1708"/>
    <w:rsid w:val="00B16639"/>
    <w:rsid w:val="00B77D94"/>
    <w:rsid w:val="00F80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BB57"/>
  <w15:docId w15:val="{D0F8899B-7C5E-B247-9EFA-4A8C08F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A4"/>
    <w:rPr>
      <w:rFonts w:eastAsia="Times New Roman"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rsid w:val="00EC6BA4"/>
    <w:pPr>
      <w:spacing w:before="100" w:beforeAutospacing="1" w:after="100" w:afterAutospacing="1" w:line="240" w:lineRule="auto"/>
    </w:pPr>
    <w:rPr>
      <w:rFonts w:ascii="Times New Roman" w:hAnsi="Times New Roman"/>
      <w:sz w:val="24"/>
      <w:szCs w:val="24"/>
      <w:lang w:eastAsia="uk-UA"/>
    </w:rPr>
  </w:style>
  <w:style w:type="paragraph" w:customStyle="1" w:styleId="rvps2">
    <w:name w:val="rvps2"/>
    <w:basedOn w:val="a"/>
    <w:rsid w:val="00EC6BA4"/>
    <w:pPr>
      <w:spacing w:before="100" w:beforeAutospacing="1" w:after="100" w:afterAutospacing="1" w:line="240" w:lineRule="auto"/>
    </w:pPr>
    <w:rPr>
      <w:rFonts w:ascii="Times New Roman" w:hAnsi="Times New Roman"/>
      <w:sz w:val="24"/>
      <w:szCs w:val="24"/>
      <w:lang w:val="ru-RU"/>
    </w:rPr>
  </w:style>
  <w:style w:type="paragraph" w:customStyle="1" w:styleId="Txt">
    <w:name w:val="Txt"/>
    <w:uiPriority w:val="99"/>
    <w:rsid w:val="00EC6BA4"/>
    <w:pPr>
      <w:autoSpaceDE w:val="0"/>
      <w:autoSpaceDN w:val="0"/>
      <w:adjustRightInd w:val="0"/>
      <w:spacing w:after="0" w:line="204" w:lineRule="atLeast"/>
      <w:ind w:firstLine="227"/>
      <w:jc w:val="both"/>
    </w:pPr>
    <w:rPr>
      <w:rFonts w:ascii="PragmaticaCTT" w:eastAsia="PMingLiU" w:hAnsi="PragmaticaCTT" w:cs="PragmaticaCTT"/>
      <w:color w:val="000000"/>
      <w:sz w:val="17"/>
      <w:szCs w:val="17"/>
      <w:lang w:val="ru-RU"/>
    </w:rPr>
  </w:style>
  <w:style w:type="paragraph" w:styleId="a5">
    <w:name w:val="header"/>
    <w:basedOn w:val="a"/>
    <w:link w:val="a6"/>
    <w:uiPriority w:val="99"/>
    <w:rsid w:val="00EC6BA4"/>
    <w:pPr>
      <w:tabs>
        <w:tab w:val="center" w:pos="4819"/>
        <w:tab w:val="right" w:pos="9639"/>
      </w:tabs>
    </w:pPr>
  </w:style>
  <w:style w:type="character" w:customStyle="1" w:styleId="a6">
    <w:name w:val="Верхній колонтитул Знак"/>
    <w:basedOn w:val="a0"/>
    <w:link w:val="a5"/>
    <w:uiPriority w:val="99"/>
    <w:rsid w:val="00EC6BA4"/>
    <w:rPr>
      <w:rFonts w:ascii="Calibri" w:eastAsia="Times New Roman" w:hAnsi="Calibri" w:cs="Times New Roman"/>
    </w:rPr>
  </w:style>
  <w:style w:type="character" w:styleId="a7">
    <w:name w:val="page number"/>
    <w:basedOn w:val="a0"/>
    <w:uiPriority w:val="99"/>
    <w:rsid w:val="00EC6BA4"/>
    <w:rPr>
      <w:rFonts w:cs="Times New Roman"/>
    </w:rPr>
  </w:style>
  <w:style w:type="paragraph" w:styleId="a8">
    <w:name w:val="Body Text"/>
    <w:basedOn w:val="a"/>
    <w:link w:val="a9"/>
    <w:uiPriority w:val="99"/>
    <w:rsid w:val="00EC6BA4"/>
    <w:pPr>
      <w:spacing w:after="0" w:line="260" w:lineRule="auto"/>
    </w:pPr>
    <w:rPr>
      <w:rFonts w:ascii="Times New Roman" w:hAnsi="Times New Roman"/>
      <w:sz w:val="24"/>
      <w:szCs w:val="20"/>
      <w:lang w:val="ru-RU"/>
    </w:rPr>
  </w:style>
  <w:style w:type="character" w:customStyle="1" w:styleId="a9">
    <w:name w:val="Основний текст Знак"/>
    <w:basedOn w:val="a0"/>
    <w:link w:val="a8"/>
    <w:uiPriority w:val="99"/>
    <w:rsid w:val="00EC6BA4"/>
    <w:rPr>
      <w:rFonts w:ascii="Times New Roman" w:eastAsia="Times New Roman" w:hAnsi="Times New Roman" w:cs="Times New Roman"/>
      <w:sz w:val="24"/>
      <w:szCs w:val="20"/>
      <w:lang w:val="ru-RU" w:eastAsia="ru-RU"/>
    </w:rPr>
  </w:style>
  <w:style w:type="character" w:customStyle="1" w:styleId="rvts0">
    <w:name w:val="rvts0"/>
    <w:basedOn w:val="a0"/>
    <w:rsid w:val="00EC6BA4"/>
    <w:rPr>
      <w:rFonts w:cs="Times New Roman"/>
    </w:rPr>
  </w:style>
  <w:style w:type="character" w:styleId="aa">
    <w:name w:val="Hyperlink"/>
    <w:basedOn w:val="a0"/>
    <w:uiPriority w:val="99"/>
    <w:semiHidden/>
    <w:unhideWhenUsed/>
    <w:rsid w:val="00EC6BA4"/>
    <w:rPr>
      <w:rFonts w:cs="Times New Roman"/>
      <w:color w:val="0000FF"/>
      <w:u w:val="single"/>
    </w:rPr>
  </w:style>
  <w:style w:type="character" w:customStyle="1" w:styleId="apple-converted-space">
    <w:name w:val="apple-converted-space"/>
    <w:rsid w:val="00EC6BA4"/>
  </w:style>
  <w:style w:type="paragraph" w:styleId="ab">
    <w:name w:val="footer"/>
    <w:basedOn w:val="a"/>
    <w:link w:val="ac"/>
    <w:uiPriority w:val="99"/>
    <w:unhideWhenUsed/>
    <w:rsid w:val="0089734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97345"/>
    <w:rPr>
      <w:rFonts w:ascii="Calibri" w:eastAsia="Times New Roman" w:hAnsi="Calibri" w:cs="Times New Roman"/>
    </w:rPr>
  </w:style>
  <w:style w:type="character" w:styleId="ad">
    <w:name w:val="Emphasis"/>
    <w:basedOn w:val="a0"/>
    <w:uiPriority w:val="20"/>
    <w:qFormat/>
    <w:rsid w:val="00DD38A7"/>
    <w:rPr>
      <w:i/>
      <w:iCs/>
    </w:rPr>
  </w:style>
  <w:style w:type="paragraph" w:styleId="ae">
    <w:name w:val="List Paragraph"/>
    <w:basedOn w:val="a"/>
    <w:uiPriority w:val="34"/>
    <w:qFormat/>
    <w:rsid w:val="009B6689"/>
    <w:pPr>
      <w:spacing w:after="160" w:line="259" w:lineRule="auto"/>
      <w:ind w:left="720"/>
      <w:contextualSpacing/>
    </w:pPr>
    <w:rPr>
      <w:rFonts w:asciiTheme="minorHAnsi" w:eastAsiaTheme="minorHAnsi" w:hAnsiTheme="minorHAnsi" w:cstheme="minorBidi"/>
      <w:lang w:val="ru-RU"/>
    </w:rPr>
  </w:style>
  <w:style w:type="paragraph" w:styleId="af">
    <w:name w:val="Balloon Text"/>
    <w:basedOn w:val="a"/>
    <w:link w:val="af0"/>
    <w:uiPriority w:val="99"/>
    <w:semiHidden/>
    <w:unhideWhenUsed/>
    <w:rsid w:val="009776E1"/>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9776E1"/>
    <w:rPr>
      <w:rFonts w:ascii="Segoe UI" w:eastAsia="Times New Roman" w:hAnsi="Segoe UI" w:cs="Segoe UI"/>
      <w:sz w:val="18"/>
      <w:szCs w:val="18"/>
    </w:rPr>
  </w:style>
  <w:style w:type="paragraph" w:styleId="af1">
    <w:name w:val="No Spacing"/>
    <w:uiPriority w:val="1"/>
    <w:qFormat/>
    <w:rsid w:val="007841BA"/>
    <w:pPr>
      <w:spacing w:after="0" w:line="240" w:lineRule="auto"/>
    </w:pPr>
    <w:rPr>
      <w:rFonts w:eastAsia="Times New Roman" w:cs="Times New Roman"/>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1OhDUSA1Rlp9PwUbuGBoONzg7ig==">AMUW2mWmp6qXRUr/22h2YGj8kzW7gkIXOSJ3FyKN5GvMMzjXzB11tEXxGAxYKN4ZAmgEk7CYChglKhDC4C7dBosvxmRpMja9litGwrGbYBrHyXeBpf87drsWNQlCwAH1bfg0L/lRLeto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A4050-433E-4FE4-9448-AE4C2461D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D3CE4-E93A-49CB-8107-86CE414CBEB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241DEC-3A90-4AF6-A159-4A0357DD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7496</Words>
  <Characters>4274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2021-06-15T07:20:00Z</dcterms:created>
  <dcterms:modified xsi:type="dcterms:W3CDTF">2021-06-15T07:20:00Z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