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9B33" w14:textId="77777777" w:rsidR="00351870" w:rsidRPr="00303FBE" w:rsidRDefault="00351870" w:rsidP="00351870">
      <w:pPr>
        <w:widowControl w:val="0"/>
        <w:autoSpaceDE w:val="0"/>
        <w:autoSpaceDN w:val="0"/>
        <w:adjustRightInd w:val="0"/>
        <w:spacing w:line="276" w:lineRule="auto"/>
        <w:ind w:right="-6"/>
        <w:jc w:val="center"/>
        <w:rPr>
          <w:rFonts w:ascii="Times" w:hAnsi="Times" w:cs="Times"/>
          <w:sz w:val="28"/>
          <w:szCs w:val="28"/>
          <w:lang w:val="uk-UA"/>
        </w:rPr>
      </w:pPr>
      <w:bookmarkStart w:id="0" w:name="_GoBack"/>
      <w:bookmarkEnd w:id="0"/>
      <w:r w:rsidRPr="00303FBE">
        <w:rPr>
          <w:rFonts w:ascii="Times" w:hAnsi="Times" w:cs="Times"/>
          <w:b/>
          <w:bCs/>
          <w:sz w:val="28"/>
          <w:szCs w:val="28"/>
          <w:lang w:val="uk-UA"/>
        </w:rPr>
        <w:t>ПОЯСНЮВАЛЬНА ЗАПИСКА</w:t>
      </w:r>
    </w:p>
    <w:p w14:paraId="1F53AAAD" w14:textId="5F26156A" w:rsidR="00351870" w:rsidRPr="00303FBE" w:rsidRDefault="00351870" w:rsidP="00351870">
      <w:pPr>
        <w:widowControl w:val="0"/>
        <w:autoSpaceDE w:val="0"/>
        <w:autoSpaceDN w:val="0"/>
        <w:adjustRightInd w:val="0"/>
        <w:ind w:right="-6"/>
        <w:jc w:val="center"/>
        <w:rPr>
          <w:rFonts w:ascii="Times" w:hAnsi="Times" w:cs="Times"/>
          <w:b/>
          <w:bCs/>
          <w:sz w:val="28"/>
          <w:szCs w:val="28"/>
          <w:lang w:val="uk-UA"/>
        </w:rPr>
      </w:pPr>
      <w:r w:rsidRPr="00303FBE">
        <w:rPr>
          <w:rFonts w:ascii="Times" w:hAnsi="Times" w:cs="Times"/>
          <w:b/>
          <w:bCs/>
          <w:sz w:val="28"/>
          <w:szCs w:val="28"/>
          <w:lang w:val="uk-UA"/>
        </w:rPr>
        <w:t>до про</w:t>
      </w:r>
      <w:r w:rsidR="00303FBE" w:rsidRPr="00303FBE">
        <w:rPr>
          <w:rFonts w:ascii="Times" w:hAnsi="Times" w:cs="Times"/>
          <w:b/>
          <w:bCs/>
          <w:sz w:val="28"/>
          <w:szCs w:val="28"/>
          <w:lang w:val="uk-UA"/>
        </w:rPr>
        <w:t>е</w:t>
      </w:r>
      <w:r w:rsidRPr="00303FBE">
        <w:rPr>
          <w:rFonts w:ascii="Times" w:hAnsi="Times" w:cs="Times"/>
          <w:b/>
          <w:bCs/>
          <w:sz w:val="28"/>
          <w:szCs w:val="28"/>
          <w:lang w:val="uk-UA"/>
        </w:rPr>
        <w:t>кту Закону України</w:t>
      </w:r>
    </w:p>
    <w:p w14:paraId="67C77CB2" w14:textId="77777777" w:rsidR="00351870" w:rsidRPr="00303FBE" w:rsidRDefault="00351870" w:rsidP="00351870">
      <w:pPr>
        <w:widowControl w:val="0"/>
        <w:autoSpaceDE w:val="0"/>
        <w:autoSpaceDN w:val="0"/>
        <w:adjustRightInd w:val="0"/>
        <w:ind w:right="-6"/>
        <w:jc w:val="center"/>
        <w:rPr>
          <w:rFonts w:ascii="Times" w:hAnsi="Times" w:cs="Times"/>
          <w:b/>
          <w:bCs/>
          <w:sz w:val="28"/>
          <w:szCs w:val="28"/>
          <w:lang w:val="uk-UA"/>
        </w:rPr>
      </w:pPr>
      <w:r w:rsidRPr="00303FBE">
        <w:rPr>
          <w:rFonts w:ascii="Times" w:hAnsi="Times" w:cs="Times"/>
          <w:b/>
          <w:bCs/>
          <w:sz w:val="28"/>
          <w:szCs w:val="28"/>
          <w:lang w:val="uk-UA"/>
        </w:rPr>
        <w:t>«Про внесення змін до Розділу ІІ «Прикінцеві та перехідні положення» Закону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щодо здійснення дисциплінарних проваджень дисциплінарними органами Вищої ради правосуддя»</w:t>
      </w:r>
    </w:p>
    <w:p w14:paraId="6B07AE4D" w14:textId="77777777" w:rsidR="00351870" w:rsidRPr="00303FBE" w:rsidRDefault="00351870" w:rsidP="00351870">
      <w:pPr>
        <w:widowControl w:val="0"/>
        <w:autoSpaceDE w:val="0"/>
        <w:autoSpaceDN w:val="0"/>
        <w:adjustRightInd w:val="0"/>
        <w:ind w:right="-6"/>
        <w:jc w:val="center"/>
        <w:rPr>
          <w:rFonts w:ascii="Times" w:hAnsi="Times" w:cs="Times"/>
          <w:sz w:val="28"/>
          <w:szCs w:val="28"/>
          <w:lang w:val="uk-UA"/>
        </w:rPr>
      </w:pPr>
    </w:p>
    <w:p w14:paraId="20B6A08F"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b/>
          <w:bCs/>
          <w:sz w:val="28"/>
          <w:szCs w:val="28"/>
          <w:lang w:val="uk-UA"/>
        </w:rPr>
      </w:pPr>
      <w:r w:rsidRPr="00303FBE">
        <w:rPr>
          <w:rFonts w:ascii="Times" w:hAnsi="Times" w:cs="Times"/>
          <w:b/>
          <w:bCs/>
          <w:sz w:val="28"/>
          <w:szCs w:val="28"/>
          <w:lang w:val="uk-UA"/>
        </w:rPr>
        <w:t>1. Обґрунтування необхідності прийняття Закону</w:t>
      </w:r>
    </w:p>
    <w:p w14:paraId="193A46AC"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14 липня 2021 року Верховна Рада України прийняла Закон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(далі – Закон № 1635-ІХ), який набрав чинності 5 серпня 2021 року.</w:t>
      </w:r>
    </w:p>
    <w:p w14:paraId="6BB5FB37"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 xml:space="preserve">Положеннями Закону № 1635-ІХ </w:t>
      </w:r>
      <w:proofErr w:type="spellStart"/>
      <w:r w:rsidRPr="00303FBE">
        <w:rPr>
          <w:rFonts w:ascii="Times New Roman" w:hAnsi="Times New Roman" w:cs="Times New Roman"/>
          <w:sz w:val="28"/>
          <w:szCs w:val="28"/>
          <w:lang w:val="uk-UA"/>
        </w:rPr>
        <w:t>внесено</w:t>
      </w:r>
      <w:proofErr w:type="spellEnd"/>
      <w:r w:rsidRPr="00303FBE">
        <w:rPr>
          <w:rFonts w:ascii="Times New Roman" w:hAnsi="Times New Roman" w:cs="Times New Roman"/>
          <w:sz w:val="28"/>
          <w:szCs w:val="28"/>
          <w:lang w:val="uk-UA"/>
        </w:rPr>
        <w:t xml:space="preserve"> зміни до Закону України «Про Вищу раду правосуддя»,  зокрема законом визначено, що у секретаріаті Вищої ради правосуддя діє служба дисциплінарних інспекторів як самостійний структурний підрозділ, який утворюється для реалізації повноважень Вищої ради правосуддя щодо здійснення дисциплінарного провадження стосовно суддів та діє за принципом функціональної незалежності від Вищої ради правосуддя.</w:t>
      </w:r>
    </w:p>
    <w:p w14:paraId="3F7358CD"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Відповідно до пункту 6 Розділу ІІ «Прикінцеві та перехідні положення» Закону № 1635-ІХ конкурс на зайняття посад дисциплінарних інспекторів Вищої ради правосуддя оголошується після завершення оцінювання відповідності членів Вищої ради правосуддя (крім Голови Верховного Суду) критеріям професійної етики та доброчесності, але не пізніше одного року з дня набрання чинності цим Законом.</w:t>
      </w:r>
    </w:p>
    <w:p w14:paraId="472298FF"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При цьому Закон не містить положень в частині порядку здійснення дисциплінарного провадження щодо суддів на момент «перехідного періоду» - до фактичного початку здійснення дисциплінарними інспекторами секретаріату Вищої ради правосуддя своїх повноважень.</w:t>
      </w:r>
    </w:p>
    <w:p w14:paraId="15545764"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Правова невизначеність реалізації норм Закону № 1635-ІХ позбавила Вищу раду правосуддя можливості здійснювати процедури дисциплінарних проваджень стосовно суддів, а також розгляд скарг на рішення про притягнення до дисциплінарної відповідальності судді з дотриманням принципів верховенства права, прозорості, гарантій незалежності судової системи.</w:t>
      </w:r>
    </w:p>
    <w:p w14:paraId="5FA94841"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Також наразі гостро постало питання стосовно неможливості осіб реалізувати своє право на звернення із скаргою щодо дисциплінарного проступку судді, з повідомленням про вчинення дисциплінарного проступку суддею (дисциплінарною скаргою).</w:t>
      </w:r>
    </w:p>
    <w:p w14:paraId="7C45D6E7"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 xml:space="preserve">Крім того, даний </w:t>
      </w:r>
      <w:proofErr w:type="spellStart"/>
      <w:r w:rsidRPr="00303FBE">
        <w:rPr>
          <w:rFonts w:ascii="Times New Roman" w:hAnsi="Times New Roman" w:cs="Times New Roman"/>
          <w:sz w:val="28"/>
          <w:szCs w:val="28"/>
          <w:lang w:val="uk-UA"/>
        </w:rPr>
        <w:t>законопроєкт</w:t>
      </w:r>
      <w:proofErr w:type="spellEnd"/>
      <w:r w:rsidRPr="00303FBE">
        <w:rPr>
          <w:rFonts w:ascii="Times New Roman" w:hAnsi="Times New Roman" w:cs="Times New Roman"/>
          <w:sz w:val="28"/>
          <w:szCs w:val="28"/>
          <w:lang w:val="uk-UA"/>
        </w:rPr>
        <w:t xml:space="preserve"> має на меті не допустити зупинки роботи </w:t>
      </w:r>
      <w:r w:rsidRPr="00303FBE">
        <w:rPr>
          <w:rFonts w:ascii="Times New Roman" w:hAnsi="Times New Roman" w:cs="Times New Roman"/>
          <w:sz w:val="28"/>
          <w:szCs w:val="28"/>
          <w:lang w:val="uk-UA"/>
        </w:rPr>
        <w:lastRenderedPageBreak/>
        <w:t>єдиного наразі конституційного органу суддівського врядування, до основних завдань якого віднесено забезпечення незалежності судової влади, формування суддівського корпусу та здійснення дисциплінарних проваджень стосовно суддів.</w:t>
      </w:r>
    </w:p>
    <w:p w14:paraId="1E524E56"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Так, Законом № 1635-ІХ до повноважень Етичної ради серед іншого віднесено оцінювання діючих членів Вищої ради правосуддя, наслідком якого може бути відсторонення члена Вищої ради правосуддя від посади. При цьому порядок та черговість здійснення такого оцінювання такого оцінювання законодавством не визначені.</w:t>
      </w:r>
    </w:p>
    <w:p w14:paraId="5693FACE"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 xml:space="preserve">Початок оцінювання діючих членів Вищої ради правосуддя, у разі відсутності повного конституційного складу Вищої ради правосуддя, може призвести до зупинення роботи органу через </w:t>
      </w:r>
      <w:proofErr w:type="spellStart"/>
      <w:r w:rsidRPr="00303FBE">
        <w:rPr>
          <w:rFonts w:ascii="Times New Roman" w:hAnsi="Times New Roman" w:cs="Times New Roman"/>
          <w:sz w:val="28"/>
          <w:szCs w:val="28"/>
          <w:lang w:val="uk-UA"/>
        </w:rPr>
        <w:t>неповноважність</w:t>
      </w:r>
      <w:proofErr w:type="spellEnd"/>
      <w:r w:rsidRPr="00303FBE">
        <w:rPr>
          <w:rFonts w:ascii="Times New Roman" w:hAnsi="Times New Roman" w:cs="Times New Roman"/>
          <w:sz w:val="28"/>
          <w:szCs w:val="28"/>
          <w:lang w:val="uk-UA"/>
        </w:rPr>
        <w:t xml:space="preserve"> його складу у  найкоротші строки.</w:t>
      </w:r>
    </w:p>
    <w:p w14:paraId="06098835"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Неврегульованість правових норм при прийнятті нових законодавчих актів вже призвели до відсутності протягом майже двох років повноваженого складу іншого органу суддівського врядування – Вищої кваліфікаційної комісії суддів України, що, у свою чергу, мало наслідком «кадрового голоду» у суддівських лавах.</w:t>
      </w:r>
    </w:p>
    <w:p w14:paraId="36BB04CA"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r w:rsidRPr="00303FBE">
        <w:rPr>
          <w:rFonts w:ascii="Times New Roman" w:hAnsi="Times New Roman" w:cs="Times New Roman"/>
          <w:sz w:val="28"/>
          <w:szCs w:val="28"/>
          <w:lang w:val="uk-UA"/>
        </w:rPr>
        <w:t>Зазначені вище проблеми потребують негайного вирішення.</w:t>
      </w:r>
    </w:p>
    <w:p w14:paraId="3FB38150"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New Roman" w:hAnsi="Times New Roman" w:cs="Times New Roman"/>
          <w:sz w:val="28"/>
          <w:szCs w:val="28"/>
          <w:lang w:val="uk-UA"/>
        </w:rPr>
      </w:pPr>
    </w:p>
    <w:p w14:paraId="6474C249"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b/>
          <w:bCs/>
          <w:sz w:val="28"/>
          <w:szCs w:val="28"/>
          <w:lang w:val="uk-UA"/>
        </w:rPr>
      </w:pPr>
      <w:r w:rsidRPr="00303FBE">
        <w:rPr>
          <w:rFonts w:ascii="Times" w:hAnsi="Times" w:cs="Times"/>
          <w:b/>
          <w:bCs/>
          <w:sz w:val="28"/>
          <w:szCs w:val="28"/>
          <w:lang w:val="uk-UA"/>
        </w:rPr>
        <w:t>2. Цілі та завдання проекту Закону</w:t>
      </w:r>
    </w:p>
    <w:p w14:paraId="6E4E5DC2" w14:textId="3874D300" w:rsidR="00351870" w:rsidRPr="00303FBE" w:rsidRDefault="00351870" w:rsidP="00351870">
      <w:pPr>
        <w:widowControl w:val="0"/>
        <w:autoSpaceDE w:val="0"/>
        <w:autoSpaceDN w:val="0"/>
        <w:adjustRightInd w:val="0"/>
        <w:spacing w:line="230" w:lineRule="auto"/>
        <w:ind w:right="-6" w:firstLine="709"/>
        <w:jc w:val="both"/>
        <w:rPr>
          <w:rFonts w:ascii="Times" w:hAnsi="Times" w:cs="Times"/>
          <w:sz w:val="28"/>
          <w:szCs w:val="28"/>
          <w:lang w:val="uk-UA"/>
        </w:rPr>
      </w:pPr>
      <w:r w:rsidRPr="00303FBE">
        <w:rPr>
          <w:rFonts w:ascii="Times" w:hAnsi="Times" w:cs="Times"/>
          <w:sz w:val="28"/>
          <w:szCs w:val="28"/>
          <w:lang w:val="uk-UA"/>
        </w:rPr>
        <w:t>Про</w:t>
      </w:r>
      <w:r w:rsidR="00303FBE">
        <w:rPr>
          <w:rFonts w:ascii="Times" w:hAnsi="Times" w:cs="Times"/>
          <w:sz w:val="28"/>
          <w:szCs w:val="28"/>
          <w:lang w:val="uk-UA"/>
        </w:rPr>
        <w:t>е</w:t>
      </w:r>
      <w:r w:rsidRPr="00303FBE">
        <w:rPr>
          <w:rFonts w:ascii="Times" w:hAnsi="Times" w:cs="Times"/>
          <w:sz w:val="28"/>
          <w:szCs w:val="28"/>
          <w:lang w:val="uk-UA"/>
        </w:rPr>
        <w:t>кт Закону розроблено з метою захисту прав громадян на захист, усунення прогалин в правовому регулюванні в частині здійснення дисциплінарного провадження стосовно суддів та недопущення зупинення функціонування конституційного органу суддівського врядування – Вищої ради правосуддя.</w:t>
      </w:r>
    </w:p>
    <w:p w14:paraId="4F6FC340" w14:textId="77777777" w:rsidR="00351870" w:rsidRPr="00303FBE" w:rsidRDefault="00351870" w:rsidP="00351870">
      <w:pPr>
        <w:widowControl w:val="0"/>
        <w:autoSpaceDE w:val="0"/>
        <w:autoSpaceDN w:val="0"/>
        <w:adjustRightInd w:val="0"/>
        <w:spacing w:line="230" w:lineRule="auto"/>
        <w:ind w:right="-6"/>
        <w:jc w:val="both"/>
        <w:rPr>
          <w:rFonts w:ascii="Times" w:hAnsi="Times" w:cs="Times"/>
          <w:sz w:val="28"/>
          <w:szCs w:val="28"/>
          <w:lang w:val="uk-UA"/>
        </w:rPr>
      </w:pPr>
    </w:p>
    <w:p w14:paraId="0DA25E1F"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sz w:val="28"/>
          <w:szCs w:val="28"/>
          <w:lang w:val="uk-UA"/>
        </w:rPr>
      </w:pPr>
      <w:r w:rsidRPr="00303FBE">
        <w:rPr>
          <w:rFonts w:ascii="Times" w:hAnsi="Times" w:cs="Times"/>
          <w:b/>
          <w:bCs/>
          <w:sz w:val="28"/>
          <w:szCs w:val="28"/>
          <w:lang w:val="uk-UA"/>
        </w:rPr>
        <w:t>3. Загальна характеристика і основні положення проекту Закону</w:t>
      </w:r>
    </w:p>
    <w:p w14:paraId="29018602" w14:textId="57F04561" w:rsidR="00351870" w:rsidRPr="00303FBE" w:rsidRDefault="00351870" w:rsidP="00351870">
      <w:pPr>
        <w:widowControl w:val="0"/>
        <w:autoSpaceDE w:val="0"/>
        <w:autoSpaceDN w:val="0"/>
        <w:adjustRightInd w:val="0"/>
        <w:spacing w:line="230" w:lineRule="auto"/>
        <w:ind w:right="-6" w:firstLine="709"/>
        <w:jc w:val="both"/>
        <w:rPr>
          <w:rFonts w:ascii="Times" w:hAnsi="Times" w:cs="Times"/>
          <w:sz w:val="28"/>
          <w:szCs w:val="28"/>
          <w:lang w:val="uk-UA"/>
        </w:rPr>
      </w:pPr>
      <w:r w:rsidRPr="00303FBE">
        <w:rPr>
          <w:rFonts w:ascii="Times" w:hAnsi="Times" w:cs="Times"/>
          <w:sz w:val="28"/>
          <w:szCs w:val="28"/>
          <w:lang w:val="uk-UA"/>
        </w:rPr>
        <w:t>Про</w:t>
      </w:r>
      <w:r w:rsidR="00303FBE">
        <w:rPr>
          <w:rFonts w:ascii="Times" w:hAnsi="Times" w:cs="Times"/>
          <w:sz w:val="28"/>
          <w:szCs w:val="28"/>
          <w:lang w:val="uk-UA"/>
        </w:rPr>
        <w:t>е</w:t>
      </w:r>
      <w:r w:rsidRPr="00303FBE">
        <w:rPr>
          <w:rFonts w:ascii="Times" w:hAnsi="Times" w:cs="Times"/>
          <w:sz w:val="28"/>
          <w:szCs w:val="28"/>
          <w:lang w:val="uk-UA"/>
        </w:rPr>
        <w:t>кт Закону пропонується доповнити Розділ ІІ «Прикінцеві та перехідні положення» Закону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положеннями, якими передбачити, що оцінювання діючих членів Вищої ради правосуддя на всі наявні вакантна посади членів Вищої ради правосуддя, а також доповнення розділу пунктом сьомим, яким пропонується визначити, що тимчасово, на період до початку виконання в повному обсязі повноважень служби дисциплінарних інспекторів, дисциплінарні скарги щодо суддів передаються дисциплінарним органам Вищої ради правосуддя для розгляду та прийняття рішень.</w:t>
      </w:r>
    </w:p>
    <w:p w14:paraId="3A7EBDCA"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sz w:val="28"/>
          <w:szCs w:val="28"/>
          <w:lang w:val="uk-UA"/>
        </w:rPr>
      </w:pPr>
    </w:p>
    <w:p w14:paraId="2B43B7AA"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sz w:val="28"/>
          <w:szCs w:val="28"/>
          <w:lang w:val="uk-UA"/>
        </w:rPr>
      </w:pPr>
    </w:p>
    <w:p w14:paraId="37A280F7" w14:textId="77777777" w:rsidR="00303FBE" w:rsidRDefault="00303FBE" w:rsidP="00351870">
      <w:pPr>
        <w:widowControl w:val="0"/>
        <w:autoSpaceDE w:val="0"/>
        <w:autoSpaceDN w:val="0"/>
        <w:adjustRightInd w:val="0"/>
        <w:spacing w:after="120" w:line="230" w:lineRule="auto"/>
        <w:ind w:right="-6" w:firstLine="709"/>
        <w:jc w:val="both"/>
        <w:rPr>
          <w:rFonts w:ascii="Times" w:hAnsi="Times" w:cs="Times"/>
          <w:b/>
          <w:bCs/>
          <w:sz w:val="28"/>
          <w:szCs w:val="28"/>
          <w:lang w:val="uk-UA"/>
        </w:rPr>
      </w:pPr>
    </w:p>
    <w:p w14:paraId="703A5EB1" w14:textId="77777777" w:rsidR="00303FBE" w:rsidRDefault="00303FBE" w:rsidP="00351870">
      <w:pPr>
        <w:widowControl w:val="0"/>
        <w:autoSpaceDE w:val="0"/>
        <w:autoSpaceDN w:val="0"/>
        <w:adjustRightInd w:val="0"/>
        <w:spacing w:after="120" w:line="230" w:lineRule="auto"/>
        <w:ind w:right="-6" w:firstLine="709"/>
        <w:jc w:val="both"/>
        <w:rPr>
          <w:rFonts w:ascii="Times" w:hAnsi="Times" w:cs="Times"/>
          <w:b/>
          <w:bCs/>
          <w:sz w:val="28"/>
          <w:szCs w:val="28"/>
          <w:lang w:val="uk-UA"/>
        </w:rPr>
      </w:pPr>
    </w:p>
    <w:p w14:paraId="5FE9C0F5"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sz w:val="28"/>
          <w:szCs w:val="28"/>
          <w:lang w:val="uk-UA"/>
        </w:rPr>
      </w:pPr>
      <w:r w:rsidRPr="00303FBE">
        <w:rPr>
          <w:rFonts w:ascii="Times" w:hAnsi="Times" w:cs="Times"/>
          <w:b/>
          <w:bCs/>
          <w:sz w:val="28"/>
          <w:szCs w:val="28"/>
          <w:lang w:val="uk-UA"/>
        </w:rPr>
        <w:lastRenderedPageBreak/>
        <w:t>4. Стан нормативно-правової бази у зазначеній сфері правового регулювання</w:t>
      </w:r>
    </w:p>
    <w:p w14:paraId="259C6CCB"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sz w:val="28"/>
          <w:szCs w:val="28"/>
          <w:lang w:val="uk-UA"/>
        </w:rPr>
      </w:pPr>
      <w:r w:rsidRPr="00303FBE">
        <w:rPr>
          <w:rFonts w:ascii="Times" w:hAnsi="Times" w:cs="Times"/>
          <w:sz w:val="28"/>
          <w:szCs w:val="28"/>
          <w:lang w:val="uk-UA"/>
        </w:rPr>
        <w:t>У зазначеній сфері правового регулювання діє Конституція України, закони України «Про Вищу раду правосуддя», «Про судоустрій і статус суддів».</w:t>
      </w:r>
    </w:p>
    <w:p w14:paraId="7D066FE6" w14:textId="2ACB02F1" w:rsidR="00351870" w:rsidRPr="00303FBE" w:rsidRDefault="00351870" w:rsidP="00351870">
      <w:pPr>
        <w:widowControl w:val="0"/>
        <w:autoSpaceDE w:val="0"/>
        <w:autoSpaceDN w:val="0"/>
        <w:adjustRightInd w:val="0"/>
        <w:spacing w:line="230" w:lineRule="auto"/>
        <w:ind w:right="-6" w:firstLine="709"/>
        <w:jc w:val="both"/>
        <w:rPr>
          <w:rFonts w:ascii="Times" w:hAnsi="Times" w:cs="Times"/>
          <w:kern w:val="1"/>
          <w:sz w:val="28"/>
          <w:szCs w:val="28"/>
          <w:lang w:val="uk-UA"/>
        </w:rPr>
      </w:pPr>
      <w:r w:rsidRPr="00303FBE">
        <w:rPr>
          <w:rFonts w:ascii="Times" w:hAnsi="Times" w:cs="Times"/>
          <w:sz w:val="28"/>
          <w:szCs w:val="28"/>
          <w:lang w:val="uk-UA"/>
        </w:rPr>
        <w:t>Реалізація положень законопро</w:t>
      </w:r>
      <w:r w:rsidR="00303FBE">
        <w:rPr>
          <w:rFonts w:ascii="Times" w:hAnsi="Times" w:cs="Times"/>
          <w:sz w:val="28"/>
          <w:szCs w:val="28"/>
          <w:lang w:val="uk-UA"/>
        </w:rPr>
        <w:t>е</w:t>
      </w:r>
      <w:r w:rsidRPr="00303FBE">
        <w:rPr>
          <w:rFonts w:ascii="Times" w:hAnsi="Times" w:cs="Times"/>
          <w:sz w:val="28"/>
          <w:szCs w:val="28"/>
          <w:lang w:val="uk-UA"/>
        </w:rPr>
        <w:t>кту не потребує внесення змін до інших нормативно-правових актів.</w:t>
      </w:r>
    </w:p>
    <w:p w14:paraId="7AFFC7AF"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b/>
          <w:bCs/>
          <w:kern w:val="1"/>
          <w:sz w:val="28"/>
          <w:szCs w:val="28"/>
          <w:lang w:val="uk-UA"/>
        </w:rPr>
      </w:pPr>
    </w:p>
    <w:p w14:paraId="419C6B9A"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kern w:val="1"/>
          <w:sz w:val="28"/>
          <w:szCs w:val="28"/>
          <w:lang w:val="uk-UA"/>
        </w:rPr>
      </w:pPr>
      <w:r w:rsidRPr="00303FBE">
        <w:rPr>
          <w:rFonts w:ascii="Times" w:hAnsi="Times" w:cs="Times"/>
          <w:b/>
          <w:bCs/>
          <w:kern w:val="1"/>
          <w:sz w:val="28"/>
          <w:szCs w:val="28"/>
          <w:lang w:val="uk-UA"/>
        </w:rPr>
        <w:t>5. Фінансово-економічне обґрунтування</w:t>
      </w:r>
    </w:p>
    <w:p w14:paraId="28D8C37F"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kern w:val="1"/>
          <w:sz w:val="28"/>
          <w:szCs w:val="28"/>
          <w:lang w:val="uk-UA"/>
        </w:rPr>
      </w:pPr>
      <w:r w:rsidRPr="00303FBE">
        <w:rPr>
          <w:rFonts w:ascii="Times" w:hAnsi="Times" w:cs="Times"/>
          <w:kern w:val="1"/>
          <w:sz w:val="28"/>
          <w:szCs w:val="28"/>
          <w:lang w:val="uk-UA"/>
        </w:rPr>
        <w:t>Реалізація положень законопроекту не потребуватиме  додаткових витрат з Державного бюджету України.</w:t>
      </w:r>
    </w:p>
    <w:p w14:paraId="1ED09CBB" w14:textId="77777777" w:rsidR="00351870" w:rsidRPr="00303FBE" w:rsidRDefault="00351870" w:rsidP="00351870">
      <w:pPr>
        <w:widowControl w:val="0"/>
        <w:autoSpaceDE w:val="0"/>
        <w:autoSpaceDN w:val="0"/>
        <w:adjustRightInd w:val="0"/>
        <w:spacing w:line="230" w:lineRule="auto"/>
        <w:ind w:right="-6" w:firstLine="709"/>
        <w:jc w:val="both"/>
        <w:rPr>
          <w:rFonts w:ascii="Times" w:hAnsi="Times" w:cs="Times"/>
          <w:kern w:val="1"/>
          <w:sz w:val="28"/>
          <w:szCs w:val="28"/>
          <w:lang w:val="uk-UA"/>
        </w:rPr>
      </w:pPr>
    </w:p>
    <w:p w14:paraId="44197140" w14:textId="77777777" w:rsidR="00351870" w:rsidRPr="00303FBE" w:rsidRDefault="00351870" w:rsidP="00351870">
      <w:pPr>
        <w:widowControl w:val="0"/>
        <w:autoSpaceDE w:val="0"/>
        <w:autoSpaceDN w:val="0"/>
        <w:adjustRightInd w:val="0"/>
        <w:spacing w:after="120" w:line="230" w:lineRule="auto"/>
        <w:ind w:right="-6" w:firstLine="709"/>
        <w:jc w:val="both"/>
        <w:rPr>
          <w:rFonts w:ascii="Times" w:hAnsi="Times" w:cs="Times"/>
          <w:kern w:val="1"/>
          <w:sz w:val="28"/>
          <w:szCs w:val="28"/>
          <w:lang w:val="uk-UA"/>
        </w:rPr>
      </w:pPr>
      <w:r w:rsidRPr="00303FBE">
        <w:rPr>
          <w:rFonts w:ascii="Times" w:hAnsi="Times" w:cs="Times"/>
          <w:b/>
          <w:bCs/>
          <w:kern w:val="1"/>
          <w:sz w:val="28"/>
          <w:szCs w:val="28"/>
          <w:lang w:val="uk-UA"/>
        </w:rPr>
        <w:t>6. Прогноз соціально-економічних та інших наслідків прийняття Закону</w:t>
      </w:r>
    </w:p>
    <w:p w14:paraId="1F1A6A63" w14:textId="38937952" w:rsidR="00351870" w:rsidRPr="00303FBE" w:rsidRDefault="00351870" w:rsidP="00351870">
      <w:pPr>
        <w:widowControl w:val="0"/>
        <w:autoSpaceDE w:val="0"/>
        <w:autoSpaceDN w:val="0"/>
        <w:adjustRightInd w:val="0"/>
        <w:spacing w:line="230" w:lineRule="auto"/>
        <w:ind w:right="-6" w:firstLine="709"/>
        <w:jc w:val="both"/>
        <w:rPr>
          <w:rFonts w:ascii="Times" w:hAnsi="Times" w:cs="Times"/>
          <w:kern w:val="1"/>
          <w:sz w:val="28"/>
          <w:szCs w:val="28"/>
          <w:lang w:val="uk-UA"/>
        </w:rPr>
      </w:pPr>
      <w:r w:rsidRPr="00303FBE">
        <w:rPr>
          <w:rFonts w:ascii="Times" w:hAnsi="Times" w:cs="Times"/>
          <w:kern w:val="1"/>
          <w:sz w:val="28"/>
          <w:szCs w:val="28"/>
          <w:lang w:val="uk-UA"/>
        </w:rPr>
        <w:t>Прийняття цього про</w:t>
      </w:r>
      <w:r w:rsidR="00303FBE">
        <w:rPr>
          <w:rFonts w:ascii="Times" w:hAnsi="Times" w:cs="Times"/>
          <w:kern w:val="1"/>
          <w:sz w:val="28"/>
          <w:szCs w:val="28"/>
          <w:lang w:val="uk-UA"/>
        </w:rPr>
        <w:t>е</w:t>
      </w:r>
      <w:r w:rsidRPr="00303FBE">
        <w:rPr>
          <w:rFonts w:ascii="Times" w:hAnsi="Times" w:cs="Times"/>
          <w:kern w:val="1"/>
          <w:sz w:val="28"/>
          <w:szCs w:val="28"/>
          <w:lang w:val="uk-UA"/>
        </w:rPr>
        <w:t>кту Закону сприятиме: виконанню вимог законодавства стосовно розгляду питання про притягнення суддів до дисциплінарної відповідальності; недопущення зупинення функціонування Вищої ради правосуддя, здійснення нею своїх конституційних повноважень, у тому числі в частині дисциплінарних проваджень стосовно суддів.</w:t>
      </w:r>
    </w:p>
    <w:p w14:paraId="53700C0A"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p>
    <w:p w14:paraId="0C8ABEB1"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p>
    <w:p w14:paraId="41C244B9" w14:textId="77777777" w:rsidR="00351870" w:rsidRPr="00303FBE" w:rsidRDefault="00351870" w:rsidP="00351870">
      <w:pPr>
        <w:widowControl w:val="0"/>
        <w:autoSpaceDE w:val="0"/>
        <w:autoSpaceDN w:val="0"/>
        <w:adjustRightInd w:val="0"/>
        <w:ind w:right="-6"/>
        <w:rPr>
          <w:rFonts w:ascii="Times" w:hAnsi="Times" w:cs="Times"/>
          <w:i/>
          <w:iCs/>
          <w:kern w:val="1"/>
          <w:lang w:val="uk-UA"/>
        </w:rPr>
      </w:pPr>
      <w:r w:rsidRPr="00303FBE">
        <w:rPr>
          <w:rFonts w:ascii="Times" w:hAnsi="Times" w:cs="Times"/>
          <w:b/>
          <w:bCs/>
          <w:kern w:val="1"/>
          <w:sz w:val="28"/>
          <w:szCs w:val="28"/>
          <w:lang w:val="uk-UA"/>
        </w:rPr>
        <w:t xml:space="preserve">Народні депутати України                                                     </w:t>
      </w:r>
    </w:p>
    <w:p w14:paraId="54D33E6E"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p>
    <w:p w14:paraId="470ED7E7"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p>
    <w:p w14:paraId="1F7D9FDF"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p>
    <w:p w14:paraId="316AF785" w14:textId="77777777" w:rsidR="00351870" w:rsidRPr="00303FBE" w:rsidRDefault="00351870" w:rsidP="00351870">
      <w:pPr>
        <w:widowControl w:val="0"/>
        <w:autoSpaceDE w:val="0"/>
        <w:autoSpaceDN w:val="0"/>
        <w:adjustRightInd w:val="0"/>
        <w:ind w:right="-6"/>
        <w:rPr>
          <w:rFonts w:ascii="Times" w:hAnsi="Times" w:cs="Times"/>
          <w:b/>
          <w:bCs/>
          <w:kern w:val="1"/>
          <w:sz w:val="28"/>
          <w:szCs w:val="28"/>
          <w:lang w:val="uk-UA"/>
        </w:rPr>
      </w:pPr>
      <w:r w:rsidRPr="00303FBE">
        <w:rPr>
          <w:rFonts w:ascii="Times" w:hAnsi="Times" w:cs="Times"/>
          <w:b/>
          <w:bCs/>
          <w:kern w:val="1"/>
          <w:sz w:val="28"/>
          <w:szCs w:val="28"/>
          <w:lang w:val="uk-UA"/>
        </w:rPr>
        <w:t xml:space="preserve">                </w:t>
      </w:r>
    </w:p>
    <w:p w14:paraId="6FA6640F" w14:textId="77777777" w:rsidR="00351870" w:rsidRPr="00303FBE" w:rsidRDefault="00351870" w:rsidP="00351870">
      <w:pPr>
        <w:rPr>
          <w:lang w:val="uk-UA"/>
        </w:rPr>
      </w:pPr>
    </w:p>
    <w:p w14:paraId="5D597CDF" w14:textId="77777777" w:rsidR="00351870" w:rsidRPr="00303FBE" w:rsidRDefault="00351870" w:rsidP="00351870">
      <w:pPr>
        <w:rPr>
          <w:lang w:val="uk-UA"/>
        </w:rPr>
      </w:pPr>
    </w:p>
    <w:p w14:paraId="42F5B412" w14:textId="77777777" w:rsidR="00351870" w:rsidRPr="00303FBE" w:rsidRDefault="00351870">
      <w:pPr>
        <w:rPr>
          <w:lang w:val="uk-UA"/>
        </w:rPr>
      </w:pPr>
    </w:p>
    <w:sectPr w:rsidR="00351870" w:rsidRPr="00303FBE">
      <w:pgSz w:w="11900" w:h="16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70"/>
    <w:rsid w:val="00303FBE"/>
    <w:rsid w:val="00351870"/>
    <w:rsid w:val="00691DD9"/>
    <w:rsid w:val="00725A14"/>
    <w:rsid w:val="00EA5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B987"/>
  <w15:chartTrackingRefBased/>
  <w15:docId w15:val="{E7C9846D-1BB0-DC45-8EAC-95D7AA7C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7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2A289-1F45-43B5-B24D-06A91DA3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F16EA-49AF-4935-9CDD-E7B8474F2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96691-BDCC-4316-8AD3-46B064661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3648</Words>
  <Characters>2080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2021-09-06T07:08:00Z</dcterms:created>
  <dcterms:modified xsi:type="dcterms:W3CDTF">2021-09-06T07:08:00Z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