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B8" w:rsidRPr="0072720A" w:rsidRDefault="008009B8" w:rsidP="008009B8">
      <w:pPr>
        <w:pStyle w:val="a3"/>
        <w:tabs>
          <w:tab w:val="clear" w:pos="4677"/>
          <w:tab w:val="clear" w:pos="9355"/>
        </w:tabs>
        <w:ind w:left="397" w:firstLine="397"/>
        <w:jc w:val="center"/>
        <w:rPr>
          <w:color w:val="002060"/>
          <w:sz w:val="32"/>
          <w:szCs w:val="32"/>
          <w:lang w:val="uk-UA"/>
        </w:rPr>
      </w:pPr>
      <w:r w:rsidRPr="0072720A">
        <w:rPr>
          <w:noProof/>
          <w:lang w:val="uk-UA" w:eastAsia="uk-UA"/>
        </w:rPr>
        <w:drawing>
          <wp:anchor distT="360045" distB="0" distL="114300" distR="114300" simplePos="0" relativeHeight="251659264" behindDoc="0" locked="0" layoutInCell="1" allowOverlap="1" wp14:anchorId="46270FA2" wp14:editId="638F8C45">
            <wp:simplePos x="0" y="0"/>
            <wp:positionH relativeFrom="margin">
              <wp:posOffset>3110230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9B8" w:rsidRPr="0072720A" w:rsidRDefault="008009B8" w:rsidP="008009B8">
      <w:pPr>
        <w:pStyle w:val="a3"/>
        <w:tabs>
          <w:tab w:val="clear" w:pos="4677"/>
          <w:tab w:val="clear" w:pos="9355"/>
        </w:tabs>
        <w:ind w:left="397" w:firstLine="397"/>
        <w:jc w:val="center"/>
        <w:rPr>
          <w:color w:val="002060"/>
          <w:sz w:val="32"/>
          <w:szCs w:val="32"/>
          <w:lang w:val="uk-UA"/>
        </w:rPr>
      </w:pPr>
    </w:p>
    <w:p w:rsidR="008009B8" w:rsidRPr="0072720A" w:rsidRDefault="008009B8" w:rsidP="008009B8">
      <w:pPr>
        <w:pStyle w:val="a3"/>
        <w:tabs>
          <w:tab w:val="clear" w:pos="4677"/>
          <w:tab w:val="clear" w:pos="9355"/>
        </w:tabs>
        <w:ind w:left="397" w:firstLine="397"/>
        <w:jc w:val="center"/>
        <w:rPr>
          <w:color w:val="002060"/>
          <w:sz w:val="32"/>
          <w:szCs w:val="32"/>
          <w:lang w:val="uk-UA"/>
        </w:rPr>
      </w:pPr>
    </w:p>
    <w:p w:rsidR="008009B8" w:rsidRPr="0072720A" w:rsidRDefault="008009B8" w:rsidP="008009B8">
      <w:pPr>
        <w:pStyle w:val="a3"/>
        <w:tabs>
          <w:tab w:val="clear" w:pos="4677"/>
          <w:tab w:val="clear" w:pos="9355"/>
        </w:tabs>
        <w:ind w:left="397" w:firstLine="397"/>
        <w:jc w:val="center"/>
        <w:rPr>
          <w:color w:val="1829A8"/>
          <w:spacing w:val="20"/>
          <w:sz w:val="34"/>
          <w:szCs w:val="34"/>
          <w:lang w:val="uk-UA"/>
        </w:rPr>
      </w:pPr>
      <w:r w:rsidRPr="0072720A">
        <w:rPr>
          <w:color w:val="1829A8"/>
          <w:spacing w:val="20"/>
          <w:sz w:val="34"/>
          <w:szCs w:val="34"/>
          <w:lang w:val="uk-UA"/>
        </w:rPr>
        <w:t>ВЕРХОВНА РАДА УКРАЇНИ</w:t>
      </w:r>
    </w:p>
    <w:p w:rsidR="008009B8" w:rsidRPr="0072720A" w:rsidRDefault="008009B8" w:rsidP="008009B8">
      <w:pPr>
        <w:pStyle w:val="a3"/>
        <w:tabs>
          <w:tab w:val="clear" w:pos="4677"/>
          <w:tab w:val="clear" w:pos="9355"/>
        </w:tabs>
        <w:ind w:left="397" w:firstLine="397"/>
        <w:jc w:val="center"/>
        <w:rPr>
          <w:b/>
          <w:color w:val="1829A8"/>
          <w:spacing w:val="20"/>
          <w:sz w:val="24"/>
          <w:szCs w:val="24"/>
          <w:lang w:val="uk-UA"/>
        </w:rPr>
      </w:pPr>
      <w:r w:rsidRPr="0072720A">
        <w:rPr>
          <w:b/>
          <w:color w:val="1829A8"/>
          <w:spacing w:val="20"/>
          <w:sz w:val="24"/>
          <w:szCs w:val="24"/>
          <w:lang w:val="uk-UA"/>
        </w:rPr>
        <w:t>Комітет з питань інтеграції України до Європейського Союзу</w:t>
      </w:r>
    </w:p>
    <w:p w:rsidR="008009B8" w:rsidRPr="0072720A" w:rsidRDefault="008009B8" w:rsidP="008009B8">
      <w:pPr>
        <w:ind w:left="397" w:firstLine="397"/>
        <w:jc w:val="center"/>
        <w:rPr>
          <w:lang w:val="uk-UA"/>
        </w:rPr>
      </w:pPr>
      <w:r w:rsidRPr="0072720A">
        <w:rPr>
          <w:color w:val="1829A8"/>
          <w:sz w:val="20"/>
          <w:szCs w:val="20"/>
          <w:lang w:val="uk-UA"/>
        </w:rPr>
        <w:t>01008, м.Київ-8, вул. М. Грушевського, 5, тел.: 255-34-42, факс: 255-33-13, e-mail: comeuroint@v.rada.gov.ua</w:t>
      </w:r>
    </w:p>
    <w:p w:rsidR="005071F2" w:rsidRPr="0072720A" w:rsidRDefault="005071F2" w:rsidP="005071F2">
      <w:pPr>
        <w:pStyle w:val="a7"/>
        <w:ind w:left="397" w:firstLine="397"/>
        <w:jc w:val="center"/>
        <w:rPr>
          <w:b/>
          <w:lang w:val="uk-UA"/>
        </w:rPr>
      </w:pPr>
    </w:p>
    <w:p w:rsidR="005071F2" w:rsidRPr="0072720A" w:rsidRDefault="005071F2" w:rsidP="005071F2">
      <w:pPr>
        <w:pStyle w:val="a7"/>
        <w:spacing w:after="0"/>
        <w:ind w:left="397" w:firstLine="397"/>
        <w:jc w:val="center"/>
        <w:rPr>
          <w:b/>
          <w:lang w:val="uk-UA"/>
        </w:rPr>
      </w:pPr>
      <w:r w:rsidRPr="0072720A">
        <w:rPr>
          <w:b/>
          <w:lang w:val="uk-UA"/>
        </w:rPr>
        <w:t>ВИСНОВОК</w:t>
      </w:r>
    </w:p>
    <w:p w:rsidR="005071F2" w:rsidRPr="0072720A" w:rsidRDefault="005071F2" w:rsidP="005071F2">
      <w:pPr>
        <w:pStyle w:val="a7"/>
        <w:spacing w:after="0"/>
        <w:ind w:left="397" w:firstLine="397"/>
        <w:jc w:val="center"/>
        <w:rPr>
          <w:b/>
          <w:lang w:val="uk-UA"/>
        </w:rPr>
      </w:pPr>
      <w:r w:rsidRPr="0072720A">
        <w:rPr>
          <w:b/>
          <w:lang w:val="uk-UA"/>
        </w:rPr>
        <w:t>щодо проєкту Закону України</w:t>
      </w:r>
    </w:p>
    <w:p w:rsidR="00403F54" w:rsidRPr="0072720A" w:rsidRDefault="00403F54" w:rsidP="005071F2">
      <w:pPr>
        <w:pStyle w:val="a7"/>
        <w:spacing w:after="0"/>
        <w:ind w:left="397" w:firstLine="397"/>
        <w:jc w:val="center"/>
        <w:rPr>
          <w:b/>
          <w:lang w:val="uk-UA"/>
        </w:rPr>
      </w:pPr>
    </w:p>
    <w:p w:rsidR="00624C76" w:rsidRPr="00624C76" w:rsidRDefault="00624C76" w:rsidP="00624C76">
      <w:pPr>
        <w:ind w:left="397" w:firstLine="397"/>
        <w:jc w:val="center"/>
        <w:rPr>
          <w:lang w:val="uk-UA"/>
        </w:rPr>
      </w:pPr>
      <w:r w:rsidRPr="00624C76">
        <w:rPr>
          <w:lang w:val="uk-UA"/>
        </w:rPr>
        <w:t>"Про внесення змін до Митного кодексу України щодо електронної ідентифікації та електронних довірчих послуг"</w:t>
      </w:r>
    </w:p>
    <w:p w:rsidR="00624C76" w:rsidRPr="00624C76" w:rsidRDefault="00624C76" w:rsidP="00624C76">
      <w:pPr>
        <w:ind w:left="397" w:firstLine="397"/>
        <w:jc w:val="center"/>
        <w:rPr>
          <w:lang w:val="uk-UA"/>
        </w:rPr>
      </w:pPr>
      <w:r w:rsidRPr="00624C76">
        <w:rPr>
          <w:lang w:val="uk-UA"/>
        </w:rPr>
        <w:t>(реєстр. №6086 від 23.09.2021, Кабінет Міністрів України)</w:t>
      </w:r>
    </w:p>
    <w:p w:rsidR="00624C76" w:rsidRPr="00624C76" w:rsidRDefault="00624C76" w:rsidP="00624C76">
      <w:pPr>
        <w:ind w:left="397" w:firstLine="397"/>
        <w:jc w:val="both"/>
        <w:rPr>
          <w:lang w:val="uk-UA"/>
        </w:rPr>
      </w:pPr>
    </w:p>
    <w:p w:rsidR="00624C76" w:rsidRPr="00624C76" w:rsidRDefault="00624C76" w:rsidP="00624C76">
      <w:pPr>
        <w:ind w:left="426"/>
        <w:jc w:val="both"/>
        <w:rPr>
          <w:b/>
          <w:i/>
          <w:lang w:val="uk-UA"/>
        </w:rPr>
      </w:pPr>
      <w:r w:rsidRPr="00624C76">
        <w:rPr>
          <w:b/>
          <w:i/>
          <w:lang w:val="uk-UA"/>
        </w:rPr>
        <w:t>1.</w:t>
      </w:r>
      <w:r w:rsidRPr="00624C76">
        <w:rPr>
          <w:b/>
          <w:i/>
          <w:lang w:val="uk-UA"/>
        </w:rPr>
        <w:tab/>
        <w:t>Загальна характеристика законопроєкту.</w:t>
      </w:r>
    </w:p>
    <w:p w:rsidR="00624C76" w:rsidRPr="00624C76" w:rsidRDefault="00624C76" w:rsidP="00624C76">
      <w:pPr>
        <w:ind w:left="397" w:firstLine="397"/>
        <w:jc w:val="both"/>
        <w:rPr>
          <w:lang w:val="uk-UA"/>
        </w:rPr>
      </w:pPr>
      <w:r w:rsidRPr="00624C76">
        <w:rPr>
          <w:lang w:val="uk-UA"/>
        </w:rPr>
        <w:t>Метою прийняття акта є приведення положень Митного кодексу України у відповідність із Законом України “Про електронні довірчі послуги” у зв’язку з удосконаленням державного регулювання у сферах електронної ідентифікації та електронних довірчих послуг на основі законодавства Європейського Союзу та досвіду держав-членів Європейського Союзу для спрощення доступу до електронних послуг.</w:t>
      </w:r>
    </w:p>
    <w:p w:rsidR="00624C76" w:rsidRPr="00624C76" w:rsidRDefault="00624C76" w:rsidP="00624C76">
      <w:pPr>
        <w:ind w:left="794"/>
        <w:jc w:val="both"/>
        <w:rPr>
          <w:b/>
          <w:i/>
          <w:lang w:val="uk-UA"/>
        </w:rPr>
      </w:pPr>
    </w:p>
    <w:p w:rsidR="00624C76" w:rsidRPr="00624C76" w:rsidRDefault="00624C76" w:rsidP="00624C76">
      <w:pPr>
        <w:ind w:left="426"/>
        <w:jc w:val="both"/>
        <w:rPr>
          <w:b/>
          <w:i/>
          <w:lang w:val="uk-UA"/>
        </w:rPr>
      </w:pPr>
      <w:r w:rsidRPr="00624C76">
        <w:rPr>
          <w:b/>
          <w:i/>
          <w:lang w:val="uk-UA"/>
        </w:rPr>
        <w:t>2.</w:t>
      </w:r>
      <w:r w:rsidRPr="00624C76">
        <w:rPr>
          <w:b/>
          <w:i/>
          <w:lang w:val="uk-UA"/>
        </w:rPr>
        <w:tab/>
        <w:t>Належність законопроєкту до сфери acquis ЄС.</w:t>
      </w:r>
    </w:p>
    <w:p w:rsidR="00624C76" w:rsidRPr="00624C76" w:rsidRDefault="00624C76" w:rsidP="00624C76">
      <w:pPr>
        <w:ind w:left="397" w:firstLine="397"/>
        <w:jc w:val="both"/>
        <w:rPr>
          <w:lang w:val="uk-UA"/>
        </w:rPr>
      </w:pPr>
      <w:r w:rsidRPr="00624C76">
        <w:rPr>
          <w:lang w:val="uk-UA"/>
        </w:rPr>
        <w:t>Законопроєкт за предметом правового регулювання охоплюється міжнародно-правовими зобов’язаннями України у сфері європейської інтеграції, передбаченими у рамках Глави 5 «Митні питання та сприяння торгівлі» Розділу ІV «Торгівля та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624C76" w:rsidRPr="00624C76" w:rsidRDefault="00624C76" w:rsidP="00624C76">
      <w:pPr>
        <w:ind w:left="397" w:firstLine="397"/>
        <w:jc w:val="both"/>
        <w:rPr>
          <w:lang w:val="uk-UA"/>
        </w:rPr>
      </w:pPr>
      <w:r w:rsidRPr="00624C76">
        <w:rPr>
          <w:lang w:val="uk-UA"/>
        </w:rPr>
        <w:t>У Європейському Союзі зазначені правовідносини регулюються:</w:t>
      </w:r>
    </w:p>
    <w:p w:rsidR="00624C76" w:rsidRPr="00624C76" w:rsidRDefault="00624C76" w:rsidP="00624C76">
      <w:pPr>
        <w:numPr>
          <w:ilvl w:val="0"/>
          <w:numId w:val="2"/>
        </w:numPr>
        <w:jc w:val="both"/>
        <w:rPr>
          <w:lang w:val="uk-UA"/>
        </w:rPr>
      </w:pPr>
      <w:r w:rsidRPr="00624C76">
        <w:rPr>
          <w:lang w:val="uk-UA"/>
        </w:rPr>
        <w:t xml:space="preserve">Регламентом (ЄС) № 910/2014 Європейського Парламенту та Ради від 23 липня 2014 року про електронну ідентифікацію та довірчі послуги для електронних транзакцій в межах внутрішнього ринку та про скасування Директиви 1999/93/ЄС, імплементація якої передбачено Доповненням </w:t>
      </w:r>
      <w:r w:rsidRPr="00624C76">
        <w:rPr>
          <w:lang w:val="ru-RU"/>
        </w:rPr>
        <w:t>XVII</w:t>
      </w:r>
      <w:r w:rsidRPr="00624C76">
        <w:rPr>
          <w:lang w:val="uk-UA"/>
        </w:rPr>
        <w:t>-3 (далі – Регламент (ЄС) № 910/2014);</w:t>
      </w:r>
    </w:p>
    <w:p w:rsidR="00624C76" w:rsidRPr="00624C76" w:rsidRDefault="00624C76" w:rsidP="00624C76">
      <w:pPr>
        <w:numPr>
          <w:ilvl w:val="0"/>
          <w:numId w:val="2"/>
        </w:numPr>
        <w:jc w:val="both"/>
        <w:rPr>
          <w:lang w:val="uk-UA"/>
        </w:rPr>
      </w:pPr>
      <w:r w:rsidRPr="00624C76">
        <w:rPr>
          <w:lang w:val="ru-RU"/>
        </w:rPr>
        <w:t>Регламентом (ЄС) № 952/2013 Європейського Парламенту та Ради від 9 жовтня 2013 року про встановлення Митного кодексу Союзу (далі – Регламент (ЄС) № 952/2013).</w:t>
      </w:r>
    </w:p>
    <w:p w:rsidR="00624C76" w:rsidRPr="00624C76" w:rsidRDefault="00624C76" w:rsidP="00624C76">
      <w:pPr>
        <w:ind w:left="397" w:firstLine="397"/>
        <w:jc w:val="both"/>
        <w:rPr>
          <w:lang w:val="uk-UA"/>
        </w:rPr>
      </w:pPr>
    </w:p>
    <w:p w:rsidR="00624C76" w:rsidRPr="00624C76" w:rsidRDefault="00624C76" w:rsidP="00624C76">
      <w:pPr>
        <w:ind w:left="426"/>
        <w:jc w:val="both"/>
        <w:rPr>
          <w:b/>
          <w:i/>
          <w:lang w:val="uk-UA"/>
        </w:rPr>
      </w:pPr>
      <w:r w:rsidRPr="00624C76">
        <w:rPr>
          <w:b/>
          <w:i/>
          <w:lang w:val="uk-UA"/>
        </w:rPr>
        <w:t>3.</w:t>
      </w:r>
      <w:r w:rsidRPr="00624C76">
        <w:rPr>
          <w:b/>
          <w:i/>
          <w:lang w:val="uk-UA"/>
        </w:rPr>
        <w:tab/>
        <w:t>Відповідність законопроєкту праву ЄС та зобов’язанням України в рамках СОТ.</w:t>
      </w:r>
      <w:r w:rsidRPr="00624C76">
        <w:rPr>
          <w:b/>
          <w:i/>
          <w:lang w:val="uk-UA"/>
        </w:rPr>
        <w:tab/>
      </w:r>
    </w:p>
    <w:p w:rsidR="00624C76" w:rsidRPr="00624C76" w:rsidRDefault="00624C76" w:rsidP="00624C76">
      <w:pPr>
        <w:ind w:left="397" w:firstLine="397"/>
        <w:jc w:val="both"/>
        <w:rPr>
          <w:lang w:val="uk-UA"/>
        </w:rPr>
      </w:pPr>
      <w:r w:rsidRPr="00624C76">
        <w:rPr>
          <w:lang w:val="uk-UA"/>
        </w:rPr>
        <w:t xml:space="preserve">Законопроєктом пропонується внести зміни до окремих статей Митного кодексу України з метою приведення їх положень у відповідність до Закону </w:t>
      </w:r>
      <w:r w:rsidRPr="00624C76">
        <w:rPr>
          <w:lang w:val="uk-UA"/>
        </w:rPr>
        <w:lastRenderedPageBreak/>
        <w:t>України від 05.10.2017 № 2155-VIII «Про електронні довірчі послуги» (зокрема, щодо заміни терміну «кваліфікований електронний підпис» терміном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624C76" w:rsidRPr="00624C76" w:rsidRDefault="00624C76" w:rsidP="00624C76">
      <w:pPr>
        <w:ind w:left="397" w:firstLine="397"/>
        <w:jc w:val="both"/>
        <w:rPr>
          <w:lang w:val="uk-UA"/>
        </w:rPr>
      </w:pPr>
      <w:r w:rsidRPr="00624C76">
        <w:rPr>
          <w:lang w:val="uk-UA"/>
        </w:rPr>
        <w:t>Законопроєкт не суперечить вимогам пунктів 1 та 2 статті 27 Регламенту (ЄС) № 910/2014, відповідно до яких у випадку, якщо державі-члену потрібен удосконалений електронний підпис (також підпис на підставі кваліфікованого сертифіката) для використання онлайн-послуг, які пропонує орган публічного сектора або які пропонують від його імені, така держава-член визнає вдосконалені електронні підписи, вдосконалені електронні підписи на основі кваліфікованого сертифіката електронних підписів та кваліфіковані електронні підписи щонайменше в форматах або з використанням методів, які визначено в імплементаційних актах.</w:t>
      </w:r>
    </w:p>
    <w:p w:rsidR="00624C76" w:rsidRPr="00624C76" w:rsidRDefault="00624C76" w:rsidP="00624C76">
      <w:pPr>
        <w:ind w:left="397" w:firstLine="397"/>
        <w:jc w:val="both"/>
        <w:rPr>
          <w:lang w:val="uk-UA"/>
        </w:rPr>
      </w:pPr>
      <w:r w:rsidRPr="00624C76">
        <w:rPr>
          <w:lang w:val="uk-UA"/>
        </w:rPr>
        <w:t>Проєкт Закону повністю враховує положення пункту 1 статті 6 Регламенту (ЄС) № 952/2013, згідно з яким обмін інформацією, такою як декларації, заявки чи рішення, між митними органами та між суб’єктами господарювання та митними органами, а також зберігання такої інформації, як того вимагає митне законодавство, повинні здійснюються з використанням електронних методів обробки даних.</w:t>
      </w:r>
    </w:p>
    <w:p w:rsidR="00624C76" w:rsidRPr="00624C76" w:rsidRDefault="00624C76" w:rsidP="00624C76">
      <w:pPr>
        <w:jc w:val="both"/>
        <w:rPr>
          <w:lang w:val="uk-UA"/>
        </w:rPr>
      </w:pPr>
    </w:p>
    <w:p w:rsidR="00624C76" w:rsidRPr="00624C76" w:rsidRDefault="00624C76" w:rsidP="00624C76">
      <w:pPr>
        <w:ind w:firstLine="397"/>
        <w:jc w:val="both"/>
        <w:rPr>
          <w:i/>
          <w:lang w:val="uk-UA"/>
        </w:rPr>
      </w:pPr>
      <w:r w:rsidRPr="00624C76">
        <w:rPr>
          <w:rFonts w:eastAsia="Arial Unicode MS" w:cs="Arial Unicode MS"/>
          <w:b/>
          <w:bCs/>
          <w:i/>
          <w:color w:val="000000"/>
          <w:u w:color="000000"/>
          <w:lang w:val="uk-UA" w:eastAsia="uk-UA"/>
          <w14:textOutline w14:w="12700" w14:cap="flat" w14:cmpd="sng" w14:algn="ctr">
            <w14:noFill/>
            <w14:prstDash w14:val="solid"/>
            <w14:miter w14:lim="100000"/>
          </w14:textOutline>
        </w:rPr>
        <w:t>4.   </w:t>
      </w:r>
      <w:r w:rsidRPr="00624C76">
        <w:rPr>
          <w:rFonts w:eastAsia="Arial Unicode MS" w:cs="Arial Unicode MS"/>
          <w:b/>
          <w:bCs/>
          <w:i/>
          <w:color w:val="000000"/>
          <w:u w:color="000000"/>
          <w:lang w:val="ru-RU" w:eastAsia="uk-UA"/>
          <w14:textOutline w14:w="12700" w14:cap="flat" w14:cmpd="sng" w14:algn="ctr">
            <w14:noFill/>
            <w14:prstDash w14:val="solid"/>
            <w14:miter w14:lim="100000"/>
          </w14:textOutline>
        </w:rPr>
        <w:t xml:space="preserve">Висновок Комітету з питань інтеграції України до Європейського Союзу. </w:t>
      </w:r>
    </w:p>
    <w:p w:rsidR="00624C76" w:rsidRPr="00624C76" w:rsidRDefault="00624C76" w:rsidP="00624C76">
      <w:pPr>
        <w:jc w:val="both"/>
        <w:rPr>
          <w:lang w:val="uk-UA"/>
        </w:rPr>
      </w:pPr>
    </w:p>
    <w:p w:rsidR="00624C76" w:rsidRPr="00624C76" w:rsidRDefault="00624C76" w:rsidP="00624C76">
      <w:pPr>
        <w:ind w:left="397" w:firstLine="397"/>
        <w:jc w:val="both"/>
        <w:rPr>
          <w:lang w:val="uk-UA"/>
        </w:rPr>
      </w:pPr>
      <w:r w:rsidRPr="00624C76">
        <w:rPr>
          <w:lang w:val="uk-UA"/>
        </w:rPr>
        <w:t xml:space="preserve">Враховуючи вищевикладене, положення законопроекту </w:t>
      </w:r>
      <w:r w:rsidRPr="00624C76">
        <w:rPr>
          <w:b/>
          <w:lang w:val="uk-UA"/>
        </w:rPr>
        <w:t>не суперечать</w:t>
      </w:r>
      <w:r w:rsidRPr="00624C76">
        <w:rPr>
          <w:lang w:val="uk-UA"/>
        </w:rPr>
        <w:t xml:space="preserve"> міжнародно-правовим зобов’язанням України в сфері європейської інтеграції.</w:t>
      </w:r>
    </w:p>
    <w:p w:rsidR="009978D4" w:rsidRDefault="009978D4" w:rsidP="00624C76">
      <w:pPr>
        <w:pStyle w:val="a7"/>
        <w:spacing w:after="0"/>
        <w:ind w:left="397" w:firstLine="397"/>
        <w:jc w:val="center"/>
        <w:rPr>
          <w:b/>
          <w:lang w:val="uk-UA"/>
        </w:rPr>
      </w:pPr>
      <w:bookmarkStart w:id="0" w:name="_GoBack"/>
      <w:bookmarkEnd w:id="0"/>
    </w:p>
    <w:sectPr w:rsidR="009978D4" w:rsidSect="00D74655">
      <w:footerReference w:type="default" r:id="rId8"/>
      <w:pgSz w:w="11906" w:h="16838"/>
      <w:pgMar w:top="720" w:right="851" w:bottom="1276"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8B" w:rsidRDefault="008F308B">
      <w:r>
        <w:separator/>
      </w:r>
    </w:p>
  </w:endnote>
  <w:endnote w:type="continuationSeparator" w:id="0">
    <w:p w:rsidR="008F308B" w:rsidRDefault="008F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C" w:rsidRDefault="008F308B" w:rsidP="00D67DFC">
    <w:pPr>
      <w:pStyle w:val="a5"/>
    </w:pPr>
  </w:p>
  <w:p w:rsidR="00D67DFC" w:rsidRPr="00D67DFC" w:rsidRDefault="008F308B" w:rsidP="00D67D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8B" w:rsidRDefault="008F308B">
      <w:r>
        <w:separator/>
      </w:r>
    </w:p>
  </w:footnote>
  <w:footnote w:type="continuationSeparator" w:id="0">
    <w:p w:rsidR="008F308B" w:rsidRDefault="008F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4DE5"/>
    <w:multiLevelType w:val="hybridMultilevel"/>
    <w:tmpl w:val="1A745E22"/>
    <w:lvl w:ilvl="0" w:tplc="DF4862F8">
      <w:start w:val="1"/>
      <w:numFmt w:val="bullet"/>
      <w:lvlText w:val="-"/>
      <w:lvlJc w:val="left"/>
      <w:pPr>
        <w:ind w:left="1154" w:hanging="360"/>
      </w:pPr>
      <w:rPr>
        <w:rFonts w:ascii="Times New Roman" w:eastAsia="Times New Roman" w:hAnsi="Times New Roman" w:cs="Times New Roman" w:hint="default"/>
      </w:rPr>
    </w:lvl>
    <w:lvl w:ilvl="1" w:tplc="04220003" w:tentative="1">
      <w:start w:val="1"/>
      <w:numFmt w:val="bullet"/>
      <w:lvlText w:val="o"/>
      <w:lvlJc w:val="left"/>
      <w:pPr>
        <w:ind w:left="1874" w:hanging="360"/>
      </w:pPr>
      <w:rPr>
        <w:rFonts w:ascii="Courier New" w:hAnsi="Courier New" w:cs="Courier New" w:hint="default"/>
      </w:rPr>
    </w:lvl>
    <w:lvl w:ilvl="2" w:tplc="04220005" w:tentative="1">
      <w:start w:val="1"/>
      <w:numFmt w:val="bullet"/>
      <w:lvlText w:val=""/>
      <w:lvlJc w:val="left"/>
      <w:pPr>
        <w:ind w:left="2594" w:hanging="360"/>
      </w:pPr>
      <w:rPr>
        <w:rFonts w:ascii="Wingdings" w:hAnsi="Wingdings" w:hint="default"/>
      </w:rPr>
    </w:lvl>
    <w:lvl w:ilvl="3" w:tplc="04220001" w:tentative="1">
      <w:start w:val="1"/>
      <w:numFmt w:val="bullet"/>
      <w:lvlText w:val=""/>
      <w:lvlJc w:val="left"/>
      <w:pPr>
        <w:ind w:left="3314" w:hanging="360"/>
      </w:pPr>
      <w:rPr>
        <w:rFonts w:ascii="Symbol" w:hAnsi="Symbol" w:hint="default"/>
      </w:rPr>
    </w:lvl>
    <w:lvl w:ilvl="4" w:tplc="04220003" w:tentative="1">
      <w:start w:val="1"/>
      <w:numFmt w:val="bullet"/>
      <w:lvlText w:val="o"/>
      <w:lvlJc w:val="left"/>
      <w:pPr>
        <w:ind w:left="4034" w:hanging="360"/>
      </w:pPr>
      <w:rPr>
        <w:rFonts w:ascii="Courier New" w:hAnsi="Courier New" w:cs="Courier New" w:hint="default"/>
      </w:rPr>
    </w:lvl>
    <w:lvl w:ilvl="5" w:tplc="04220005" w:tentative="1">
      <w:start w:val="1"/>
      <w:numFmt w:val="bullet"/>
      <w:lvlText w:val=""/>
      <w:lvlJc w:val="left"/>
      <w:pPr>
        <w:ind w:left="4754" w:hanging="360"/>
      </w:pPr>
      <w:rPr>
        <w:rFonts w:ascii="Wingdings" w:hAnsi="Wingdings" w:hint="default"/>
      </w:rPr>
    </w:lvl>
    <w:lvl w:ilvl="6" w:tplc="04220001" w:tentative="1">
      <w:start w:val="1"/>
      <w:numFmt w:val="bullet"/>
      <w:lvlText w:val=""/>
      <w:lvlJc w:val="left"/>
      <w:pPr>
        <w:ind w:left="5474" w:hanging="360"/>
      </w:pPr>
      <w:rPr>
        <w:rFonts w:ascii="Symbol" w:hAnsi="Symbol" w:hint="default"/>
      </w:rPr>
    </w:lvl>
    <w:lvl w:ilvl="7" w:tplc="04220003" w:tentative="1">
      <w:start w:val="1"/>
      <w:numFmt w:val="bullet"/>
      <w:lvlText w:val="o"/>
      <w:lvlJc w:val="left"/>
      <w:pPr>
        <w:ind w:left="6194" w:hanging="360"/>
      </w:pPr>
      <w:rPr>
        <w:rFonts w:ascii="Courier New" w:hAnsi="Courier New" w:cs="Courier New" w:hint="default"/>
      </w:rPr>
    </w:lvl>
    <w:lvl w:ilvl="8" w:tplc="04220005" w:tentative="1">
      <w:start w:val="1"/>
      <w:numFmt w:val="bullet"/>
      <w:lvlText w:val=""/>
      <w:lvlJc w:val="left"/>
      <w:pPr>
        <w:ind w:left="6914" w:hanging="360"/>
      </w:pPr>
      <w:rPr>
        <w:rFonts w:ascii="Wingdings" w:hAnsi="Wingdings" w:hint="default"/>
      </w:rPr>
    </w:lvl>
  </w:abstractNum>
  <w:abstractNum w:abstractNumId="1"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B8"/>
    <w:rsid w:val="001433EE"/>
    <w:rsid w:val="001B72D8"/>
    <w:rsid w:val="00217105"/>
    <w:rsid w:val="003036AC"/>
    <w:rsid w:val="00320DF1"/>
    <w:rsid w:val="00345D6C"/>
    <w:rsid w:val="003B3BB3"/>
    <w:rsid w:val="00403F54"/>
    <w:rsid w:val="00404636"/>
    <w:rsid w:val="00450394"/>
    <w:rsid w:val="005071F2"/>
    <w:rsid w:val="005C36BD"/>
    <w:rsid w:val="0060209C"/>
    <w:rsid w:val="00624C76"/>
    <w:rsid w:val="0063434C"/>
    <w:rsid w:val="00634846"/>
    <w:rsid w:val="006B2D10"/>
    <w:rsid w:val="0072720A"/>
    <w:rsid w:val="007418E9"/>
    <w:rsid w:val="007875C2"/>
    <w:rsid w:val="007D2A2A"/>
    <w:rsid w:val="007E04DF"/>
    <w:rsid w:val="008009B8"/>
    <w:rsid w:val="008B5A19"/>
    <w:rsid w:val="008F308B"/>
    <w:rsid w:val="00980A90"/>
    <w:rsid w:val="009978D4"/>
    <w:rsid w:val="009D4404"/>
    <w:rsid w:val="00A83518"/>
    <w:rsid w:val="00AA6628"/>
    <w:rsid w:val="00B643D5"/>
    <w:rsid w:val="00B851D3"/>
    <w:rsid w:val="00BA0D01"/>
    <w:rsid w:val="00C12CC9"/>
    <w:rsid w:val="00C8349F"/>
    <w:rsid w:val="00DB075E"/>
    <w:rsid w:val="00E259D9"/>
    <w:rsid w:val="00EC2E90"/>
    <w:rsid w:val="00FC40DA"/>
    <w:rsid w:val="00FC7E64"/>
    <w:rsid w:val="00FF7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1646"/>
  <w15:chartTrackingRefBased/>
  <w15:docId w15:val="{9F6EA824-04E4-43D7-8F33-B9245E90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9B8"/>
    <w:pPr>
      <w:spacing w:after="0" w:line="240" w:lineRule="auto"/>
    </w:pPr>
    <w:rPr>
      <w:rFonts w:ascii="Times New Roman" w:eastAsia="Times New Roman" w:hAnsi="Times New Roman" w:cs="Times New Roman"/>
      <w:sz w:val="28"/>
      <w:szCs w:val="28"/>
      <w:lang w:val="en-US" w:eastAsia="ru-RU"/>
    </w:rPr>
  </w:style>
  <w:style w:type="paragraph" w:styleId="3">
    <w:name w:val="heading 3"/>
    <w:basedOn w:val="a"/>
    <w:link w:val="30"/>
    <w:qFormat/>
    <w:rsid w:val="008009B8"/>
    <w:pPr>
      <w:spacing w:before="100" w:beforeAutospacing="1" w:after="100" w:afterAutospacing="1"/>
      <w:outlineLvl w:val="2"/>
    </w:pPr>
    <w:rPr>
      <w:rFonts w:eastAsia="MS Mincho"/>
      <w:b/>
      <w:bCs/>
      <w:sz w:val="27"/>
      <w:szCs w:val="27"/>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09B8"/>
    <w:rPr>
      <w:rFonts w:ascii="Times New Roman" w:eastAsia="MS Mincho" w:hAnsi="Times New Roman" w:cs="Times New Roman"/>
      <w:b/>
      <w:bCs/>
      <w:sz w:val="27"/>
      <w:szCs w:val="27"/>
      <w:lang w:val="ru-RU" w:eastAsia="ja-JP"/>
    </w:rPr>
  </w:style>
  <w:style w:type="paragraph" w:styleId="a3">
    <w:name w:val="header"/>
    <w:basedOn w:val="a"/>
    <w:link w:val="a4"/>
    <w:uiPriority w:val="99"/>
    <w:rsid w:val="008009B8"/>
    <w:pPr>
      <w:tabs>
        <w:tab w:val="center" w:pos="4677"/>
        <w:tab w:val="right" w:pos="9355"/>
      </w:tabs>
    </w:pPr>
  </w:style>
  <w:style w:type="character" w:customStyle="1" w:styleId="a4">
    <w:name w:val="Верхній колонтитул Знак"/>
    <w:basedOn w:val="a0"/>
    <w:link w:val="a3"/>
    <w:uiPriority w:val="99"/>
    <w:rsid w:val="008009B8"/>
    <w:rPr>
      <w:rFonts w:ascii="Times New Roman" w:eastAsia="Times New Roman" w:hAnsi="Times New Roman" w:cs="Times New Roman"/>
      <w:sz w:val="28"/>
      <w:szCs w:val="28"/>
      <w:lang w:val="en-US" w:eastAsia="ru-RU"/>
    </w:rPr>
  </w:style>
  <w:style w:type="paragraph" w:styleId="a5">
    <w:name w:val="footer"/>
    <w:basedOn w:val="a"/>
    <w:link w:val="a6"/>
    <w:uiPriority w:val="99"/>
    <w:rsid w:val="008009B8"/>
    <w:pPr>
      <w:tabs>
        <w:tab w:val="center" w:pos="4677"/>
        <w:tab w:val="right" w:pos="9355"/>
      </w:tabs>
    </w:pPr>
  </w:style>
  <w:style w:type="character" w:customStyle="1" w:styleId="a6">
    <w:name w:val="Нижній колонтитул Знак"/>
    <w:basedOn w:val="a0"/>
    <w:link w:val="a5"/>
    <w:uiPriority w:val="99"/>
    <w:rsid w:val="008009B8"/>
    <w:rPr>
      <w:rFonts w:ascii="Times New Roman" w:eastAsia="Times New Roman" w:hAnsi="Times New Roman" w:cs="Times New Roman"/>
      <w:sz w:val="28"/>
      <w:szCs w:val="28"/>
      <w:lang w:val="en-US" w:eastAsia="ru-RU"/>
    </w:rPr>
  </w:style>
  <w:style w:type="paragraph" w:styleId="a7">
    <w:name w:val="Body Text"/>
    <w:basedOn w:val="a"/>
    <w:link w:val="a8"/>
    <w:rsid w:val="008009B8"/>
    <w:pPr>
      <w:spacing w:after="120"/>
    </w:pPr>
  </w:style>
  <w:style w:type="character" w:customStyle="1" w:styleId="a8">
    <w:name w:val="Основний текст Знак"/>
    <w:basedOn w:val="a0"/>
    <w:link w:val="a7"/>
    <w:rsid w:val="008009B8"/>
    <w:rPr>
      <w:rFonts w:ascii="Times New Roman" w:eastAsia="Times New Roman" w:hAnsi="Times New Roman" w:cs="Times New Roman"/>
      <w:sz w:val="28"/>
      <w:szCs w:val="28"/>
      <w:lang w:val="en-US" w:eastAsia="ru-RU"/>
    </w:rPr>
  </w:style>
  <w:style w:type="paragraph" w:styleId="a9">
    <w:name w:val="footnote text"/>
    <w:basedOn w:val="a"/>
    <w:link w:val="aa"/>
    <w:uiPriority w:val="99"/>
    <w:semiHidden/>
    <w:unhideWhenUsed/>
    <w:rsid w:val="001B72D8"/>
    <w:rPr>
      <w:sz w:val="20"/>
      <w:szCs w:val="20"/>
    </w:rPr>
  </w:style>
  <w:style w:type="character" w:customStyle="1" w:styleId="aa">
    <w:name w:val="Текст виноски Знак"/>
    <w:basedOn w:val="a0"/>
    <w:link w:val="a9"/>
    <w:uiPriority w:val="99"/>
    <w:semiHidden/>
    <w:rsid w:val="001B72D8"/>
    <w:rPr>
      <w:rFonts w:ascii="Times New Roman" w:eastAsia="Times New Roman" w:hAnsi="Times New Roman" w:cs="Times New Roman"/>
      <w:sz w:val="20"/>
      <w:szCs w:val="20"/>
      <w:lang w:val="en-US" w:eastAsia="ru-RU"/>
    </w:rPr>
  </w:style>
  <w:style w:type="character" w:styleId="ab">
    <w:name w:val="footnote reference"/>
    <w:basedOn w:val="a0"/>
    <w:uiPriority w:val="99"/>
    <w:semiHidden/>
    <w:unhideWhenUsed/>
    <w:rsid w:val="001B7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6517">
      <w:bodyDiv w:val="1"/>
      <w:marLeft w:val="0"/>
      <w:marRight w:val="0"/>
      <w:marTop w:val="0"/>
      <w:marBottom w:val="0"/>
      <w:divBdr>
        <w:top w:val="none" w:sz="0" w:space="0" w:color="auto"/>
        <w:left w:val="none" w:sz="0" w:space="0" w:color="auto"/>
        <w:bottom w:val="none" w:sz="0" w:space="0" w:color="auto"/>
        <w:right w:val="none" w:sz="0" w:space="0" w:color="auto"/>
      </w:divBdr>
    </w:div>
    <w:div w:id="608664920">
      <w:bodyDiv w:val="1"/>
      <w:marLeft w:val="0"/>
      <w:marRight w:val="0"/>
      <w:marTop w:val="0"/>
      <w:marBottom w:val="0"/>
      <w:divBdr>
        <w:top w:val="none" w:sz="0" w:space="0" w:color="auto"/>
        <w:left w:val="none" w:sz="0" w:space="0" w:color="auto"/>
        <w:bottom w:val="none" w:sz="0" w:space="0" w:color="auto"/>
        <w:right w:val="none" w:sz="0" w:space="0" w:color="auto"/>
      </w:divBdr>
    </w:div>
    <w:div w:id="745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Pages>
  <Words>2293</Words>
  <Characters>1308</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Фостик Богдан Володимирович</dc:creator>
  <cp:keywords/>
  <dc:description/>
  <cp:lastModifiedBy>Фостик Богдан Володимирович</cp:lastModifiedBy>
  <cp:revision>10</cp:revision>
  <dcterms:created xsi:type="dcterms:W3CDTF">2021-10-12T13:38:00Z</dcterms:created>
  <dcterms:modified xsi:type="dcterms:W3CDTF">2021-12-15T12:31:00Z</dcterms:modified>
</cp:coreProperties>
</file>