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058E6" w:rsidRDefault="00C33475">
      <w:pPr>
        <w:ind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ПОЯСНЮВАЛЬНА ЗАПИСКА </w:t>
      </w:r>
    </w:p>
    <w:p w14:paraId="00000002" w14:textId="77777777" w:rsidR="00F058E6" w:rsidRDefault="00C33475">
      <w:pPr>
        <w:ind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3" w14:textId="77777777" w:rsidR="00F058E6" w:rsidRDefault="00C33475">
      <w:pPr>
        <w:ind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Постанови Верховної Ради України «Про запровадження заходів для підвищення рівня поінформованості населення щодо профілактичних щеплень»</w:t>
      </w:r>
    </w:p>
    <w:p w14:paraId="00000004" w14:textId="77777777" w:rsidR="00F058E6" w:rsidRDefault="00F058E6">
      <w:pPr>
        <w:ind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77777777" w:rsidR="00F058E6" w:rsidRDefault="00F058E6">
      <w:pPr>
        <w:ind w:firstLine="566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F058E6" w:rsidRDefault="00C33475">
      <w:pPr>
        <w:numPr>
          <w:ilvl w:val="0"/>
          <w:numId w:val="2"/>
        </w:numPr>
        <w:ind w:hanging="15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Обґрунтування необхідності прийняття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0000007" w14:textId="77777777" w:rsidR="00F058E6" w:rsidRDefault="00F058E6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F058E6" w:rsidRDefault="00C3347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Вакцинація під час пандемії COVID-19 продемонструвала наявність системної проблеми в Україні щодо низького рівня поінформованості населення про механізм дії щеплень та їх ефективність. </w:t>
      </w:r>
    </w:p>
    <w:p w14:paraId="00000009" w14:textId="77777777" w:rsidR="00F058E6" w:rsidRDefault="00C3347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Низький рівень обізнаності є передумовою до легковірного сприйняття не</w:t>
      </w:r>
      <w:r>
        <w:rPr>
          <w:rFonts w:ascii="Times New Roman" w:eastAsia="Times New Roman" w:hAnsi="Times New Roman" w:cs="Times New Roman"/>
          <w:sz w:val="28"/>
          <w:szCs w:val="28"/>
        </w:rPr>
        <w:t>гативної недостовірної інформації про наслідки щеплень, яку періодично публікують у ЗМІ та соціальних мережах.</w:t>
      </w:r>
    </w:p>
    <w:p w14:paraId="0000000A" w14:textId="77777777" w:rsidR="00F058E6" w:rsidRDefault="00C3347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 наслідок, рівень вакцинації від COVID-19 в Україні стабільно залишається найнижчим в Європі і одним із найнижчих у світі, в окремих регіонах У</w:t>
      </w:r>
      <w:r>
        <w:rPr>
          <w:rFonts w:ascii="Times New Roman" w:eastAsia="Times New Roman" w:hAnsi="Times New Roman" w:cs="Times New Roman"/>
          <w:sz w:val="28"/>
          <w:szCs w:val="28"/>
        </w:rPr>
        <w:t>країни відбуваються спалахи поліомієліту, а стабільно низький рівень вакцинації від кору спричиняє найвищі показники цього захворювання в Україні серед інших держав світу.</w:t>
      </w:r>
    </w:p>
    <w:p w14:paraId="0000000B" w14:textId="77777777" w:rsidR="00F058E6" w:rsidRDefault="00C3347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Періодичні дослідження ЮНІСЕФ показують, що великий вплив на рішення пацієнтів щодо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вакцинації себе та своїх дітей мають їх сімейні лікарі та педіатри. </w:t>
      </w:r>
    </w:p>
    <w:p w14:paraId="0000000C" w14:textId="77777777" w:rsidR="00F058E6" w:rsidRDefault="00C3347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прикладу, опитування «Ставлення до вакцинації від COVID-19», проведене в березні 2021 року дослідницькою агенцією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Sapiens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підтримки Агентства США з міжнародного розвитку (USAID</w:t>
      </w:r>
      <w:r>
        <w:rPr>
          <w:rFonts w:ascii="Times New Roman" w:eastAsia="Times New Roman" w:hAnsi="Times New Roman" w:cs="Times New Roman"/>
          <w:sz w:val="28"/>
          <w:szCs w:val="28"/>
        </w:rPr>
        <w:t>), показало, що 64% українців загалом і 72% людей від 60 років дослухаються до порад сімейного лікаря, приймаючи рішення про щеплення.</w:t>
      </w:r>
    </w:p>
    <w:p w14:paraId="0000000D" w14:textId="77777777" w:rsidR="00F058E6" w:rsidRDefault="00C3347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 демонструє необхідність залучення лікарів, що надають первинну медичну допомогу (лікарів загальної практики - сімейних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лікарів, лікарів-педіатрів, лікарів-терапевтів) до кампанії інформування про ефективність профілактичних щеплень, зокрема щеплень від COVID-19.</w:t>
      </w:r>
    </w:p>
    <w:p w14:paraId="0000000E" w14:textId="77777777" w:rsidR="00F058E6" w:rsidRDefault="00C3347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цього, органи виконавчої влади повинні прийняти необхідні нормативні-правові акти щодо порядку та принципів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проведення інформування, забезпечити створення та ефективну роботу контакт-центру для загального інформування населення, забезпечити проведення заходів безперервного професійного розвитку для лікарів та встановити грошові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виплати за ефективно проведене ін</w:t>
      </w:r>
      <w:r>
        <w:rPr>
          <w:rFonts w:ascii="Times New Roman" w:eastAsia="Times New Roman" w:hAnsi="Times New Roman" w:cs="Times New Roman"/>
          <w:sz w:val="28"/>
          <w:szCs w:val="28"/>
        </w:rPr>
        <w:t>формування лікарями їх пацієнтів, при досягненні встановлених показників охоплення пацієнтів щепленнями.</w:t>
      </w:r>
    </w:p>
    <w:p w14:paraId="0000000F" w14:textId="77777777" w:rsidR="00F058E6" w:rsidRDefault="00F058E6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F058E6" w:rsidRDefault="00C33475">
      <w:pPr>
        <w:ind w:firstLine="56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Мета і цілі прийняття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0000011" w14:textId="77777777" w:rsidR="00F058E6" w:rsidRDefault="00F058E6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F058E6" w:rsidRDefault="00C33475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підвищення рівня охоплення щепленнями населення України через ефективне інформування про профілактичні 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плення, їх ефективність та безпечність. </w:t>
      </w:r>
    </w:p>
    <w:p w14:paraId="00000013" w14:textId="77777777" w:rsidR="00F058E6" w:rsidRDefault="00C33475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досягнення цієї мети поставлено декілька цілей, серед яких:</w:t>
      </w:r>
    </w:p>
    <w:p w14:paraId="00000014" w14:textId="77777777" w:rsidR="00F058E6" w:rsidRDefault="00C3347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прийняти н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ормативно-правовий акт, яким передбачається встановлення грошових виплат лікарям первинної медичної допомоги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а досягнення показників імуніза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ції населення, вищих за цільові;</w:t>
      </w:r>
    </w:p>
    <w:p w14:paraId="00000015" w14:textId="77777777" w:rsidR="00F058E6" w:rsidRDefault="00C3347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організувати роботу </w:t>
      </w:r>
      <w:r>
        <w:rPr>
          <w:rFonts w:ascii="Times New Roman" w:eastAsia="Times New Roman" w:hAnsi="Times New Roman" w:cs="Times New Roman"/>
          <w:sz w:val="28"/>
          <w:szCs w:val="28"/>
        </w:rPr>
        <w:t>контакт-центру для інформування населення про ефективність та безпечність вакцин, механізм їх дії, медичні протипоказання, побічні реакції від вакцинації, забезпечити інформування та підготовку працівник</w:t>
      </w:r>
      <w:r>
        <w:rPr>
          <w:rFonts w:ascii="Times New Roman" w:eastAsia="Times New Roman" w:hAnsi="Times New Roman" w:cs="Times New Roman"/>
          <w:sz w:val="28"/>
          <w:szCs w:val="28"/>
        </w:rPr>
        <w:t>ів цього контакт-центру;</w:t>
      </w:r>
    </w:p>
    <w:p w14:paraId="00000016" w14:textId="77777777" w:rsidR="00F058E6" w:rsidRDefault="00C3347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організувати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проведення заходів БПР щодо профілактичних щеплень для лікарів, що надають первинну медичну допомогу, відповідно до рекомендацій ВООЗ.</w:t>
      </w:r>
    </w:p>
    <w:p w14:paraId="00000017" w14:textId="77777777" w:rsidR="00F058E6" w:rsidRDefault="00F058E6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F058E6" w:rsidRDefault="00C33475">
      <w:pPr>
        <w:ind w:firstLine="56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Загальна характеристика та основні положення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0000019" w14:textId="77777777" w:rsidR="00F058E6" w:rsidRDefault="00C3347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Постанови пропонується постановити:</w:t>
      </w:r>
    </w:p>
    <w:p w14:paraId="0000001A" w14:textId="77777777" w:rsidR="00F058E6" w:rsidRDefault="00C3347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Кабінету Міністрів України доручити:</w:t>
      </w:r>
    </w:p>
    <w:p w14:paraId="0000001B" w14:textId="77777777" w:rsidR="00F058E6" w:rsidRDefault="00C33475">
      <w:pPr>
        <w:ind w:firstLine="72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МОЗ та НСЗУ – невідкладно протягом місяця розробити та подати на затвердження акт, для встановлення грошових виплат лікарям первинної медичної допомоги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а досягнення по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казників імунізації населення, вищих за цільові.</w:t>
      </w:r>
    </w:p>
    <w:p w14:paraId="0000001C" w14:textId="77777777" w:rsidR="00F058E6" w:rsidRDefault="00C33475">
      <w:pPr>
        <w:ind w:firstLine="72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2) МОЗ –  невідкладно протягом місяця:</w:t>
      </w:r>
    </w:p>
    <w:p w14:paraId="0000001D" w14:textId="77777777" w:rsidR="00F058E6" w:rsidRDefault="00C3347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організувати роботу </w:t>
      </w:r>
      <w:r>
        <w:rPr>
          <w:rFonts w:ascii="Times New Roman" w:eastAsia="Times New Roman" w:hAnsi="Times New Roman" w:cs="Times New Roman"/>
          <w:sz w:val="28"/>
          <w:szCs w:val="28"/>
        </w:rPr>
        <w:t>контакт-центру для інформування населення про ефективність та безпечність вакцин, механізм їх дії, медичні протипоказання, побічні реакції і наслідк</w:t>
      </w:r>
      <w:r>
        <w:rPr>
          <w:rFonts w:ascii="Times New Roman" w:eastAsia="Times New Roman" w:hAnsi="Times New Roman" w:cs="Times New Roman"/>
          <w:sz w:val="28"/>
          <w:szCs w:val="28"/>
        </w:rPr>
        <w:t>и відмови від вакцинації;</w:t>
      </w:r>
    </w:p>
    <w:p w14:paraId="0000001E" w14:textId="77777777" w:rsidR="00F058E6" w:rsidRDefault="00C3347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забезпечити належний професійний рівень, спеціальну підготовку, ознайомлення з нормативно-правовими актами щодо щеплення та наявність необхідних матеріалів у працівників контакт-центру, які добровільно зголосились на цю роботу;</w:t>
      </w:r>
    </w:p>
    <w:p w14:paraId="0000001F" w14:textId="77777777" w:rsidR="00F058E6" w:rsidRDefault="00C3347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забезпечити належну оплату праці працівників контакт-центру;</w:t>
      </w:r>
    </w:p>
    <w:p w14:paraId="00000020" w14:textId="77777777" w:rsidR="00F058E6" w:rsidRDefault="00C3347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організувати нагляд, моніторинг та оцінку інформування працівниками контакт-центру;</w:t>
      </w:r>
    </w:p>
    <w:p w14:paraId="00000021" w14:textId="77777777" w:rsidR="00F058E6" w:rsidRDefault="00C3347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організувати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проведення заходів БПР для лікарів щодо профілактичних щеплень, відповідно до рекомендацій ВООЗ, 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кі охоплюватимуть теми щодо ефективності та безпеки вакцин, протипоказання до щеплення, графіки імунізації, відомості про характеристики, управління складом, дозування, введення вакцин, температурні вимоги до зберігання та транспортування, інформацію щодо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моніторингу холодового ланцюга, вимоги до обліку та звітування, моніторинг НППІ тощо; </w:t>
      </w:r>
    </w:p>
    <w:p w14:paraId="00000022" w14:textId="77777777" w:rsidR="00F058E6" w:rsidRDefault="00C33475">
      <w:pPr>
        <w:ind w:firstLine="72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забезпечити контроль відповідності програм БПР лікарів рекомендаціям ВООЗ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0000023" w14:textId="77777777" w:rsidR="00F058E6" w:rsidRDefault="00C3347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2. Кабінету Міністрів України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highlight w:val="white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зяти на контроль належне виконання Постанови 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МОЗ та НСЗУ та заб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езпечити реалізацію Постанови.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14:paraId="00000024" w14:textId="77777777" w:rsidR="00F058E6" w:rsidRDefault="00F058E6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00000025" w14:textId="77777777" w:rsidR="00F058E6" w:rsidRDefault="00C33475">
      <w:pPr>
        <w:ind w:firstLine="56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Стан нормативно-правової бази.</w:t>
      </w:r>
    </w:p>
    <w:p w14:paraId="00000026" w14:textId="77777777" w:rsidR="00F058E6" w:rsidRDefault="00F058E6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7" w14:textId="77777777" w:rsidR="00F058E6" w:rsidRDefault="00C33475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Нормативно-правове регулювання у даній сфері охоплює Закон України «Основи законодавства України про охорону здоров’я», Закон України «Про забезпечення санітарного та епідемічного благопол</w:t>
      </w:r>
      <w:r>
        <w:rPr>
          <w:rFonts w:ascii="Times New Roman" w:eastAsia="Times New Roman" w:hAnsi="Times New Roman" w:cs="Times New Roman"/>
          <w:sz w:val="28"/>
          <w:szCs w:val="28"/>
        </w:rPr>
        <w:t>уччя населення», Закон України «Про державні фінансові гарантії медичного обслуговування населення», постанови Кабінету Міністрів України, накази Міністерства охорони здоров'я, накази Національної служби здоров'я України тощо.</w:t>
      </w:r>
    </w:p>
    <w:p w14:paraId="00000028" w14:textId="77777777" w:rsidR="00F058E6" w:rsidRDefault="00F058E6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9" w14:textId="77777777" w:rsidR="00F058E6" w:rsidRDefault="00C33475">
      <w:pPr>
        <w:ind w:firstLine="56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Фінансово-економічне обґр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унтування.</w:t>
      </w:r>
    </w:p>
    <w:p w14:paraId="0000002A" w14:textId="77777777" w:rsidR="00F058E6" w:rsidRDefault="00F058E6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B" w14:textId="77777777" w:rsidR="00F058E6" w:rsidRDefault="00C33475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Фінансування заходів, передбачених цією постановою здійснюватиметься за рахунок коштів, виділених на Програму медичних гарантій.</w:t>
      </w:r>
    </w:p>
    <w:p w14:paraId="0000002C" w14:textId="77777777" w:rsidR="00F058E6" w:rsidRDefault="00F058E6">
      <w:pPr>
        <w:ind w:firstLine="566"/>
        <w:rPr>
          <w:rFonts w:ascii="Times New Roman" w:eastAsia="Times New Roman" w:hAnsi="Times New Roman" w:cs="Times New Roman"/>
          <w:sz w:val="28"/>
          <w:szCs w:val="28"/>
        </w:rPr>
      </w:pPr>
    </w:p>
    <w:p w14:paraId="0000002D" w14:textId="77777777" w:rsidR="00F058E6" w:rsidRDefault="00C33475">
      <w:pPr>
        <w:ind w:firstLine="56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Прогноз соціально-економічних та інших наслідків прийняття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000002E" w14:textId="77777777" w:rsidR="00F058E6" w:rsidRDefault="00F058E6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F" w14:textId="77777777" w:rsidR="00F058E6" w:rsidRDefault="00C33475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Прийняття Постанови створить правові передумо</w:t>
      </w:r>
      <w:r>
        <w:rPr>
          <w:rFonts w:ascii="Times New Roman" w:eastAsia="Times New Roman" w:hAnsi="Times New Roman" w:cs="Times New Roman"/>
          <w:sz w:val="28"/>
          <w:szCs w:val="28"/>
        </w:rPr>
        <w:t>ви для проведення ефективної інформаційної кампанії щодо вакцинації в Україні.</w:t>
      </w:r>
    </w:p>
    <w:p w14:paraId="00000030" w14:textId="77777777" w:rsidR="00F058E6" w:rsidRDefault="00C33475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 є необхідним для підвищення рівня щеплень, проведених  населенню, і формування колективного імунітету до смертельно небезпечних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хвороб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31" w14:textId="77777777" w:rsidR="00F058E6" w:rsidRDefault="00C33475">
      <w:pPr>
        <w:ind w:firstLine="566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Особливо важливим це є в умовах пандемії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highlight w:val="white"/>
        </w:rPr>
        <w:t xml:space="preserve">гострої респіраторної хвороби COVID-19, спричиненої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highlight w:val="white"/>
        </w:rPr>
        <w:t>коронавірусом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highlight w:val="white"/>
        </w:rPr>
        <w:t xml:space="preserve"> SARS-CoV-2 та спалахів поліомієліту в Україні. </w:t>
      </w:r>
    </w:p>
    <w:p w14:paraId="00000032" w14:textId="77777777" w:rsidR="00F058E6" w:rsidRDefault="00C33475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 результат  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–  реалізація заходів, передбачених постановою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сприятиме виконання обов'язку держави захищати життя людей, закріпленому у статті 27 Конституції України.</w:t>
      </w:r>
    </w:p>
    <w:p w14:paraId="00000033" w14:textId="77777777" w:rsidR="00F058E6" w:rsidRDefault="00C33475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Крім цього, формування колективного імунітету через досягнення необхідного рівня охоплення щепленнями потрібне для припинення обмежувальних заходів, </w:t>
      </w:r>
      <w:r>
        <w:rPr>
          <w:rFonts w:ascii="Times New Roman" w:eastAsia="Times New Roman" w:hAnsi="Times New Roman" w:cs="Times New Roman"/>
          <w:sz w:val="28"/>
          <w:szCs w:val="28"/>
        </w:rPr>
        <w:t>які мають негативний вплив на сферу освіти, економіки, культури та інші вагомі сфери суспільного життя. Зважаючи на це, прийняття Постанови і реалізація заходів, передбачених нею, в перспективі матиме позитивний вплив і на ці сфери.</w:t>
      </w:r>
    </w:p>
    <w:p w14:paraId="00000034" w14:textId="77777777" w:rsidR="00F058E6" w:rsidRDefault="00F058E6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5" w14:textId="77777777" w:rsidR="00F058E6" w:rsidRDefault="00F058E6">
      <w:pPr>
        <w:ind w:firstLine="566"/>
        <w:rPr>
          <w:sz w:val="28"/>
          <w:szCs w:val="28"/>
        </w:rPr>
      </w:pPr>
    </w:p>
    <w:p w14:paraId="00000036" w14:textId="77777777" w:rsidR="00F058E6" w:rsidRDefault="00C3347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Народні депутати Укра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їни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37" w14:textId="77777777" w:rsidR="00F058E6" w:rsidRDefault="00C33475"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Совсун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І.Р.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№223)</w:t>
      </w:r>
    </w:p>
    <w:p w14:paraId="00000038" w14:textId="77777777" w:rsidR="00F058E6" w:rsidRDefault="00F058E6"/>
    <w:p w14:paraId="00000039" w14:textId="77777777" w:rsidR="00F058E6" w:rsidRDefault="00F058E6"/>
    <w:p w14:paraId="0000003A" w14:textId="77777777" w:rsidR="00F058E6" w:rsidRDefault="00F058E6"/>
    <w:p w14:paraId="0000003B" w14:textId="77777777" w:rsidR="00F058E6" w:rsidRDefault="00C33475">
      <w:r>
        <w:t>.</w:t>
      </w:r>
    </w:p>
    <w:p w14:paraId="0000003C" w14:textId="77777777" w:rsidR="00F058E6" w:rsidRDefault="00F058E6"/>
    <w:sectPr w:rsidR="00F058E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228B"/>
    <w:multiLevelType w:val="multilevel"/>
    <w:tmpl w:val="E766CA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1D5794"/>
    <w:multiLevelType w:val="multilevel"/>
    <w:tmpl w:val="1C1E31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E6"/>
    <w:rsid w:val="00C33475"/>
    <w:rsid w:val="00F0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D9BF3-79EF-432E-8CE3-354EEFCA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CD7917-2A3D-444C-9B6B-BB73434EF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F010FE-69A4-4D6A-A12C-9D56D6075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4CB74-F24F-4FC7-8A93-1FB35D421E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4008</Words>
  <Characters>2285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2021-11-22T08:48:00Z</dcterms:created>
  <dcterms:modified xsi:type="dcterms:W3CDTF">2021-11-22T08:48:00Z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