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3B1D" w14:textId="77777777" w:rsidR="00A91137" w:rsidRPr="00DF1057" w:rsidRDefault="00A91137" w:rsidP="00A91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3"/>
      <w:bookmarkStart w:id="1" w:name="_GoBack"/>
      <w:bookmarkEnd w:id="0"/>
      <w:bookmarkEnd w:id="1"/>
      <w:r w:rsidRPr="00DF10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Проект </w:t>
      </w:r>
    </w:p>
    <w:p w14:paraId="5C98A2A6" w14:textId="77777777" w:rsidR="00A91137" w:rsidRDefault="00A91137" w:rsidP="00A91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105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вноситься народними депутатами України</w:t>
      </w:r>
    </w:p>
    <w:p w14:paraId="66A48F59" w14:textId="77777777" w:rsidR="00DF1057" w:rsidRPr="00DF1057" w:rsidRDefault="00DF1057" w:rsidP="004E3C75">
      <w:pPr>
        <w:widowControl w:val="0"/>
        <w:autoSpaceDE w:val="0"/>
        <w:autoSpaceDN w:val="0"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1C2964" w14:textId="77777777" w:rsidR="00A91137" w:rsidRPr="00DF1057" w:rsidRDefault="00A91137" w:rsidP="00A91137">
      <w:pPr>
        <w:widowControl w:val="0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05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УКРАЇНИ</w:t>
      </w:r>
    </w:p>
    <w:p w14:paraId="1D6CB5ED" w14:textId="77777777" w:rsidR="00A91137" w:rsidRPr="00DF1057" w:rsidRDefault="00A91137" w:rsidP="00A91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E8BFB58" w14:textId="41D858A7" w:rsidR="006F1704" w:rsidRPr="00927ED7" w:rsidRDefault="006F1704" w:rsidP="006F1704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55BF8" w:rsidRPr="00927ED7">
        <w:rPr>
          <w:rFonts w:ascii="Times New Roman" w:hAnsi="Times New Roman" w:cs="Times New Roman"/>
          <w:b/>
          <w:bCs/>
          <w:sz w:val="28"/>
          <w:szCs w:val="28"/>
        </w:rPr>
        <w:t>Про внесення змін  до   деяких законодавчих актів України  щодо спрощення адміністрування  податків, зборів та інших платежів  для державної  підтримки  малого та середнього бізнесу</w:t>
      </w:r>
      <w:r w:rsidRPr="00927ED7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p w14:paraId="0B364C4B" w14:textId="77777777" w:rsidR="00A91137" w:rsidRPr="00DF1057" w:rsidRDefault="00A91137" w:rsidP="00A91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55564C5" w14:textId="5EC0DE95" w:rsidR="00715296" w:rsidRDefault="00715296" w:rsidP="007152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807ACA9" w14:textId="77777777" w:rsidR="00715296" w:rsidRDefault="00715296" w:rsidP="00715296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77BA17" w14:textId="77777777" w:rsidR="00715296" w:rsidRDefault="00715296" w:rsidP="007152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Верховна Рада України постановляє:</w:t>
      </w:r>
    </w:p>
    <w:p w14:paraId="312AF75F" w14:textId="77777777" w:rsidR="00715296" w:rsidRDefault="00715296" w:rsidP="00715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Внести до Податкового кодексу України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8"/>
        </w:rPr>
        <w:t>Відомості Верховної Ради України, 2011 р., №№ 13-17, ст. 112) такі зміни:</w:t>
      </w:r>
    </w:p>
    <w:p w14:paraId="5860CA62" w14:textId="77777777" w:rsidR="00715296" w:rsidRDefault="00715296" w:rsidP="00715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44.1 статті 44 доповнити новим абзацом четвертим наступного змісту:</w:t>
      </w:r>
    </w:p>
    <w:p w14:paraId="1440E766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«Вимоги абзаців першого та другого цього пункту не поширюються на фізичних осіб – підприємців - платників єдиного податку першої і другої груп та на платників єдиного податку третьої групи, які не є платниками податку на додану вартість. »;</w:t>
      </w:r>
    </w:p>
    <w:p w14:paraId="18F9E6B5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296.10 статті 296 викласти у такій редакції:</w:t>
      </w:r>
    </w:p>
    <w:p w14:paraId="46147F80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«296.10. Реєстратори розрахункових операцій та/або програмні реєстратори розрахункових операцій не застосовуються платниками єдиного податку:</w:t>
      </w:r>
    </w:p>
    <w:p w14:paraId="1B6C31DC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першої групи;</w:t>
      </w:r>
    </w:p>
    <w:p w14:paraId="20C18F07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другої - четвертої груп (фізичними особами - підприємцями) незалежно від обраного виду діяльності, які не є платниками податку на додану вартість, у разі продажу товарів (надання послуг) за умови здійснення розрахунків за такі товари (послуги) за допомогою платіжних пристроїв (терміналів)». </w:t>
      </w:r>
    </w:p>
    <w:p w14:paraId="3C98CBAC" w14:textId="77777777" w:rsidR="00715296" w:rsidRDefault="00715296" w:rsidP="007152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Доповнити підрозділ 10 «Інші перехідні положення» Розділу ХХ «Прикінцеві положення» новим пунктом 69 такого змісту:</w:t>
      </w:r>
    </w:p>
    <w:p w14:paraId="4CCA4DF1" w14:textId="77777777" w:rsidR="00715296" w:rsidRDefault="00715296" w:rsidP="00715296">
      <w:pPr>
        <w:spacing w:before="60" w:after="60" w:line="276" w:lineRule="auto"/>
        <w:ind w:firstLine="3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«69. Вартість (ціна) реєстраторів розрахункових операцій та програмних реєстраторів розрахункових операцій (далі - РРО), а також програмного забезпечення до них, придбані фізичними особами-підприємцями - платниками єдиного податку другої-четвертої груп починаючи з дня, наступного за днем офіційного опублікування Закону України «Про внесення змін до Податкового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кодексу України та інших законодавчих актів України щодо забезпечення збалансованості бюджетних надходжень» від 30 листопада 2021 року № 1914-IX, та закінчуючи 1 квітням 2022 року (включно) зменшує суму податкових зобов’язань таких фізичних осіб  підприємців - платників єдиного податку другої-четвертої груп, нараховану за ставками єдиного податку згідно із статтею 293 цього Кодексу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наслідками податкового (звітного) періоду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якому РРО (програмне забезпечення) були придбані, а також наступних податкових (звітних) періодів, до повного відшкодування їхньої вартості (ціни).».</w:t>
      </w:r>
    </w:p>
    <w:p w14:paraId="081CE2D5" w14:textId="77777777" w:rsidR="00715296" w:rsidRDefault="00715296" w:rsidP="00715296">
      <w:pPr>
        <w:spacing w:before="60" w:after="60" w:line="276" w:lineRule="auto"/>
        <w:ind w:firstLine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36B568" w14:textId="77777777" w:rsidR="00715296" w:rsidRDefault="00715296" w:rsidP="00715296">
      <w:pPr>
        <w:spacing w:before="60" w:after="60" w:line="276" w:lineRule="auto"/>
        <w:ind w:firstLine="3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Прикінцеві положення</w:t>
      </w:r>
    </w:p>
    <w:p w14:paraId="68DA412D" w14:textId="77777777" w:rsidR="00715296" w:rsidRDefault="00715296" w:rsidP="00715296">
      <w:pPr>
        <w:shd w:val="clear" w:color="auto" w:fill="FFFFFF"/>
        <w:spacing w:before="60" w:after="60"/>
        <w:ind w:firstLine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0358DB" w14:textId="77777777" w:rsidR="00715296" w:rsidRDefault="00715296" w:rsidP="00715296">
      <w:pPr>
        <w:pStyle w:val="a3"/>
        <w:numPr>
          <w:ilvl w:val="0"/>
          <w:numId w:val="10"/>
        </w:numPr>
        <w:shd w:val="clear" w:color="auto" w:fill="FFFFFF"/>
        <w:spacing w:before="60" w:after="60" w:line="256" w:lineRule="auto"/>
        <w:ind w:left="0" w:firstLine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Цей Закон набирає чинності з дня наступного за днем його опублікування. </w:t>
      </w:r>
    </w:p>
    <w:p w14:paraId="5374868D" w14:textId="77777777" w:rsidR="00715296" w:rsidRDefault="00715296" w:rsidP="00715296">
      <w:pPr>
        <w:pStyle w:val="a3"/>
        <w:shd w:val="clear" w:color="auto" w:fill="FFFFFF"/>
        <w:spacing w:before="60" w:after="60"/>
        <w:ind w:lef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5AA385" w14:textId="77777777" w:rsidR="00715296" w:rsidRDefault="00715296" w:rsidP="00715296">
      <w:pPr>
        <w:pStyle w:val="a3"/>
        <w:numPr>
          <w:ilvl w:val="0"/>
          <w:numId w:val="10"/>
        </w:numPr>
        <w:shd w:val="clear" w:color="auto" w:fill="FFFFFF"/>
        <w:spacing w:before="60" w:after="6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зміни до таких законодавчих актів України:</w:t>
      </w:r>
    </w:p>
    <w:p w14:paraId="083FE60F" w14:textId="77777777" w:rsidR="00715296" w:rsidRDefault="00715296" w:rsidP="0071529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697E88" w14:textId="77777777" w:rsidR="00715296" w:rsidRDefault="00715296" w:rsidP="00715296">
      <w:pPr>
        <w:pStyle w:val="a3"/>
        <w:numPr>
          <w:ilvl w:val="0"/>
          <w:numId w:val="11"/>
        </w:numPr>
        <w:shd w:val="clear" w:color="auto" w:fill="FFFFFF"/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Законі України "Про застосування реєстраторів розрахункових операцій у сфері торгівлі, громадського харчування та послуг" (Відомості Верховної Ради України, 2000 р., № 38, ст. 315):</w:t>
      </w:r>
    </w:p>
    <w:p w14:paraId="6827D9E8" w14:textId="77777777" w:rsidR="00715296" w:rsidRDefault="00715296" w:rsidP="00715296">
      <w:pPr>
        <w:pStyle w:val="a3"/>
        <w:shd w:val="clear" w:color="auto" w:fill="FFFFFF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речення друге абзацу п’ятого статті 2  викласти в такій редакції:</w:t>
      </w:r>
    </w:p>
    <w:p w14:paraId="5BDF8374" w14:textId="77777777" w:rsidR="00715296" w:rsidRDefault="00715296" w:rsidP="00715296">
      <w:pPr>
        <w:pStyle w:val="a3"/>
        <w:shd w:val="clear" w:color="auto" w:fill="FFFFFF"/>
        <w:spacing w:before="60" w:after="60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 реєстраторів розрахункових операцій відносяться: електронний контрольно-касовий апарат, електронний контрольно-касовий реєстратор, вбудований електронний контрольно-касовий реєстратор, комп'ютерно-касова система, електронний таксометр, автомат з продажу товарів (послуг)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також інші платіжні пристрої (термінали) із застосуванням електронних платіжних засобів, які дозволяють ідентифікувати платника та отримувача;»; </w:t>
      </w:r>
    </w:p>
    <w:p w14:paraId="28C2E1BE" w14:textId="77777777" w:rsidR="00715296" w:rsidRDefault="00715296" w:rsidP="00715296">
      <w:pPr>
        <w:shd w:val="clear" w:color="auto" w:fill="FFFFFF"/>
        <w:spacing w:before="60" w:after="6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5AFF61" w14:textId="77777777" w:rsidR="00715296" w:rsidRDefault="00715296" w:rsidP="00715296">
      <w:pPr>
        <w:shd w:val="clear" w:color="auto" w:fill="FFFFFF"/>
        <w:spacing w:before="60" w:after="60"/>
        <w:ind w:left="720" w:hanging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статтю 9 доповнити новим пунктом 15 наступного змісту:</w:t>
      </w:r>
    </w:p>
    <w:p w14:paraId="5903FF68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«15) при продажу товарів (наданні послуг), розрахункові операції , за якими здійснені в безготівковій формі за допомогою платіжних пристроїв (терміналів) із застосуванням електронних платіжних  засобів.»;</w:t>
      </w:r>
    </w:p>
    <w:p w14:paraId="096A2A73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EB464F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розділ II «Прикінцеві положення» доповнити пунктом 12 такого змісту:</w:t>
      </w:r>
    </w:p>
    <w:p w14:paraId="04F517F3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«12. Тимчасово, до фізичних осіб-підприємців - платників єдиного податку другої-четвертої груп, які згідно пункту 61 розділу ХХ «Перехідні положення» Податкового кодексу України»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січня 2022 року були звільнені від обов’язку застосувати реєстратори розрахункових операцій/програмні реєстратори розрахункових операцій, та в яких з 1 січня 2022 року такий  обов’язок виник, за умови, що  такі фізичні особи-підприємці до 1 квітня 2022 року зареєстрували та почали використовувати реєстратори розрахункових операцій та/або програмні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реєстратори розрахункових операцій, за вчинення правопорушень, зазначених у статті 17 цього Закону:</w:t>
      </w:r>
    </w:p>
    <w:p w14:paraId="49A4712F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 квітня 2022 року (включно) - фінансові санкції не застосовуються;</w:t>
      </w:r>
    </w:p>
    <w:p w14:paraId="449702D9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1 квітня  2022 року до 31 грудня 2022 (включно) - фінансові санкції  застосовуються у розмірі 10 відсотків </w:t>
      </w:r>
      <w:bookmarkStart w:id="2" w:name="n335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розміру фінансових санкцій, встановлених статтею 17 цього Закону за відповідні правопорушення.»;</w:t>
      </w:r>
    </w:p>
    <w:p w14:paraId="70551273" w14:textId="77777777" w:rsidR="00715296" w:rsidRDefault="00715296" w:rsidP="00715296">
      <w:pPr>
        <w:shd w:val="clear" w:color="auto" w:fill="FFFFFF"/>
        <w:spacing w:before="60" w:after="6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B1BAE5" w14:textId="77777777" w:rsidR="00715296" w:rsidRDefault="00715296" w:rsidP="00715296">
      <w:pPr>
        <w:pStyle w:val="a3"/>
        <w:numPr>
          <w:ilvl w:val="0"/>
          <w:numId w:val="11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доповнити Розділ VI «Прикінцеві та перехідні положення» Закону України «Про ціни і ціноутворення» (Відомості Верховної Ради (ВВР), 2013, № 19-20, ст.190)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новим пунктом шостим такого змісту: </w:t>
      </w:r>
    </w:p>
    <w:p w14:paraId="5F5B9312" w14:textId="77777777" w:rsidR="00715296" w:rsidRDefault="00715296" w:rsidP="00715296">
      <w:pPr>
        <w:spacing w:before="60" w:after="6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«6. На період, визначений у пункті 12 Розділу ІІ Закону України «Про застосування реєстраторів розрахункових операцій у сфері торгівлі, громадського харчування та послуг», Кабінет Міністрів України запроваджує державне регулювання цін (вартості) реєстраторів розрахункових операцій та/або програмних реєстраторів розрахункових операцій (РРО), а також програмного забезпечення до них». </w:t>
      </w:r>
    </w:p>
    <w:p w14:paraId="5725F600" w14:textId="77777777" w:rsidR="00715296" w:rsidRDefault="00715296" w:rsidP="00715296">
      <w:pPr>
        <w:spacing w:before="60" w:after="6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65B3D62" w14:textId="77777777" w:rsidR="00715296" w:rsidRDefault="00715296" w:rsidP="00715296">
      <w:pPr>
        <w:pStyle w:val="a3"/>
        <w:numPr>
          <w:ilvl w:val="0"/>
          <w:numId w:val="10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Кабінету Міністрів України у місячний строк з дня набрання чинності цим Законом:</w:t>
      </w:r>
      <w:bookmarkStart w:id="3" w:name="n1027"/>
      <w:bookmarkEnd w:id="3"/>
    </w:p>
    <w:p w14:paraId="554EBB35" w14:textId="77777777" w:rsidR="00715296" w:rsidRDefault="00715296" w:rsidP="00715296">
      <w:pPr>
        <w:pStyle w:val="a3"/>
        <w:numPr>
          <w:ilvl w:val="0"/>
          <w:numId w:val="12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забезпечити прийняття нормативно-правових актів, необхідних для реалізації цього Закону;</w:t>
      </w:r>
      <w:bookmarkStart w:id="4" w:name="n1028"/>
      <w:bookmarkEnd w:id="4"/>
    </w:p>
    <w:p w14:paraId="4870BB97" w14:textId="77777777" w:rsidR="00715296" w:rsidRDefault="00715296" w:rsidP="00715296">
      <w:pPr>
        <w:pStyle w:val="a3"/>
        <w:numPr>
          <w:ilvl w:val="0"/>
          <w:numId w:val="12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привести свої нормативно-правові акти у відповідність із цим Законом;</w:t>
      </w:r>
      <w:bookmarkStart w:id="5" w:name="n1029"/>
      <w:bookmarkEnd w:id="5"/>
    </w:p>
    <w:p w14:paraId="27D979CE" w14:textId="77777777" w:rsidR="00715296" w:rsidRDefault="00715296" w:rsidP="00715296">
      <w:pPr>
        <w:pStyle w:val="a3"/>
        <w:numPr>
          <w:ilvl w:val="0"/>
          <w:numId w:val="12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14:paraId="5D22A788" w14:textId="77777777" w:rsidR="00715296" w:rsidRDefault="00715296" w:rsidP="00715296">
      <w:pPr>
        <w:pStyle w:val="a3"/>
        <w:numPr>
          <w:ilvl w:val="0"/>
          <w:numId w:val="12"/>
        </w:numPr>
        <w:spacing w:before="60" w:after="60" w:line="256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подати до Верховної Ради України проект Закону "Про внесення змін до Закону України "Про Державний бюджет України на 2022 рік", яким передбачати надання субвенції з державного бюджету місцевим бюджетам на покриття втрат податкових надходжень місцевих бюджетів при застосуванні компенсаційних механізмів придбання засобів РРО суб’єктами підприємницької діяльності, у тому числі шляхом зменшення податкових зобов’язань на суму придбання засобів РРО.</w:t>
      </w:r>
    </w:p>
    <w:p w14:paraId="1581E221" w14:textId="77777777" w:rsidR="00715296" w:rsidRDefault="00715296" w:rsidP="00715296">
      <w:pPr>
        <w:pStyle w:val="a3"/>
        <w:spacing w:before="60" w:after="60"/>
        <w:ind w:left="74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2CCB7AC" w14:textId="77777777" w:rsidR="00715296" w:rsidRDefault="00715296" w:rsidP="00715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F1759" w14:textId="77777777" w:rsidR="00715296" w:rsidRDefault="00715296" w:rsidP="00715296">
      <w:pPr>
        <w:pStyle w:val="a4"/>
        <w:spacing w:before="194"/>
        <w:ind w:left="1095" w:firstLine="0"/>
        <w:jc w:val="left"/>
        <w:rPr>
          <w:b/>
        </w:rPr>
      </w:pPr>
      <w:r>
        <w:rPr>
          <w:b/>
        </w:rPr>
        <w:t>Голова</w:t>
      </w:r>
    </w:p>
    <w:p w14:paraId="421FB7AE" w14:textId="77777777" w:rsidR="00715296" w:rsidRDefault="00715296" w:rsidP="00715296">
      <w:pPr>
        <w:pStyle w:val="a4"/>
        <w:ind w:firstLine="0"/>
        <w:jc w:val="left"/>
        <w:rPr>
          <w:b/>
        </w:rPr>
      </w:pPr>
      <w:r>
        <w:rPr>
          <w:b/>
        </w:rPr>
        <w:t>Верховної</w:t>
      </w:r>
      <w:r>
        <w:rPr>
          <w:b/>
          <w:spacing w:val="-3"/>
        </w:rPr>
        <w:t xml:space="preserve"> </w:t>
      </w:r>
      <w:r>
        <w:rPr>
          <w:b/>
        </w:rPr>
        <w:t>Ради</w:t>
      </w:r>
      <w:r>
        <w:rPr>
          <w:b/>
          <w:spacing w:val="-5"/>
        </w:rPr>
        <w:t xml:space="preserve"> </w:t>
      </w:r>
      <w:r>
        <w:rPr>
          <w:b/>
        </w:rPr>
        <w:t>України</w:t>
      </w:r>
    </w:p>
    <w:p w14:paraId="3D198D52" w14:textId="77777777" w:rsidR="00A91137" w:rsidRPr="00DF1057" w:rsidRDefault="00A91137" w:rsidP="00A91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A91137" w:rsidRPr="00DF1057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E3B2" w14:textId="77777777" w:rsidR="006A2CB4" w:rsidRDefault="006A2CB4" w:rsidP="004A038E">
      <w:pPr>
        <w:spacing w:after="0" w:line="240" w:lineRule="auto"/>
      </w:pPr>
      <w:r>
        <w:separator/>
      </w:r>
    </w:p>
  </w:endnote>
  <w:endnote w:type="continuationSeparator" w:id="0">
    <w:p w14:paraId="41A433CE" w14:textId="77777777" w:rsidR="006A2CB4" w:rsidRDefault="006A2CB4" w:rsidP="004A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93934"/>
      <w:docPartObj>
        <w:docPartGallery w:val="Page Numbers (Bottom of Page)"/>
        <w:docPartUnique/>
      </w:docPartObj>
    </w:sdtPr>
    <w:sdtEndPr/>
    <w:sdtContent>
      <w:p w14:paraId="68C89F66" w14:textId="3A5E16BE" w:rsidR="004A038E" w:rsidRDefault="004A03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01">
          <w:rPr>
            <w:noProof/>
          </w:rPr>
          <w:t>1</w:t>
        </w:r>
        <w:r>
          <w:fldChar w:fldCharType="end"/>
        </w:r>
      </w:p>
    </w:sdtContent>
  </w:sdt>
  <w:p w14:paraId="73980E34" w14:textId="77777777" w:rsidR="004A038E" w:rsidRDefault="004A0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0F07" w14:textId="77777777" w:rsidR="006A2CB4" w:rsidRDefault="006A2CB4" w:rsidP="004A038E">
      <w:pPr>
        <w:spacing w:after="0" w:line="240" w:lineRule="auto"/>
      </w:pPr>
      <w:r>
        <w:separator/>
      </w:r>
    </w:p>
  </w:footnote>
  <w:footnote w:type="continuationSeparator" w:id="0">
    <w:p w14:paraId="6BD41AAB" w14:textId="77777777" w:rsidR="006A2CB4" w:rsidRDefault="006A2CB4" w:rsidP="004A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C6B" w14:textId="77777777" w:rsidR="004A038E" w:rsidRDefault="004A038E">
    <w:pPr>
      <w:pStyle w:val="a9"/>
      <w:jc w:val="center"/>
    </w:pPr>
  </w:p>
  <w:p w14:paraId="078A3A69" w14:textId="77777777" w:rsidR="004A038E" w:rsidRDefault="004A03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309F"/>
    <w:multiLevelType w:val="hybridMultilevel"/>
    <w:tmpl w:val="633C6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438"/>
    <w:multiLevelType w:val="hybridMultilevel"/>
    <w:tmpl w:val="58B6D8A2"/>
    <w:lvl w:ilvl="0" w:tplc="73109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017964"/>
    <w:multiLevelType w:val="hybridMultilevel"/>
    <w:tmpl w:val="35BA8A16"/>
    <w:lvl w:ilvl="0" w:tplc="5CD02B2A">
      <w:start w:val="1"/>
      <w:numFmt w:val="decimal"/>
      <w:lvlText w:val="%1."/>
      <w:lvlJc w:val="left"/>
      <w:pPr>
        <w:ind w:left="746" w:hanging="360"/>
      </w:pPr>
    </w:lvl>
    <w:lvl w:ilvl="1" w:tplc="20000019">
      <w:start w:val="1"/>
      <w:numFmt w:val="lowerLetter"/>
      <w:lvlText w:val="%2."/>
      <w:lvlJc w:val="left"/>
      <w:pPr>
        <w:ind w:left="1466" w:hanging="360"/>
      </w:pPr>
    </w:lvl>
    <w:lvl w:ilvl="2" w:tplc="2000001B">
      <w:start w:val="1"/>
      <w:numFmt w:val="lowerRoman"/>
      <w:lvlText w:val="%3."/>
      <w:lvlJc w:val="right"/>
      <w:pPr>
        <w:ind w:left="2186" w:hanging="180"/>
      </w:pPr>
    </w:lvl>
    <w:lvl w:ilvl="3" w:tplc="2000000F">
      <w:start w:val="1"/>
      <w:numFmt w:val="decimal"/>
      <w:lvlText w:val="%4."/>
      <w:lvlJc w:val="left"/>
      <w:pPr>
        <w:ind w:left="2906" w:hanging="360"/>
      </w:pPr>
    </w:lvl>
    <w:lvl w:ilvl="4" w:tplc="20000019">
      <w:start w:val="1"/>
      <w:numFmt w:val="lowerLetter"/>
      <w:lvlText w:val="%5."/>
      <w:lvlJc w:val="left"/>
      <w:pPr>
        <w:ind w:left="3626" w:hanging="360"/>
      </w:pPr>
    </w:lvl>
    <w:lvl w:ilvl="5" w:tplc="2000001B">
      <w:start w:val="1"/>
      <w:numFmt w:val="lowerRoman"/>
      <w:lvlText w:val="%6."/>
      <w:lvlJc w:val="right"/>
      <w:pPr>
        <w:ind w:left="4346" w:hanging="180"/>
      </w:pPr>
    </w:lvl>
    <w:lvl w:ilvl="6" w:tplc="2000000F">
      <w:start w:val="1"/>
      <w:numFmt w:val="decimal"/>
      <w:lvlText w:val="%7."/>
      <w:lvlJc w:val="left"/>
      <w:pPr>
        <w:ind w:left="5066" w:hanging="360"/>
      </w:pPr>
    </w:lvl>
    <w:lvl w:ilvl="7" w:tplc="20000019">
      <w:start w:val="1"/>
      <w:numFmt w:val="lowerLetter"/>
      <w:lvlText w:val="%8."/>
      <w:lvlJc w:val="left"/>
      <w:pPr>
        <w:ind w:left="5786" w:hanging="360"/>
      </w:pPr>
    </w:lvl>
    <w:lvl w:ilvl="8" w:tplc="2000001B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1645133D"/>
    <w:multiLevelType w:val="hybridMultilevel"/>
    <w:tmpl w:val="18C22E86"/>
    <w:lvl w:ilvl="0" w:tplc="3294CA0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CA5D21"/>
    <w:multiLevelType w:val="hybridMultilevel"/>
    <w:tmpl w:val="37A07DEC"/>
    <w:lvl w:ilvl="0" w:tplc="3544CA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292DB5"/>
    <w:multiLevelType w:val="hybridMultilevel"/>
    <w:tmpl w:val="3D00BC66"/>
    <w:lvl w:ilvl="0" w:tplc="C65E970C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BE397C"/>
    <w:multiLevelType w:val="hybridMultilevel"/>
    <w:tmpl w:val="F24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C3385"/>
    <w:multiLevelType w:val="hybridMultilevel"/>
    <w:tmpl w:val="147677AE"/>
    <w:lvl w:ilvl="0" w:tplc="42924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A14160"/>
    <w:multiLevelType w:val="hybridMultilevel"/>
    <w:tmpl w:val="8A4629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73FB"/>
    <w:multiLevelType w:val="hybridMultilevel"/>
    <w:tmpl w:val="E9F022A6"/>
    <w:lvl w:ilvl="0" w:tplc="33BC13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755EE"/>
    <w:multiLevelType w:val="hybridMultilevel"/>
    <w:tmpl w:val="C026E89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F9A"/>
    <w:multiLevelType w:val="hybridMultilevel"/>
    <w:tmpl w:val="F9C22792"/>
    <w:lvl w:ilvl="0" w:tplc="7BD87C14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7C5C2E">
      <w:numFmt w:val="bullet"/>
      <w:lvlText w:val="•"/>
      <w:lvlJc w:val="left"/>
      <w:pPr>
        <w:ind w:left="1994" w:hanging="281"/>
      </w:pPr>
      <w:rPr>
        <w:rFonts w:hint="default"/>
        <w:lang w:val="uk-UA" w:eastAsia="en-US" w:bidi="ar-SA"/>
      </w:rPr>
    </w:lvl>
    <w:lvl w:ilvl="2" w:tplc="B8D8CF82">
      <w:numFmt w:val="bullet"/>
      <w:lvlText w:val="•"/>
      <w:lvlJc w:val="left"/>
      <w:pPr>
        <w:ind w:left="2869" w:hanging="281"/>
      </w:pPr>
      <w:rPr>
        <w:rFonts w:hint="default"/>
        <w:lang w:val="uk-UA" w:eastAsia="en-US" w:bidi="ar-SA"/>
      </w:rPr>
    </w:lvl>
    <w:lvl w:ilvl="3" w:tplc="39BAE29C">
      <w:numFmt w:val="bullet"/>
      <w:lvlText w:val="•"/>
      <w:lvlJc w:val="left"/>
      <w:pPr>
        <w:ind w:left="3743" w:hanging="281"/>
      </w:pPr>
      <w:rPr>
        <w:rFonts w:hint="default"/>
        <w:lang w:val="uk-UA" w:eastAsia="en-US" w:bidi="ar-SA"/>
      </w:rPr>
    </w:lvl>
    <w:lvl w:ilvl="4" w:tplc="FB245944">
      <w:numFmt w:val="bullet"/>
      <w:lvlText w:val="•"/>
      <w:lvlJc w:val="left"/>
      <w:pPr>
        <w:ind w:left="4618" w:hanging="281"/>
      </w:pPr>
      <w:rPr>
        <w:rFonts w:hint="default"/>
        <w:lang w:val="uk-UA" w:eastAsia="en-US" w:bidi="ar-SA"/>
      </w:rPr>
    </w:lvl>
    <w:lvl w:ilvl="5" w:tplc="13A2B334">
      <w:numFmt w:val="bullet"/>
      <w:lvlText w:val="•"/>
      <w:lvlJc w:val="left"/>
      <w:pPr>
        <w:ind w:left="5493" w:hanging="281"/>
      </w:pPr>
      <w:rPr>
        <w:rFonts w:hint="default"/>
        <w:lang w:val="uk-UA" w:eastAsia="en-US" w:bidi="ar-SA"/>
      </w:rPr>
    </w:lvl>
    <w:lvl w:ilvl="6" w:tplc="89B0C096">
      <w:numFmt w:val="bullet"/>
      <w:lvlText w:val="•"/>
      <w:lvlJc w:val="left"/>
      <w:pPr>
        <w:ind w:left="6367" w:hanging="281"/>
      </w:pPr>
      <w:rPr>
        <w:rFonts w:hint="default"/>
        <w:lang w:val="uk-UA" w:eastAsia="en-US" w:bidi="ar-SA"/>
      </w:rPr>
    </w:lvl>
    <w:lvl w:ilvl="7" w:tplc="D6A2BDC4">
      <w:numFmt w:val="bullet"/>
      <w:lvlText w:val="•"/>
      <w:lvlJc w:val="left"/>
      <w:pPr>
        <w:ind w:left="7242" w:hanging="281"/>
      </w:pPr>
      <w:rPr>
        <w:rFonts w:hint="default"/>
        <w:lang w:val="uk-UA" w:eastAsia="en-US" w:bidi="ar-SA"/>
      </w:rPr>
    </w:lvl>
    <w:lvl w:ilvl="8" w:tplc="AD2E27E0">
      <w:numFmt w:val="bullet"/>
      <w:lvlText w:val="•"/>
      <w:lvlJc w:val="left"/>
      <w:pPr>
        <w:ind w:left="8117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37"/>
    <w:rsid w:val="0002604C"/>
    <w:rsid w:val="000455E7"/>
    <w:rsid w:val="000946A8"/>
    <w:rsid w:val="000C5936"/>
    <w:rsid w:val="001575F3"/>
    <w:rsid w:val="0017642E"/>
    <w:rsid w:val="001C67FC"/>
    <w:rsid w:val="001D33F8"/>
    <w:rsid w:val="00212F32"/>
    <w:rsid w:val="00242E9B"/>
    <w:rsid w:val="00252541"/>
    <w:rsid w:val="003340FC"/>
    <w:rsid w:val="00383F9F"/>
    <w:rsid w:val="003B732B"/>
    <w:rsid w:val="003F3373"/>
    <w:rsid w:val="00484526"/>
    <w:rsid w:val="004A038E"/>
    <w:rsid w:val="004B12CF"/>
    <w:rsid w:val="004E3C75"/>
    <w:rsid w:val="00524FDB"/>
    <w:rsid w:val="00570AF6"/>
    <w:rsid w:val="005A5B31"/>
    <w:rsid w:val="005E6A20"/>
    <w:rsid w:val="00623594"/>
    <w:rsid w:val="00642223"/>
    <w:rsid w:val="00645124"/>
    <w:rsid w:val="00646FAA"/>
    <w:rsid w:val="00662CA5"/>
    <w:rsid w:val="006A2CB4"/>
    <w:rsid w:val="006A7E77"/>
    <w:rsid w:val="006F1704"/>
    <w:rsid w:val="00715296"/>
    <w:rsid w:val="007241FF"/>
    <w:rsid w:val="007A01C7"/>
    <w:rsid w:val="007A6975"/>
    <w:rsid w:val="007B2E6F"/>
    <w:rsid w:val="007C2972"/>
    <w:rsid w:val="007D3CA6"/>
    <w:rsid w:val="00815FA0"/>
    <w:rsid w:val="008336EF"/>
    <w:rsid w:val="00853A8D"/>
    <w:rsid w:val="008708DE"/>
    <w:rsid w:val="008C1EBA"/>
    <w:rsid w:val="008C2B7E"/>
    <w:rsid w:val="008E3677"/>
    <w:rsid w:val="009206B4"/>
    <w:rsid w:val="00925490"/>
    <w:rsid w:val="00927ED7"/>
    <w:rsid w:val="00963FEE"/>
    <w:rsid w:val="009A0DE4"/>
    <w:rsid w:val="009B15D6"/>
    <w:rsid w:val="00A03B0C"/>
    <w:rsid w:val="00A075DF"/>
    <w:rsid w:val="00A22F5F"/>
    <w:rsid w:val="00A24598"/>
    <w:rsid w:val="00A466E2"/>
    <w:rsid w:val="00A91137"/>
    <w:rsid w:val="00A9244A"/>
    <w:rsid w:val="00AB12A2"/>
    <w:rsid w:val="00B464B7"/>
    <w:rsid w:val="00C25F91"/>
    <w:rsid w:val="00C66B10"/>
    <w:rsid w:val="00D751DB"/>
    <w:rsid w:val="00DB7657"/>
    <w:rsid w:val="00DE3006"/>
    <w:rsid w:val="00DF1057"/>
    <w:rsid w:val="00E733CB"/>
    <w:rsid w:val="00EE7918"/>
    <w:rsid w:val="00F55BF8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BE53"/>
  <w15:docId w15:val="{53D62EF5-7D63-4FFA-AB99-7E24102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2604C"/>
    <w:pPr>
      <w:widowControl w:val="0"/>
      <w:autoSpaceDE w:val="0"/>
      <w:autoSpaceDN w:val="0"/>
      <w:spacing w:before="120"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02604C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8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815FA0"/>
    <w:rPr>
      <w:color w:val="0000FF"/>
      <w:u w:val="single"/>
    </w:rPr>
  </w:style>
  <w:style w:type="character" w:customStyle="1" w:styleId="rvts46">
    <w:name w:val="rvts46"/>
    <w:basedOn w:val="a0"/>
    <w:rsid w:val="00815FA0"/>
  </w:style>
  <w:style w:type="paragraph" w:styleId="a7">
    <w:name w:val="Balloon Text"/>
    <w:basedOn w:val="a"/>
    <w:link w:val="a8"/>
    <w:uiPriority w:val="99"/>
    <w:semiHidden/>
    <w:unhideWhenUsed/>
    <w:rsid w:val="00A4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66E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03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A038E"/>
  </w:style>
  <w:style w:type="paragraph" w:styleId="ab">
    <w:name w:val="footer"/>
    <w:basedOn w:val="a"/>
    <w:link w:val="ac"/>
    <w:uiPriority w:val="99"/>
    <w:unhideWhenUsed/>
    <w:rsid w:val="004A03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A038E"/>
  </w:style>
  <w:style w:type="table" w:styleId="ad">
    <w:name w:val="Table Grid"/>
    <w:basedOn w:val="a1"/>
    <w:uiPriority w:val="39"/>
    <w:qFormat/>
    <w:rsid w:val="00A075DF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6016-637E-48D2-A3E1-5F7651390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B19F5-EF00-4C25-B1C1-B766A1E6D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2765B-E000-48E5-95A0-0EBAB3E85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9637E-03C8-4EF0-83EB-91BA344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3710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2022-02-01T14:01:00Z</dcterms:created>
  <dcterms:modified xsi:type="dcterms:W3CDTF">2022-02-01T14:01:00Z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