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E29" w:rsidRPr="000D4793" w:rsidRDefault="009C6E29" w:rsidP="003A1691">
      <w:pPr>
        <w:widowControl w:val="0"/>
        <w:autoSpaceDE w:val="0"/>
        <w:autoSpaceDN w:val="0"/>
        <w:adjustRightInd w:val="0"/>
        <w:jc w:val="right"/>
        <w:rPr>
          <w:sz w:val="24"/>
        </w:rPr>
      </w:pPr>
      <w:bookmarkStart w:id="0" w:name="_GoBack"/>
      <w:bookmarkEnd w:id="0"/>
      <w:r w:rsidRPr="000D4793">
        <w:rPr>
          <w:sz w:val="24"/>
        </w:rPr>
        <w:t xml:space="preserve">До реєстр. № 2016 </w:t>
      </w:r>
    </w:p>
    <w:p w:rsidR="009C6E29" w:rsidRPr="000D4793" w:rsidRDefault="009C6E29" w:rsidP="003A1691">
      <w:pPr>
        <w:widowControl w:val="0"/>
        <w:autoSpaceDE w:val="0"/>
        <w:autoSpaceDN w:val="0"/>
        <w:adjustRightInd w:val="0"/>
        <w:jc w:val="right"/>
        <w:rPr>
          <w:sz w:val="24"/>
        </w:rPr>
      </w:pPr>
      <w:r w:rsidRPr="000D4793">
        <w:rPr>
          <w:sz w:val="24"/>
        </w:rPr>
        <w:t>(друге читання)</w:t>
      </w:r>
    </w:p>
    <w:p w:rsidR="009C6E29" w:rsidRPr="000D4793" w:rsidRDefault="009C6E29" w:rsidP="003A1691">
      <w:pPr>
        <w:widowControl w:val="0"/>
        <w:autoSpaceDE w:val="0"/>
        <w:autoSpaceDN w:val="0"/>
        <w:adjustRightInd w:val="0"/>
        <w:jc w:val="center"/>
        <w:rPr>
          <w:b/>
          <w:szCs w:val="28"/>
        </w:rPr>
      </w:pPr>
    </w:p>
    <w:p w:rsidR="009C6E29" w:rsidRPr="000D4793" w:rsidRDefault="009C6E29" w:rsidP="003A1691">
      <w:pPr>
        <w:widowControl w:val="0"/>
        <w:autoSpaceDE w:val="0"/>
        <w:autoSpaceDN w:val="0"/>
        <w:adjustRightInd w:val="0"/>
        <w:jc w:val="right"/>
        <w:rPr>
          <w:szCs w:val="28"/>
        </w:rPr>
      </w:pPr>
    </w:p>
    <w:p w:rsidR="009C6E29" w:rsidRPr="000D4793" w:rsidRDefault="009C6E29" w:rsidP="003A1691">
      <w:pPr>
        <w:widowControl w:val="0"/>
        <w:autoSpaceDE w:val="0"/>
        <w:autoSpaceDN w:val="0"/>
        <w:adjustRightInd w:val="0"/>
        <w:jc w:val="center"/>
        <w:rPr>
          <w:b/>
          <w:szCs w:val="28"/>
        </w:rPr>
      </w:pPr>
    </w:p>
    <w:p w:rsidR="009C6E29" w:rsidRPr="000D4793" w:rsidRDefault="009C6E29" w:rsidP="003A1691">
      <w:pPr>
        <w:widowControl w:val="0"/>
        <w:autoSpaceDE w:val="0"/>
        <w:autoSpaceDN w:val="0"/>
        <w:adjustRightInd w:val="0"/>
        <w:jc w:val="center"/>
        <w:rPr>
          <w:b/>
          <w:szCs w:val="28"/>
        </w:rPr>
      </w:pPr>
    </w:p>
    <w:p w:rsidR="009C6E29" w:rsidRPr="000D4793" w:rsidRDefault="009C6E29" w:rsidP="003A1691">
      <w:pPr>
        <w:widowControl w:val="0"/>
        <w:autoSpaceDE w:val="0"/>
        <w:autoSpaceDN w:val="0"/>
        <w:adjustRightInd w:val="0"/>
        <w:jc w:val="center"/>
        <w:rPr>
          <w:b/>
          <w:szCs w:val="28"/>
        </w:rPr>
      </w:pPr>
    </w:p>
    <w:p w:rsidR="009C6E29" w:rsidRPr="000D4793" w:rsidRDefault="009C6E29" w:rsidP="003A1691">
      <w:pPr>
        <w:widowControl w:val="0"/>
        <w:autoSpaceDE w:val="0"/>
        <w:autoSpaceDN w:val="0"/>
        <w:adjustRightInd w:val="0"/>
        <w:jc w:val="center"/>
        <w:rPr>
          <w:b/>
          <w:szCs w:val="28"/>
        </w:rPr>
      </w:pPr>
    </w:p>
    <w:p w:rsidR="009C6E29" w:rsidRPr="000D4793" w:rsidRDefault="009C6E29" w:rsidP="003A1691">
      <w:pPr>
        <w:widowControl w:val="0"/>
        <w:autoSpaceDE w:val="0"/>
        <w:autoSpaceDN w:val="0"/>
        <w:adjustRightInd w:val="0"/>
        <w:jc w:val="center"/>
        <w:rPr>
          <w:b/>
          <w:caps/>
          <w:szCs w:val="28"/>
        </w:rPr>
      </w:pPr>
      <w:r w:rsidRPr="000D4793">
        <w:rPr>
          <w:b/>
          <w:caps/>
          <w:szCs w:val="28"/>
        </w:rPr>
        <w:t>зауваження</w:t>
      </w:r>
    </w:p>
    <w:p w:rsidR="009C6E29" w:rsidRPr="000D4793" w:rsidRDefault="009C6E29" w:rsidP="003A1691">
      <w:pPr>
        <w:widowControl w:val="0"/>
        <w:autoSpaceDE w:val="0"/>
        <w:autoSpaceDN w:val="0"/>
        <w:adjustRightInd w:val="0"/>
        <w:jc w:val="center"/>
        <w:rPr>
          <w:b/>
          <w:szCs w:val="28"/>
        </w:rPr>
      </w:pPr>
      <w:r w:rsidRPr="000D4793">
        <w:rPr>
          <w:b/>
          <w:szCs w:val="28"/>
        </w:rPr>
        <w:t xml:space="preserve">до проекту Закону України </w:t>
      </w:r>
    </w:p>
    <w:p w:rsidR="009C6E29" w:rsidRPr="000D4793" w:rsidRDefault="009C6E29" w:rsidP="003A1691">
      <w:pPr>
        <w:widowControl w:val="0"/>
        <w:autoSpaceDE w:val="0"/>
        <w:autoSpaceDN w:val="0"/>
        <w:adjustRightInd w:val="0"/>
        <w:jc w:val="center"/>
        <w:rPr>
          <w:b/>
          <w:szCs w:val="28"/>
        </w:rPr>
      </w:pPr>
      <w:r w:rsidRPr="000D4793">
        <w:rPr>
          <w:b/>
          <w:szCs w:val="28"/>
        </w:rPr>
        <w:t xml:space="preserve">«Про внесення змін до Кримінального кодексу України </w:t>
      </w:r>
    </w:p>
    <w:p w:rsidR="009C6E29" w:rsidRPr="000D4793" w:rsidRDefault="009C6E29" w:rsidP="003A1691">
      <w:pPr>
        <w:widowControl w:val="0"/>
        <w:autoSpaceDE w:val="0"/>
        <w:autoSpaceDN w:val="0"/>
        <w:adjustRightInd w:val="0"/>
        <w:jc w:val="center"/>
        <w:rPr>
          <w:b/>
          <w:szCs w:val="28"/>
        </w:rPr>
      </w:pPr>
      <w:r w:rsidRPr="000D4793">
        <w:rPr>
          <w:b/>
          <w:szCs w:val="28"/>
        </w:rPr>
        <w:t>щодо захисту дітей від насильства та сексуальної експлуатації»</w:t>
      </w:r>
    </w:p>
    <w:p w:rsidR="009C6E29" w:rsidRPr="000D4793" w:rsidRDefault="009C6E29" w:rsidP="003A1691">
      <w:pPr>
        <w:widowControl w:val="0"/>
        <w:autoSpaceDE w:val="0"/>
        <w:autoSpaceDN w:val="0"/>
        <w:adjustRightInd w:val="0"/>
        <w:jc w:val="center"/>
        <w:rPr>
          <w:szCs w:val="28"/>
        </w:rPr>
      </w:pPr>
      <w:r w:rsidRPr="000D4793">
        <w:rPr>
          <w:szCs w:val="28"/>
        </w:rPr>
        <w:t xml:space="preserve"> (реєстраційний № 2016)</w:t>
      </w:r>
    </w:p>
    <w:p w:rsidR="009C6E29" w:rsidRPr="000D4793" w:rsidRDefault="009C6E29" w:rsidP="003A1691">
      <w:pPr>
        <w:widowControl w:val="0"/>
        <w:autoSpaceDE w:val="0"/>
        <w:autoSpaceDN w:val="0"/>
        <w:adjustRightInd w:val="0"/>
        <w:jc w:val="center"/>
        <w:rPr>
          <w:szCs w:val="28"/>
        </w:rPr>
      </w:pPr>
    </w:p>
    <w:p w:rsidR="009C6E29" w:rsidRPr="000D4793" w:rsidRDefault="009C6E29" w:rsidP="000D4793">
      <w:pPr>
        <w:widowControl w:val="0"/>
        <w:autoSpaceDE w:val="0"/>
        <w:autoSpaceDN w:val="0"/>
        <w:adjustRightInd w:val="0"/>
        <w:ind w:firstLine="709"/>
        <w:jc w:val="both"/>
        <w:rPr>
          <w:szCs w:val="28"/>
        </w:rPr>
      </w:pPr>
      <w:r w:rsidRPr="000D4793">
        <w:rPr>
          <w:szCs w:val="28"/>
        </w:rPr>
        <w:t xml:space="preserve">У Головному юридичному управління розглянуто зазначений проект, підготовлений Комітетом з питань законодавчого забезпечення правоохоронної діяльності для розгляду парламентом у другому читанні. </w:t>
      </w:r>
    </w:p>
    <w:p w:rsidR="009C6E29" w:rsidRPr="000D4793" w:rsidRDefault="009C6E29" w:rsidP="000D4793">
      <w:pPr>
        <w:widowControl w:val="0"/>
        <w:autoSpaceDE w:val="0"/>
        <w:autoSpaceDN w:val="0"/>
        <w:adjustRightInd w:val="0"/>
        <w:ind w:firstLine="709"/>
        <w:jc w:val="both"/>
        <w:rPr>
          <w:szCs w:val="28"/>
        </w:rPr>
      </w:pPr>
      <w:r w:rsidRPr="000D4793">
        <w:rPr>
          <w:szCs w:val="28"/>
        </w:rPr>
        <w:tab/>
      </w:r>
    </w:p>
    <w:p w:rsidR="009C6E29" w:rsidRPr="000D4793" w:rsidRDefault="009C6E29" w:rsidP="000D4793">
      <w:pPr>
        <w:tabs>
          <w:tab w:val="num" w:pos="0"/>
          <w:tab w:val="left" w:pos="360"/>
        </w:tabs>
        <w:ind w:firstLine="709"/>
        <w:jc w:val="both"/>
        <w:rPr>
          <w:szCs w:val="28"/>
        </w:rPr>
      </w:pPr>
      <w:r w:rsidRPr="000D4793">
        <w:rPr>
          <w:szCs w:val="28"/>
        </w:rPr>
        <w:t xml:space="preserve">Як зазначається у пояснювальній записці, пропоновані зміни розроблені з метою гармонізації законодавства України з положеннями Факультативного протоколу щодо торгівлі дітьми, дитячої проституції і дитячої порнографії до Конвенції ООН про права дитини, Конвенції Ради Європи про захист дітей від сексуальної експлуатації та сексуального насильства та Європейської соціальної хартії, що ратифіковані Україною. Крім того, Комітет ООН з прав дитини у своїх Заключних спостереженнях щодо виконання Україною Конвенції ООН про права дитини від 1995, 2002, 2007 та 2011 років рекомендував Україні встановити чіткій мінімальний вік статевого повноліття. </w:t>
      </w:r>
    </w:p>
    <w:p w:rsidR="009C6E29" w:rsidRPr="000D4793" w:rsidRDefault="009C6E29" w:rsidP="000D4793">
      <w:pPr>
        <w:widowControl w:val="0"/>
        <w:autoSpaceDE w:val="0"/>
        <w:autoSpaceDN w:val="0"/>
        <w:adjustRightInd w:val="0"/>
        <w:ind w:firstLine="709"/>
        <w:jc w:val="both"/>
        <w:rPr>
          <w:szCs w:val="28"/>
        </w:rPr>
      </w:pPr>
      <w:r w:rsidRPr="000D4793">
        <w:rPr>
          <w:szCs w:val="28"/>
        </w:rPr>
        <w:t>У зв’язку з чим у законопроекті пропонується внести зміни до статей 155, 156, 302 Кримінального кодексу України.</w:t>
      </w:r>
    </w:p>
    <w:p w:rsidR="009C6E29" w:rsidRPr="000D4793" w:rsidRDefault="009C6E29" w:rsidP="000D4793">
      <w:pPr>
        <w:tabs>
          <w:tab w:val="num" w:pos="0"/>
          <w:tab w:val="left" w:pos="360"/>
        </w:tabs>
        <w:ind w:firstLine="709"/>
        <w:jc w:val="both"/>
        <w:rPr>
          <w:szCs w:val="28"/>
        </w:rPr>
      </w:pPr>
    </w:p>
    <w:p w:rsidR="009C6E29" w:rsidRPr="000D4793" w:rsidRDefault="009C6E29" w:rsidP="000D4793">
      <w:pPr>
        <w:widowControl w:val="0"/>
        <w:autoSpaceDE w:val="0"/>
        <w:autoSpaceDN w:val="0"/>
        <w:adjustRightInd w:val="0"/>
        <w:ind w:firstLine="709"/>
        <w:jc w:val="both"/>
        <w:rPr>
          <w:szCs w:val="28"/>
        </w:rPr>
      </w:pPr>
      <w:r w:rsidRPr="000D4793">
        <w:rPr>
          <w:szCs w:val="28"/>
        </w:rPr>
        <w:t>Поділяючи в цілому зауваження, висловлені Головним науково-експертним управлінням у висновку від 3 березня 2015 року, вважаємо за необхідне звернути увагу на таке.</w:t>
      </w:r>
    </w:p>
    <w:p w:rsidR="009C6E29" w:rsidRPr="000D4793" w:rsidRDefault="009C6E29" w:rsidP="000D4793">
      <w:pPr>
        <w:tabs>
          <w:tab w:val="num" w:pos="0"/>
          <w:tab w:val="left" w:pos="360"/>
        </w:tabs>
        <w:ind w:firstLine="709"/>
        <w:jc w:val="both"/>
        <w:rPr>
          <w:szCs w:val="28"/>
        </w:rPr>
      </w:pPr>
    </w:p>
    <w:p w:rsidR="009C6E29" w:rsidRPr="000D4793" w:rsidRDefault="009C6E29" w:rsidP="000D4793">
      <w:pPr>
        <w:tabs>
          <w:tab w:val="num" w:pos="0"/>
          <w:tab w:val="left" w:pos="360"/>
        </w:tabs>
        <w:ind w:firstLine="709"/>
        <w:jc w:val="both"/>
        <w:rPr>
          <w:szCs w:val="28"/>
        </w:rPr>
      </w:pPr>
      <w:r w:rsidRPr="000D4793">
        <w:rPr>
          <w:szCs w:val="28"/>
        </w:rPr>
        <w:t>1. За ознаками об’єктивної сторони злочин, передбачений чинною редакцією статті 155 Кримінального кодексу України, полягає в добровільних зносинах чоловіка і жінки з особою протилежної або однакової з ними статі, яка не досягла статевої зрілості. Проектом пропонується замінити у статті 155 Кримінального кодексу України поняття «статева зрілість особи» на визначення віку потерпілої особи – «що не досягла шістнадцятирічного віку». Проте слід зазначити, що статева зрілість не пов’язана з настанням якогось конкретного віку. Її досягнення встановлюється відповідною судово-медичною експертизою. Разом з тим, обов’язковість проведення такої експертизи визначена пунктом 5 частини другої статті 242 Кримінального процесуального кодексу України, але зміни до цієї статті проектом не передбачено.</w:t>
      </w:r>
    </w:p>
    <w:p w:rsidR="009C6E29" w:rsidRPr="000D4793" w:rsidRDefault="009C6E29" w:rsidP="000D4793">
      <w:pPr>
        <w:tabs>
          <w:tab w:val="num" w:pos="0"/>
          <w:tab w:val="left" w:pos="360"/>
        </w:tabs>
        <w:ind w:firstLine="709"/>
        <w:jc w:val="both"/>
        <w:rPr>
          <w:szCs w:val="28"/>
        </w:rPr>
      </w:pPr>
      <w:r w:rsidRPr="000D4793">
        <w:rPr>
          <w:szCs w:val="28"/>
        </w:rPr>
        <w:t>Вчинення добровільного статевого акту з особою, яка не досягла статевої зрілості, утворює склад злочину, передбаченого чинною статтею 155 Кримінального кодексу України, коли винний знав або допускав, що потерпіла особа не досягла статевої зрілості, а так само, коли він міг і повинен був це передбачати. Суспільна небезпека цього злочину полягає в тому, що він посягає на нормальний половий розвиток неповнолітнього. Інакше кажучи, призначення положень норми статті 155 цього Кодексу полягає в тому, щоб запобігти шкоді для здоров’я неповнолітнього. Зміна ж пріоритетів кримінально-правової охорони може мати негативні наслідки, наприклад, у разі добровільного статевого акту з особою жіночої статі, якій виповнилося 16 років, але яка за своїми фізіологічними ознаками не досягла статевої зрілості. Відтак, на нашу думку, ознакою об’єктивної сторони складу злочину, передбаченого статтею 155 Кримінального кодексу України, повинен бути саме біологічний стан (статева зрілість), а не вік особи.</w:t>
      </w:r>
    </w:p>
    <w:p w:rsidR="009C6E29" w:rsidRPr="000D4793" w:rsidRDefault="009C6E29" w:rsidP="000D4793">
      <w:pPr>
        <w:tabs>
          <w:tab w:val="num" w:pos="0"/>
          <w:tab w:val="left" w:pos="360"/>
        </w:tabs>
        <w:ind w:firstLine="709"/>
        <w:jc w:val="both"/>
        <w:rPr>
          <w:szCs w:val="28"/>
        </w:rPr>
      </w:pPr>
      <w:r w:rsidRPr="000D4793">
        <w:rPr>
          <w:szCs w:val="28"/>
        </w:rPr>
        <w:t>Крім того, відповідно до запропонованої редакції статті 155 Кримінального кодексу України суб’єктом злочину може бути особа, яка досягла вісімнадцятирічного віку (повнолітня особа). За такого законодавчого підходу незрозуміло чому суб’єктом злочину не може бути особа, яка досягла шістнадцятирічного віку і більше, а відтак, це не узгоджується з положеннями статті 22 Кримінального кодексу України щодо віку, з якого може наставати кримінальна відповідальність.</w:t>
      </w:r>
    </w:p>
    <w:p w:rsidR="009C6E29" w:rsidRPr="000D4793" w:rsidRDefault="009C6E29" w:rsidP="000D4793">
      <w:pPr>
        <w:tabs>
          <w:tab w:val="num" w:pos="0"/>
          <w:tab w:val="left" w:pos="360"/>
        </w:tabs>
        <w:ind w:firstLine="709"/>
        <w:jc w:val="both"/>
        <w:rPr>
          <w:i/>
          <w:szCs w:val="28"/>
        </w:rPr>
      </w:pPr>
    </w:p>
    <w:p w:rsidR="009C6E29" w:rsidRPr="000D4793" w:rsidRDefault="009C6E29" w:rsidP="000D4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709"/>
        <w:jc w:val="both"/>
        <w:rPr>
          <w:szCs w:val="28"/>
        </w:rPr>
      </w:pPr>
      <w:r w:rsidRPr="000D4793">
        <w:rPr>
          <w:szCs w:val="28"/>
        </w:rPr>
        <w:t xml:space="preserve">2. Відповідно до редакції частини другої статей 155, 156 Кримінального кодексу України проектом запропоновано визначити кваліфікованими ознаками складу злочину, передбачених цими частинами, вчинення відповідного злочину такими суб’єктами, як близькі родичі або члени сім’ї, на відміну від передбачених чинною редакцією цих статей - «вчинені батьком, матір’ю, вітчимом, мачухою, опікуном чи піклувальником». При цьому, зазначивши в примітці до цих статей Кодексу, що «під близькими родичами або членами сім’ї слід розуміти осіб, визначених пунктом 1 частини першої статті 3 Кримінального процесуального кодексу України. </w:t>
      </w:r>
    </w:p>
    <w:p w:rsidR="009C6E29" w:rsidRPr="000D4793" w:rsidRDefault="009C6E29" w:rsidP="000D4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709"/>
        <w:jc w:val="both"/>
        <w:rPr>
          <w:szCs w:val="28"/>
        </w:rPr>
      </w:pPr>
      <w:r w:rsidRPr="000D4793">
        <w:rPr>
          <w:szCs w:val="28"/>
        </w:rPr>
        <w:t xml:space="preserve">Проте варто звернути увагу на неприйнятний з точки зору особливостей нормопроектування підхід до визначення кола суб’єктів відповідних злочинів шляхом відсилання до норм Кримінального процесуального кодексу України. За усталеними правилами побудови норм Кримінального кодексу України, вироблених на основі вимог пункту 22 частини першої статті 92 Конституції України, суб’єкт злочину (загальний чи спеціальний) визначається безпосередньо у нормі, яка передбачає ту чи іншу відповідальність. Крім того, слід зазначити, що поняття «близькі родичі» міститься не лише в статтях 155, 156 Кримінального кодексу України, а й в інших статтях Кодексу, на яких примітка до статті 155 в редакції проекту не розповсюджуватиметься. </w:t>
      </w:r>
    </w:p>
    <w:p w:rsidR="009C6E29" w:rsidRPr="000D4793" w:rsidRDefault="009C6E29" w:rsidP="000D47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709"/>
        <w:jc w:val="both"/>
        <w:rPr>
          <w:szCs w:val="28"/>
        </w:rPr>
      </w:pPr>
    </w:p>
    <w:p w:rsidR="009C6E29" w:rsidRPr="000D4793" w:rsidRDefault="009C6E29" w:rsidP="000D4793">
      <w:pPr>
        <w:ind w:firstLine="709"/>
        <w:jc w:val="both"/>
        <w:rPr>
          <w:szCs w:val="28"/>
        </w:rPr>
      </w:pPr>
      <w:r w:rsidRPr="000D4793">
        <w:rPr>
          <w:b/>
          <w:szCs w:val="28"/>
        </w:rPr>
        <w:t>Узагальнюючий висновок:</w:t>
      </w:r>
      <w:r w:rsidRPr="000D4793">
        <w:rPr>
          <w:szCs w:val="28"/>
        </w:rPr>
        <w:t xml:space="preserve"> законопроект може бути прийнятий в другому читанні за умови врахування висловлених зауважень.</w:t>
      </w:r>
    </w:p>
    <w:p w:rsidR="009C6E29" w:rsidRPr="000D4793" w:rsidRDefault="009C6E29" w:rsidP="000D4793">
      <w:pPr>
        <w:ind w:firstLine="709"/>
        <w:jc w:val="both"/>
        <w:rPr>
          <w:szCs w:val="28"/>
        </w:rPr>
      </w:pPr>
    </w:p>
    <w:p w:rsidR="009C6E29" w:rsidRPr="000D4793" w:rsidRDefault="009C6E29" w:rsidP="000D4793">
      <w:pPr>
        <w:widowControl w:val="0"/>
        <w:autoSpaceDE w:val="0"/>
        <w:autoSpaceDN w:val="0"/>
        <w:adjustRightInd w:val="0"/>
        <w:ind w:firstLine="709"/>
        <w:jc w:val="both"/>
        <w:rPr>
          <w:szCs w:val="28"/>
        </w:rPr>
      </w:pPr>
      <w:r w:rsidRPr="000D4793">
        <w:rPr>
          <w:szCs w:val="28"/>
        </w:rPr>
        <w:t xml:space="preserve">Перший заступник </w:t>
      </w:r>
    </w:p>
    <w:p w:rsidR="009C6E29" w:rsidRPr="000D4793" w:rsidRDefault="009C6E29">
      <w:r w:rsidRPr="000D4793">
        <w:rPr>
          <w:szCs w:val="28"/>
        </w:rPr>
        <w:t xml:space="preserve">керівника Головного управління      </w:t>
      </w:r>
      <w:r w:rsidRPr="000D4793">
        <w:rPr>
          <w:szCs w:val="28"/>
        </w:rPr>
        <w:tab/>
      </w:r>
      <w:r w:rsidRPr="000D4793">
        <w:rPr>
          <w:szCs w:val="28"/>
        </w:rPr>
        <w:tab/>
      </w:r>
      <w:r w:rsidRPr="000D4793">
        <w:rPr>
          <w:szCs w:val="28"/>
        </w:rPr>
        <w:tab/>
      </w:r>
      <w:r w:rsidRPr="000D4793">
        <w:rPr>
          <w:szCs w:val="28"/>
        </w:rPr>
        <w:tab/>
      </w:r>
      <w:r w:rsidRPr="000D4793">
        <w:rPr>
          <w:szCs w:val="28"/>
        </w:rPr>
        <w:tab/>
        <w:t xml:space="preserve"> А.НИЖНИК</w:t>
      </w:r>
    </w:p>
    <w:sectPr w:rsidR="009C6E29" w:rsidRPr="000D4793" w:rsidSect="000D4793">
      <w:pgSz w:w="11906" w:h="16838"/>
      <w:pgMar w:top="1134" w:right="964"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E29" w:rsidRDefault="009C6E29">
      <w:r>
        <w:separator/>
      </w:r>
    </w:p>
  </w:endnote>
  <w:endnote w:type="continuationSeparator" w:id="0">
    <w:p w:rsidR="009C6E29" w:rsidRDefault="009C6E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E29" w:rsidRDefault="009C6E29">
      <w:r>
        <w:separator/>
      </w:r>
    </w:p>
  </w:footnote>
  <w:footnote w:type="continuationSeparator" w:id="0">
    <w:p w:rsidR="009C6E29" w:rsidRDefault="009C6E2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1691"/>
    <w:rsid w:val="000056DF"/>
    <w:rsid w:val="00017A51"/>
    <w:rsid w:val="000A54F0"/>
    <w:rsid w:val="000D4793"/>
    <w:rsid w:val="000E2186"/>
    <w:rsid w:val="0021012F"/>
    <w:rsid w:val="0028308C"/>
    <w:rsid w:val="002F025D"/>
    <w:rsid w:val="002F18A8"/>
    <w:rsid w:val="00322E2D"/>
    <w:rsid w:val="003A0652"/>
    <w:rsid w:val="003A1691"/>
    <w:rsid w:val="003A3878"/>
    <w:rsid w:val="003A7B64"/>
    <w:rsid w:val="003C5F19"/>
    <w:rsid w:val="00412729"/>
    <w:rsid w:val="00430093"/>
    <w:rsid w:val="00456A3F"/>
    <w:rsid w:val="004A28B1"/>
    <w:rsid w:val="005204CF"/>
    <w:rsid w:val="005C1B5C"/>
    <w:rsid w:val="006136B3"/>
    <w:rsid w:val="00632E50"/>
    <w:rsid w:val="006631B9"/>
    <w:rsid w:val="007B7FA6"/>
    <w:rsid w:val="0080661E"/>
    <w:rsid w:val="008A1701"/>
    <w:rsid w:val="009C6E29"/>
    <w:rsid w:val="009E3CCC"/>
    <w:rsid w:val="00A77478"/>
    <w:rsid w:val="00AA1007"/>
    <w:rsid w:val="00AA257A"/>
    <w:rsid w:val="00BC753A"/>
    <w:rsid w:val="00C16575"/>
    <w:rsid w:val="00C20E91"/>
    <w:rsid w:val="00C52098"/>
    <w:rsid w:val="00C846AA"/>
    <w:rsid w:val="00C8595E"/>
    <w:rsid w:val="00CB5932"/>
    <w:rsid w:val="00CF055A"/>
    <w:rsid w:val="00CF298A"/>
    <w:rsid w:val="00CF4405"/>
    <w:rsid w:val="00D21334"/>
    <w:rsid w:val="00DE77E7"/>
    <w:rsid w:val="00E068FB"/>
    <w:rsid w:val="00EA22D8"/>
    <w:rsid w:val="00EC6213"/>
    <w:rsid w:val="00EF521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691"/>
    <w:rPr>
      <w:rFonts w:eastAsia="Times New Roman"/>
      <w:sz w:val="28"/>
      <w:szCs w:val="24"/>
      <w:lang w:val="uk-UA"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vts0">
    <w:name w:val="rvts0"/>
    <w:basedOn w:val="DefaultParagraphFont"/>
    <w:uiPriority w:val="99"/>
    <w:rsid w:val="00EF5212"/>
    <w:rPr>
      <w:rFonts w:cs="Times New Roman"/>
    </w:rPr>
  </w:style>
  <w:style w:type="paragraph" w:styleId="ListParagraph">
    <w:name w:val="List Paragraph"/>
    <w:basedOn w:val="Normal"/>
    <w:uiPriority w:val="99"/>
    <w:qFormat/>
    <w:rsid w:val="00EF5212"/>
    <w:pPr>
      <w:ind w:left="720"/>
      <w:contextualSpacing/>
    </w:pPr>
  </w:style>
  <w:style w:type="paragraph" w:styleId="Footer">
    <w:name w:val="footer"/>
    <w:basedOn w:val="Normal"/>
    <w:link w:val="FooterChar"/>
    <w:uiPriority w:val="99"/>
    <w:rsid w:val="000D4793"/>
    <w:pPr>
      <w:tabs>
        <w:tab w:val="center" w:pos="4677"/>
        <w:tab w:val="right" w:pos="9355"/>
      </w:tabs>
    </w:pPr>
  </w:style>
  <w:style w:type="character" w:customStyle="1" w:styleId="FooterChar">
    <w:name w:val="Footer Char"/>
    <w:basedOn w:val="DefaultParagraphFont"/>
    <w:link w:val="Footer"/>
    <w:uiPriority w:val="99"/>
    <w:semiHidden/>
    <w:rsid w:val="00B06834"/>
    <w:rPr>
      <w:rFonts w:eastAsia="Times New Roman"/>
      <w:sz w:val="28"/>
      <w:szCs w:val="24"/>
      <w:lang w:val="uk-UA" w:eastAsia="ru-RU"/>
    </w:rPr>
  </w:style>
  <w:style w:type="character" w:styleId="PageNumber">
    <w:name w:val="page number"/>
    <w:basedOn w:val="DefaultParagraphFont"/>
    <w:uiPriority w:val="99"/>
    <w:rsid w:val="000D4793"/>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2</Pages>
  <Words>764</Words>
  <Characters>4358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OSCE</cp:lastModifiedBy>
  <cp:revision>3</cp:revision>
  <dcterms:created xsi:type="dcterms:W3CDTF">2017-03-29T12:23:00Z</dcterms:created>
  <dcterms:modified xsi:type="dcterms:W3CDTF">2017-03-29T14:47:00Z</dcterms:modified>
</cp:coreProperties>
</file>