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7D5" w:rsidRPr="007A57D5" w:rsidRDefault="007A57D5" w:rsidP="007A57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57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Порівняльна таблиця</w:t>
      </w:r>
    </w:p>
    <w:p w:rsidR="007A57D5" w:rsidRPr="007A57D5" w:rsidRDefault="007A57D5" w:rsidP="007A57D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A57D5">
        <w:rPr>
          <w:rFonts w:ascii="Times New Roman" w:eastAsia="Times New Roman" w:hAnsi="Times New Roman" w:cs="Times New Roman"/>
          <w:b/>
          <w:bCs/>
          <w:sz w:val="28"/>
          <w:szCs w:val="28"/>
        </w:rPr>
        <w:t>до проекту Закону України</w:t>
      </w:r>
    </w:p>
    <w:p w:rsidR="007A57D5" w:rsidRPr="007A57D5" w:rsidRDefault="007A57D5" w:rsidP="007A57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57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7A57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 внесення змін до Митного кодексу України щодо уніфікованої митної квитанції</w:t>
      </w:r>
      <w:r w:rsidRPr="007A57D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A57D5" w:rsidRPr="007A57D5" w:rsidRDefault="007A57D5" w:rsidP="007A57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20"/>
        <w:gridCol w:w="7920"/>
      </w:tblGrid>
      <w:tr w:rsidR="007A57D5" w:rsidRPr="007A57D5" w:rsidTr="0092215F">
        <w:trPr>
          <w:trHeight w:val="442"/>
          <w:tblHeader/>
        </w:trPr>
        <w:tc>
          <w:tcPr>
            <w:tcW w:w="7920" w:type="dxa"/>
            <w:vAlign w:val="center"/>
          </w:tcPr>
          <w:p w:rsidR="007A57D5" w:rsidRPr="007A57D5" w:rsidRDefault="007A57D5" w:rsidP="007A5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Зміст положення (норми) чинного законодавства</w:t>
            </w:r>
          </w:p>
        </w:tc>
        <w:tc>
          <w:tcPr>
            <w:tcW w:w="7920" w:type="dxa"/>
            <w:vAlign w:val="center"/>
          </w:tcPr>
          <w:p w:rsidR="007A57D5" w:rsidRPr="007A57D5" w:rsidRDefault="007A57D5" w:rsidP="007A5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Зміст відповідного положення (норми) проекту акта</w:t>
            </w:r>
          </w:p>
        </w:tc>
      </w:tr>
      <w:tr w:rsidR="007A57D5" w:rsidRPr="007A57D5" w:rsidTr="0092215F">
        <w:tc>
          <w:tcPr>
            <w:tcW w:w="15840" w:type="dxa"/>
            <w:gridSpan w:val="2"/>
          </w:tcPr>
          <w:p w:rsidR="007A57D5" w:rsidRPr="007A57D5" w:rsidRDefault="007A57D5" w:rsidP="007A5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Стаття 4. Визначення основних термінів і понять</w:t>
            </w:r>
          </w:p>
        </w:tc>
      </w:tr>
      <w:tr w:rsidR="007A57D5" w:rsidRPr="007A57D5" w:rsidTr="0092215F">
        <w:tc>
          <w:tcPr>
            <w:tcW w:w="7920" w:type="dxa"/>
          </w:tcPr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 У цьому Кодексі наведені нижче терміни і поняття вживаються в такому значенні:</w:t>
            </w:r>
          </w:p>
          <w:p w:rsidR="007A57D5" w:rsidRPr="007A57D5" w:rsidRDefault="007A57D5" w:rsidP="007A57D5">
            <w:pPr>
              <w:spacing w:after="0" w:line="240" w:lineRule="auto"/>
              <w:ind w:left="81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</w:p>
          <w:p w:rsidR="007A57D5" w:rsidRPr="007A57D5" w:rsidRDefault="007A57D5" w:rsidP="007A57D5">
            <w:pPr>
              <w:spacing w:after="0" w:line="240" w:lineRule="auto"/>
              <w:ind w:left="81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відсутня</w:t>
            </w:r>
          </w:p>
        </w:tc>
        <w:tc>
          <w:tcPr>
            <w:tcW w:w="7920" w:type="dxa"/>
          </w:tcPr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7A57D5" w:rsidRPr="007A57D5" w:rsidRDefault="007A57D5" w:rsidP="007A57D5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62</w:t>
            </w:r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ru-RU"/>
              </w:rPr>
              <w:t>1</w:t>
            </w:r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) уніфікована митна квитанція — платіжний документ, що застосовується органом доходів і зборів під час здійснення операцій, передбачених статтями 234, 239—242, 247, 313, 374, 379—381, 541 цього Кодексу</w:t>
            </w:r>
          </w:p>
        </w:tc>
      </w:tr>
      <w:tr w:rsidR="007A57D5" w:rsidRPr="007A57D5" w:rsidTr="0092215F">
        <w:tc>
          <w:tcPr>
            <w:tcW w:w="15840" w:type="dxa"/>
            <w:gridSpan w:val="2"/>
          </w:tcPr>
          <w:p w:rsidR="007A57D5" w:rsidRPr="007A57D5" w:rsidRDefault="007A57D5" w:rsidP="007A5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Стаття 239. Склади органів доходів і зборів</w:t>
            </w:r>
          </w:p>
        </w:tc>
      </w:tr>
      <w:tr w:rsidR="007A57D5" w:rsidRPr="007A57D5" w:rsidTr="0092215F">
        <w:tc>
          <w:tcPr>
            <w:tcW w:w="7920" w:type="dxa"/>
          </w:tcPr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Товари, заявлені у різні митні режими, повинні зберігатися на складах органів доходів і зборів окремо, з дотриманням порядку, встановленого цим Кодексом для відповідних митних режимів.</w:t>
            </w:r>
          </w:p>
        </w:tc>
        <w:tc>
          <w:tcPr>
            <w:tcW w:w="7920" w:type="dxa"/>
          </w:tcPr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Товари, заявлені у різні митні режими, повинні зберігатися на складах органів доходів і зборів окремо, з дотриманням порядку, встановленого цим Кодексом для відповідних митних режимів.</w:t>
            </w:r>
          </w:p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Розміщення товарів, транспортних засобів комерційного призначення на складах органів доходів і зборів може здійснюватися із заповненням уніфікованої митної квитанції</w:t>
            </w:r>
          </w:p>
        </w:tc>
      </w:tr>
      <w:tr w:rsidR="007A57D5" w:rsidRPr="007A57D5" w:rsidTr="0092215F">
        <w:tc>
          <w:tcPr>
            <w:tcW w:w="15840" w:type="dxa"/>
            <w:gridSpan w:val="2"/>
          </w:tcPr>
          <w:p w:rsidR="007A57D5" w:rsidRPr="007A57D5" w:rsidRDefault="007A57D5" w:rsidP="007A5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Стаття 242. Видача товарів із складів органів доходів і зборів</w:t>
            </w:r>
          </w:p>
        </w:tc>
      </w:tr>
      <w:tr w:rsidR="007A57D5" w:rsidRPr="007A57D5" w:rsidTr="0092215F">
        <w:tc>
          <w:tcPr>
            <w:tcW w:w="7920" w:type="dxa"/>
          </w:tcPr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 Товари, що зберігаються на складах органів доходів і зборів під митним контролем, можуть бути видані їх власникам або уповноваженим ними особам, а також особам, до яких протягом строку зберігання перейшло право власності на ці товари або право володіння ними, лише після митного оформлення зазначених товарів, відшкодування витрат органів доходів і зборів на їх зберігання та сплати відповідних митних платежів.</w:t>
            </w:r>
          </w:p>
        </w:tc>
        <w:tc>
          <w:tcPr>
            <w:tcW w:w="7920" w:type="dxa"/>
          </w:tcPr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 Товари, що зберігаються на складах органів доходів і зборів під митним контролем, можуть бути видані їх власникам або уповноваженим ними особам, а також особам, до яких протягом строку зберігання перейшло право власності на ці товари або право володіння ними, лише після митного оформлення зазначених товарів, відшкодування витрат органів доходів і зборів на їх зберігання та сплати відповідних митних платежів.</w:t>
            </w:r>
          </w:p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Відшкодування витрат за зберігання товарів, транспортних засобів на складах органів доходів і зборів, передбачених частиною шостою </w:t>
            </w:r>
            <w:proofErr w:type="spellStart"/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ста</w:t>
            </w:r>
            <w:proofErr w:type="spellEnd"/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тті 239 цього Кодексу, здійснюється із заповненням уніфікованої митної квитанції.</w:t>
            </w:r>
          </w:p>
        </w:tc>
      </w:tr>
      <w:tr w:rsidR="007A57D5" w:rsidRPr="007A57D5" w:rsidTr="0092215F">
        <w:tc>
          <w:tcPr>
            <w:tcW w:w="15840" w:type="dxa"/>
            <w:gridSpan w:val="2"/>
          </w:tcPr>
          <w:p w:rsidR="007A57D5" w:rsidRPr="007A57D5" w:rsidRDefault="007A57D5" w:rsidP="007A5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Стаття 247. Місце і час здійснення митного оформлення</w:t>
            </w:r>
          </w:p>
        </w:tc>
      </w:tr>
      <w:tr w:rsidR="007A57D5" w:rsidRPr="007A57D5" w:rsidTr="0092215F">
        <w:tc>
          <w:tcPr>
            <w:tcW w:w="7920" w:type="dxa"/>
          </w:tcPr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8. За виконання митних формальностей органами доходів і зборів </w:t>
            </w:r>
            <w:r w:rsidRPr="007A57D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поза місцем розташування органів доходів і зборів або поза робочим часом, установленим для них, із заінтересованих осіб справляється плата у розмірах, установлених Кабінетом Міністрів України, та в порядку, визначеному центральним органом виконавчої влади, що забезпечує формування та реалізує державну податкову і митну політику.</w:t>
            </w:r>
          </w:p>
        </w:tc>
        <w:tc>
          <w:tcPr>
            <w:tcW w:w="7920" w:type="dxa"/>
          </w:tcPr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8. За виконання митних формальностей органами доходів і зборів </w:t>
            </w:r>
            <w:r w:rsidRPr="007A57D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поза місцем розташування органів доходів і зборів або поза робочим часом, установленим для них, із заінтересованих осіб справляється плата у розмірах, установлених Кабінетом Міністрів України, та в порядку, визначеному центральним органом виконавчої влади, що забезпечує формування та реалізує державну податкову і митну політику.</w:t>
            </w:r>
          </w:p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Така плата може справлятися із заповненням  уніфікованої митної квитанції.</w:t>
            </w:r>
          </w:p>
        </w:tc>
      </w:tr>
      <w:tr w:rsidR="007A57D5" w:rsidRPr="007A57D5" w:rsidTr="0092215F">
        <w:tc>
          <w:tcPr>
            <w:tcW w:w="15840" w:type="dxa"/>
            <w:gridSpan w:val="2"/>
          </w:tcPr>
          <w:p w:rsidR="007A57D5" w:rsidRPr="007A57D5" w:rsidRDefault="007A57D5" w:rsidP="007A5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>Стаття 298. Порядок і форми сплати митних платежів</w:t>
            </w:r>
          </w:p>
        </w:tc>
      </w:tr>
      <w:tr w:rsidR="007A57D5" w:rsidRPr="007A57D5" w:rsidTr="0092215F">
        <w:tc>
          <w:tcPr>
            <w:tcW w:w="7920" w:type="dxa"/>
          </w:tcPr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Суми митних платежів сплачуються в готівковій формі через касу органу доходів і зборів чи фінансової установи або у безготівковій формі через фінансову установу, крім випадків, передбачених цим Кодексом та законами України.</w:t>
            </w:r>
          </w:p>
        </w:tc>
        <w:tc>
          <w:tcPr>
            <w:tcW w:w="7920" w:type="dxa"/>
          </w:tcPr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Суми митних платежів сплачуються в готівковій формі через касу органу доходів і зборів чи фінансової установи або у безготівковій формі через фінансову установу, крім випадків, передбачених цим Кодексом та законами України.</w:t>
            </w:r>
          </w:p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Суми митних платежів можуть сплачуватися в готівковій формі органу доходів і зборів із заповненням уніфікованої митної квитанції, форма, порядок застосування якої визначається центральним органом виконавчої влади, що забезпечує формування та реалізацію єдиної державної податкової і митної політики.</w:t>
            </w:r>
          </w:p>
        </w:tc>
      </w:tr>
      <w:tr w:rsidR="007A57D5" w:rsidRPr="007A57D5" w:rsidTr="0092215F">
        <w:tc>
          <w:tcPr>
            <w:tcW w:w="15840" w:type="dxa"/>
            <w:gridSpan w:val="2"/>
          </w:tcPr>
          <w:p w:rsidR="007A57D5" w:rsidRPr="007A57D5" w:rsidRDefault="007A57D5" w:rsidP="007A5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Стаття 313. Фінансова гарантія у вигляді грошової застави</w:t>
            </w:r>
          </w:p>
        </w:tc>
      </w:tr>
      <w:tr w:rsidR="007A57D5" w:rsidRPr="007A57D5" w:rsidTr="0092215F">
        <w:tc>
          <w:tcPr>
            <w:tcW w:w="7920" w:type="dxa"/>
          </w:tcPr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9. Порядок внесення грошової застави та її повернення визначається центральним органом виконавчої влади, що забезпечує формування та реалізує державну податкову і митну політику.</w:t>
            </w:r>
          </w:p>
        </w:tc>
        <w:tc>
          <w:tcPr>
            <w:tcW w:w="7920" w:type="dxa"/>
          </w:tcPr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9. Порядок внесення грошової застави та її повернення визначається центральним органом виконавчої влади, що забезпечує формування та реалізує державну податкову і митну політику.</w:t>
            </w:r>
          </w:p>
          <w:p w:rsidR="007A57D5" w:rsidRPr="007A57D5" w:rsidRDefault="007A57D5" w:rsidP="007A57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7A57D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Внесення грошової застави здійснюється із заповненням уніфікованої митної квитанції.</w:t>
            </w:r>
          </w:p>
        </w:tc>
      </w:tr>
    </w:tbl>
    <w:p w:rsidR="007A57D5" w:rsidRPr="007A57D5" w:rsidRDefault="007A57D5" w:rsidP="007A57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A57D5" w:rsidRPr="007A57D5" w:rsidRDefault="007A57D5" w:rsidP="007A57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A57D5" w:rsidRPr="007A57D5" w:rsidRDefault="007A57D5" w:rsidP="007A57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57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Директор Департаменту з питань фінансової політики                                                                                                                                                            Секретаріату Кабінету Міністрів                                                                                                                                                    В.  ЯЩУК</w:t>
      </w:r>
    </w:p>
    <w:p w:rsidR="003255BF" w:rsidRDefault="003255BF">
      <w:bookmarkStart w:id="0" w:name="_GoBack"/>
      <w:bookmarkEnd w:id="0"/>
    </w:p>
    <w:sectPr w:rsidR="003255BF" w:rsidSect="002E7441">
      <w:headerReference w:type="even" r:id="rId5"/>
      <w:headerReference w:type="default" r:id="rId6"/>
      <w:pgSz w:w="16838" w:h="11906" w:orient="landscape"/>
      <w:pgMar w:top="719" w:right="284" w:bottom="719" w:left="28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8BC" w:rsidRDefault="007A57D5" w:rsidP="0068313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E48BC" w:rsidRDefault="007A57D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8BC" w:rsidRDefault="007A57D5" w:rsidP="0068313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EE48BC" w:rsidRDefault="007A57D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395"/>
    <w:rsid w:val="0001085A"/>
    <w:rsid w:val="000A20F2"/>
    <w:rsid w:val="000C1CEC"/>
    <w:rsid w:val="000C5BF5"/>
    <w:rsid w:val="000F0657"/>
    <w:rsid w:val="00114475"/>
    <w:rsid w:val="001206F6"/>
    <w:rsid w:val="00120856"/>
    <w:rsid w:val="001645AB"/>
    <w:rsid w:val="0016797B"/>
    <w:rsid w:val="001B784F"/>
    <w:rsid w:val="001E08B0"/>
    <w:rsid w:val="001E2AEB"/>
    <w:rsid w:val="001E7BD5"/>
    <w:rsid w:val="00217373"/>
    <w:rsid w:val="002462ED"/>
    <w:rsid w:val="003255BF"/>
    <w:rsid w:val="0034390A"/>
    <w:rsid w:val="00360C01"/>
    <w:rsid w:val="003647FE"/>
    <w:rsid w:val="00365667"/>
    <w:rsid w:val="00370064"/>
    <w:rsid w:val="003F7A1E"/>
    <w:rsid w:val="0041370F"/>
    <w:rsid w:val="004514F7"/>
    <w:rsid w:val="00456DA2"/>
    <w:rsid w:val="00463195"/>
    <w:rsid w:val="0047358D"/>
    <w:rsid w:val="004760CA"/>
    <w:rsid w:val="004B41A3"/>
    <w:rsid w:val="004D7978"/>
    <w:rsid w:val="00506395"/>
    <w:rsid w:val="005B7B8C"/>
    <w:rsid w:val="005C033A"/>
    <w:rsid w:val="005E05A2"/>
    <w:rsid w:val="00612E12"/>
    <w:rsid w:val="00640C66"/>
    <w:rsid w:val="006514A7"/>
    <w:rsid w:val="00653288"/>
    <w:rsid w:val="00661AAC"/>
    <w:rsid w:val="00667751"/>
    <w:rsid w:val="00695387"/>
    <w:rsid w:val="006A40AC"/>
    <w:rsid w:val="006B4829"/>
    <w:rsid w:val="006D718B"/>
    <w:rsid w:val="00724CE4"/>
    <w:rsid w:val="00736166"/>
    <w:rsid w:val="0078365A"/>
    <w:rsid w:val="007A57D5"/>
    <w:rsid w:val="007D4638"/>
    <w:rsid w:val="007D5C9A"/>
    <w:rsid w:val="007D7892"/>
    <w:rsid w:val="007F4EDE"/>
    <w:rsid w:val="00811706"/>
    <w:rsid w:val="00862DFA"/>
    <w:rsid w:val="00892823"/>
    <w:rsid w:val="008B327C"/>
    <w:rsid w:val="008C3DE7"/>
    <w:rsid w:val="008F2134"/>
    <w:rsid w:val="0091261D"/>
    <w:rsid w:val="00922274"/>
    <w:rsid w:val="00994D40"/>
    <w:rsid w:val="009A4A1D"/>
    <w:rsid w:val="009C7153"/>
    <w:rsid w:val="00A00CED"/>
    <w:rsid w:val="00A44F9E"/>
    <w:rsid w:val="00A4710F"/>
    <w:rsid w:val="00A60D66"/>
    <w:rsid w:val="00A71819"/>
    <w:rsid w:val="00A84E5A"/>
    <w:rsid w:val="00AB5310"/>
    <w:rsid w:val="00AD0883"/>
    <w:rsid w:val="00AD64BD"/>
    <w:rsid w:val="00AE2E7B"/>
    <w:rsid w:val="00AF0362"/>
    <w:rsid w:val="00B011E5"/>
    <w:rsid w:val="00B077E7"/>
    <w:rsid w:val="00B30017"/>
    <w:rsid w:val="00B30863"/>
    <w:rsid w:val="00BB3CBE"/>
    <w:rsid w:val="00BB6FA5"/>
    <w:rsid w:val="00BE5C41"/>
    <w:rsid w:val="00C66356"/>
    <w:rsid w:val="00C91CA2"/>
    <w:rsid w:val="00C94E09"/>
    <w:rsid w:val="00CB4640"/>
    <w:rsid w:val="00D30A08"/>
    <w:rsid w:val="00D36994"/>
    <w:rsid w:val="00D87D5C"/>
    <w:rsid w:val="00D948D2"/>
    <w:rsid w:val="00DA41AF"/>
    <w:rsid w:val="00DB2E16"/>
    <w:rsid w:val="00DB3389"/>
    <w:rsid w:val="00E67C2F"/>
    <w:rsid w:val="00E913E9"/>
    <w:rsid w:val="00E97A51"/>
    <w:rsid w:val="00ED41DF"/>
    <w:rsid w:val="00EE654D"/>
    <w:rsid w:val="00F127C8"/>
    <w:rsid w:val="00F14772"/>
    <w:rsid w:val="00F27BC4"/>
    <w:rsid w:val="00F34116"/>
    <w:rsid w:val="00F65C3A"/>
    <w:rsid w:val="00FA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57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57D5"/>
  </w:style>
  <w:style w:type="character" w:styleId="a5">
    <w:name w:val="page number"/>
    <w:basedOn w:val="a0"/>
    <w:rsid w:val="007A57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57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57D5"/>
  </w:style>
  <w:style w:type="character" w:styleId="a5">
    <w:name w:val="page number"/>
    <w:basedOn w:val="a0"/>
    <w:rsid w:val="007A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3122</Words>
  <Characters>1780</Characters>
  <Application>Microsoft Office Word</Application>
  <DocSecurity>0</DocSecurity>
  <Lines>14</Lines>
  <Paragraphs>9</Paragraphs>
  <ScaleCrop>false</ScaleCrop>
  <Company>Work</Company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2016-06-25T08:33:00Z</dcterms:created>
  <dcterms:modified xsi:type="dcterms:W3CDTF">2016-06-25T08:34:00Z</dcterms:modified>
</cp:coreProperties>
</file>