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6DE" w:rsidRPr="00E946DE" w:rsidRDefault="00E946DE" w:rsidP="00E946DE">
      <w:pPr>
        <w:spacing w:after="0" w:line="240" w:lineRule="auto"/>
        <w:ind w:firstLine="709"/>
        <w:jc w:val="right"/>
        <w:rPr>
          <w:rFonts w:eastAsia="Calibri" w:cs="Calibri"/>
          <w:sz w:val="24"/>
          <w:szCs w:val="24"/>
          <w:lang w:val="uk-UA"/>
        </w:rPr>
      </w:pPr>
      <w:r w:rsidRPr="00E946DE">
        <w:rPr>
          <w:rFonts w:eastAsia="Calibri" w:cs="Calibri"/>
          <w:sz w:val="24"/>
          <w:szCs w:val="24"/>
          <w:lang w:val="uk-UA"/>
        </w:rPr>
        <w:t xml:space="preserve">До реєстр. № </w:t>
      </w:r>
      <w:r>
        <w:rPr>
          <w:rFonts w:eastAsia="Calibri" w:cs="Calibri"/>
          <w:sz w:val="24"/>
          <w:szCs w:val="24"/>
          <w:lang w:val="uk-UA"/>
        </w:rPr>
        <w:t>555</w:t>
      </w:r>
      <w:r w:rsidRPr="00E946DE">
        <w:rPr>
          <w:rFonts w:eastAsia="Calibri" w:cs="Calibri"/>
          <w:sz w:val="24"/>
          <w:szCs w:val="24"/>
          <w:lang w:val="uk-UA"/>
        </w:rPr>
        <w:t>7</w:t>
      </w:r>
    </w:p>
    <w:p w:rsidR="00E946DE" w:rsidRPr="00E946DE" w:rsidRDefault="00E946DE" w:rsidP="00E946DE">
      <w:pPr>
        <w:spacing w:after="0" w:line="240" w:lineRule="auto"/>
        <w:ind w:firstLine="709"/>
        <w:jc w:val="right"/>
        <w:rPr>
          <w:rFonts w:eastAsia="Calibri" w:cs="Calibri"/>
          <w:sz w:val="24"/>
          <w:szCs w:val="24"/>
          <w:lang w:val="uk-UA"/>
        </w:rPr>
      </w:pPr>
      <w:r w:rsidRPr="00E946DE">
        <w:rPr>
          <w:rFonts w:eastAsia="Calibri" w:cs="Calibri"/>
          <w:sz w:val="24"/>
          <w:szCs w:val="24"/>
          <w:lang w:val="uk-UA"/>
        </w:rPr>
        <w:t xml:space="preserve"> від 2</w:t>
      </w:r>
      <w:r>
        <w:rPr>
          <w:rFonts w:eastAsia="Calibri" w:cs="Calibri"/>
          <w:sz w:val="24"/>
          <w:szCs w:val="24"/>
          <w:lang w:val="uk-UA"/>
        </w:rPr>
        <w:t>0</w:t>
      </w:r>
      <w:r w:rsidRPr="00E946DE">
        <w:rPr>
          <w:rFonts w:eastAsia="Calibri" w:cs="Calibri"/>
          <w:sz w:val="24"/>
          <w:szCs w:val="24"/>
          <w:lang w:val="uk-UA"/>
        </w:rPr>
        <w:t>.12.2016 р.</w:t>
      </w:r>
    </w:p>
    <w:p w:rsidR="00E946DE" w:rsidRPr="00E946DE" w:rsidRDefault="00E946DE" w:rsidP="00E946DE">
      <w:pPr>
        <w:spacing w:after="120" w:line="240" w:lineRule="auto"/>
        <w:ind w:firstLine="709"/>
        <w:jc w:val="right"/>
        <w:rPr>
          <w:rFonts w:eastAsia="Calibri" w:cs="Calibri"/>
          <w:sz w:val="24"/>
          <w:szCs w:val="24"/>
          <w:lang w:val="uk-UA"/>
        </w:rPr>
      </w:pPr>
    </w:p>
    <w:p w:rsidR="00E946DE" w:rsidRPr="00E946DE" w:rsidRDefault="00E946DE" w:rsidP="00E946DE">
      <w:pPr>
        <w:spacing w:after="120" w:line="240" w:lineRule="auto"/>
        <w:ind w:firstLine="709"/>
        <w:jc w:val="right"/>
        <w:rPr>
          <w:rFonts w:eastAsia="Calibri" w:cs="Calibri"/>
          <w:i/>
          <w:sz w:val="24"/>
          <w:szCs w:val="24"/>
          <w:lang w:val="uk-UA"/>
        </w:rPr>
      </w:pPr>
    </w:p>
    <w:p w:rsidR="00E946DE" w:rsidRPr="00E946DE" w:rsidRDefault="00E946DE" w:rsidP="00E946DE">
      <w:pPr>
        <w:spacing w:after="120" w:line="240" w:lineRule="auto"/>
        <w:ind w:firstLine="709"/>
        <w:jc w:val="both"/>
        <w:rPr>
          <w:rFonts w:eastAsia="Calibri" w:cs="Calibri"/>
          <w:sz w:val="24"/>
          <w:szCs w:val="24"/>
          <w:lang w:val="uk-UA"/>
        </w:rPr>
      </w:pPr>
    </w:p>
    <w:p w:rsidR="00E946DE" w:rsidRPr="00E946DE" w:rsidRDefault="00E946DE" w:rsidP="00E946DE">
      <w:pPr>
        <w:spacing w:after="120" w:line="240" w:lineRule="auto"/>
        <w:jc w:val="both"/>
        <w:rPr>
          <w:rFonts w:eastAsia="Calibri" w:cs="Calibri"/>
          <w:sz w:val="24"/>
          <w:szCs w:val="24"/>
          <w:lang w:val="uk-UA"/>
        </w:rPr>
      </w:pPr>
    </w:p>
    <w:p w:rsidR="00E946DE" w:rsidRPr="00E946DE" w:rsidRDefault="00E946DE" w:rsidP="00E946DE">
      <w:pPr>
        <w:spacing w:after="120" w:line="240" w:lineRule="auto"/>
        <w:ind w:firstLine="709"/>
        <w:jc w:val="both"/>
        <w:rPr>
          <w:rFonts w:eastAsia="Calibri" w:cs="Calibri"/>
          <w:sz w:val="24"/>
          <w:szCs w:val="24"/>
          <w:lang w:val="uk-UA"/>
        </w:rPr>
      </w:pPr>
    </w:p>
    <w:p w:rsidR="00E946DE" w:rsidRPr="00E946DE" w:rsidRDefault="00E946DE" w:rsidP="00E946DE">
      <w:pPr>
        <w:spacing w:after="120" w:line="240" w:lineRule="auto"/>
        <w:ind w:firstLine="709"/>
        <w:jc w:val="both"/>
        <w:rPr>
          <w:rFonts w:eastAsia="Calibri" w:cs="Calibri"/>
          <w:sz w:val="24"/>
          <w:szCs w:val="24"/>
          <w:lang w:val="uk-UA"/>
        </w:rPr>
      </w:pPr>
    </w:p>
    <w:p w:rsidR="00E946DE" w:rsidRPr="00E946DE" w:rsidRDefault="00E946DE" w:rsidP="00E946DE">
      <w:pPr>
        <w:spacing w:after="120" w:line="240" w:lineRule="auto"/>
        <w:ind w:firstLine="709"/>
        <w:jc w:val="both"/>
        <w:rPr>
          <w:rFonts w:eastAsia="Calibri" w:cs="Calibri"/>
          <w:sz w:val="24"/>
          <w:szCs w:val="24"/>
          <w:lang w:val="uk-UA"/>
        </w:rPr>
      </w:pPr>
    </w:p>
    <w:p w:rsidR="00E946DE" w:rsidRPr="00E946DE" w:rsidRDefault="00E946DE" w:rsidP="00E946DE">
      <w:pPr>
        <w:spacing w:after="0" w:line="240" w:lineRule="auto"/>
        <w:ind w:firstLine="709"/>
        <w:jc w:val="center"/>
        <w:rPr>
          <w:rFonts w:eastAsia="Calibri" w:cs="Calibri"/>
          <w:b/>
          <w:sz w:val="24"/>
          <w:szCs w:val="24"/>
          <w:lang w:val="uk-UA"/>
        </w:rPr>
      </w:pPr>
      <w:r w:rsidRPr="00E946DE">
        <w:rPr>
          <w:rFonts w:eastAsia="Calibri" w:cs="Calibri"/>
          <w:b/>
          <w:sz w:val="24"/>
          <w:szCs w:val="24"/>
          <w:lang w:val="uk-UA"/>
        </w:rPr>
        <w:t>ВИСНОВОК</w:t>
      </w:r>
    </w:p>
    <w:p w:rsidR="00E946DE" w:rsidRPr="00E946DE" w:rsidRDefault="00E946DE" w:rsidP="00E946DE">
      <w:pPr>
        <w:spacing w:after="0" w:line="240" w:lineRule="auto"/>
        <w:ind w:firstLine="709"/>
        <w:jc w:val="center"/>
        <w:rPr>
          <w:rFonts w:eastAsia="Calibri" w:cs="Calibri"/>
          <w:sz w:val="24"/>
          <w:szCs w:val="24"/>
          <w:lang w:val="uk-UA"/>
        </w:rPr>
      </w:pPr>
      <w:r w:rsidRPr="00E946DE">
        <w:rPr>
          <w:rFonts w:eastAsia="Calibri" w:cs="Calibri"/>
          <w:sz w:val="24"/>
          <w:szCs w:val="24"/>
          <w:lang w:val="uk-UA"/>
        </w:rPr>
        <w:t>щодо результатів здійснення антикорупційної експертизи</w:t>
      </w:r>
    </w:p>
    <w:p w:rsidR="00E946DE" w:rsidRPr="00E946DE" w:rsidRDefault="00E946DE" w:rsidP="00E946DE">
      <w:pPr>
        <w:spacing w:after="0" w:line="240" w:lineRule="auto"/>
        <w:ind w:firstLine="709"/>
        <w:jc w:val="center"/>
        <w:rPr>
          <w:rFonts w:eastAsia="Calibri" w:cs="Calibri"/>
          <w:sz w:val="24"/>
          <w:szCs w:val="24"/>
          <w:lang w:val="uk-UA"/>
        </w:rPr>
      </w:pPr>
      <w:r w:rsidRPr="00E946DE">
        <w:rPr>
          <w:rFonts w:eastAsia="Calibri" w:cs="Calibri"/>
          <w:sz w:val="24"/>
          <w:szCs w:val="24"/>
          <w:lang w:val="uk-UA"/>
        </w:rPr>
        <w:t>проекту нормативно-правового акта</w:t>
      </w:r>
    </w:p>
    <w:p w:rsidR="00E946DE" w:rsidRPr="00E946DE" w:rsidRDefault="00E946DE" w:rsidP="00E946DE">
      <w:pPr>
        <w:spacing w:after="120" w:line="240" w:lineRule="auto"/>
        <w:ind w:firstLine="709"/>
        <w:jc w:val="both"/>
        <w:rPr>
          <w:rFonts w:eastAsia="Calibri" w:cs="Calibri"/>
          <w:sz w:val="24"/>
          <w:szCs w:val="24"/>
          <w:lang w:val="uk-UA"/>
        </w:rPr>
      </w:pPr>
    </w:p>
    <w:p w:rsidR="00E946DE" w:rsidRDefault="00E946DE" w:rsidP="00E946DE">
      <w:pPr>
        <w:shd w:val="clear" w:color="auto" w:fill="FFFFFF"/>
        <w:spacing w:after="120" w:line="180" w:lineRule="atLeast"/>
        <w:ind w:left="709"/>
        <w:jc w:val="both"/>
        <w:textAlignment w:val="baseline"/>
        <w:outlineLvl w:val="2"/>
        <w:rPr>
          <w:rFonts w:ascii="Calibri" w:eastAsia="Times New Roman" w:hAnsi="Calibri" w:cs="Arial"/>
          <w:sz w:val="24"/>
          <w:szCs w:val="24"/>
          <w:lang w:val="uk-UA" w:eastAsia="uk-UA"/>
        </w:rPr>
      </w:pPr>
      <w:r w:rsidRPr="00E946DE">
        <w:rPr>
          <w:rFonts w:ascii="Calibri" w:eastAsia="Times New Roman" w:hAnsi="Calibri" w:cs="Arial"/>
          <w:sz w:val="24"/>
          <w:szCs w:val="24"/>
          <w:lang w:val="uk-UA" w:eastAsia="uk-UA"/>
        </w:rPr>
        <w:t xml:space="preserve">Назва проекту акта: проект </w:t>
      </w:r>
      <w:r>
        <w:rPr>
          <w:rFonts w:ascii="Calibri" w:eastAsia="Times New Roman" w:hAnsi="Calibri" w:cs="Arial"/>
          <w:sz w:val="24"/>
          <w:szCs w:val="24"/>
          <w:lang w:val="uk-UA" w:eastAsia="uk-UA"/>
        </w:rPr>
        <w:t xml:space="preserve">Закону про додаткові заходи підвищення рівня обороноздатності держави та соціального захисту громадян України шляхом застосування механізмів  цивільної конфіскації </w:t>
      </w:r>
    </w:p>
    <w:p w:rsidR="00E946DE" w:rsidRPr="00E946DE" w:rsidRDefault="00E946DE" w:rsidP="00E946DE">
      <w:pPr>
        <w:shd w:val="clear" w:color="auto" w:fill="FFFFFF"/>
        <w:spacing w:after="120" w:line="180" w:lineRule="atLeast"/>
        <w:ind w:left="709"/>
        <w:jc w:val="both"/>
        <w:textAlignment w:val="baseline"/>
        <w:outlineLvl w:val="2"/>
        <w:rPr>
          <w:rFonts w:ascii="Calibri" w:eastAsia="Times New Roman" w:hAnsi="Calibri" w:cs="Arial"/>
          <w:b/>
          <w:bCs/>
          <w:sz w:val="24"/>
          <w:szCs w:val="24"/>
          <w:lang w:val="uk-UA" w:eastAsia="uk-UA"/>
        </w:rPr>
      </w:pPr>
      <w:r w:rsidRPr="00E946DE">
        <w:rPr>
          <w:rFonts w:ascii="Calibri" w:eastAsia="Times New Roman" w:hAnsi="Calibri" w:cs="Arial"/>
          <w:sz w:val="24"/>
          <w:szCs w:val="24"/>
          <w:lang w:val="uk-UA" w:eastAsia="uk-UA"/>
        </w:rPr>
        <w:t>Реєстр. № 55</w:t>
      </w:r>
      <w:r>
        <w:rPr>
          <w:rFonts w:ascii="Calibri" w:eastAsia="Times New Roman" w:hAnsi="Calibri" w:cs="Arial"/>
          <w:sz w:val="24"/>
          <w:szCs w:val="24"/>
          <w:lang w:val="uk-UA" w:eastAsia="uk-UA"/>
        </w:rPr>
        <w:t>5</w:t>
      </w:r>
      <w:r w:rsidRPr="00E946DE">
        <w:rPr>
          <w:rFonts w:ascii="Calibri" w:eastAsia="Times New Roman" w:hAnsi="Calibri" w:cs="Arial"/>
          <w:sz w:val="24"/>
          <w:szCs w:val="24"/>
          <w:lang w:val="uk-UA" w:eastAsia="uk-UA"/>
        </w:rPr>
        <w:t>7 від 2</w:t>
      </w:r>
      <w:r>
        <w:rPr>
          <w:rFonts w:ascii="Calibri" w:eastAsia="Times New Roman" w:hAnsi="Calibri" w:cs="Arial"/>
          <w:sz w:val="24"/>
          <w:szCs w:val="24"/>
          <w:lang w:val="uk-UA" w:eastAsia="uk-UA"/>
        </w:rPr>
        <w:t>0</w:t>
      </w:r>
      <w:r w:rsidRPr="00E946DE">
        <w:rPr>
          <w:rFonts w:ascii="Calibri" w:eastAsia="Times New Roman" w:hAnsi="Calibri" w:cs="Arial"/>
          <w:sz w:val="24"/>
          <w:szCs w:val="24"/>
          <w:lang w:val="uk-UA" w:eastAsia="uk-UA"/>
        </w:rPr>
        <w:t>.12.2016 р.</w:t>
      </w:r>
    </w:p>
    <w:p w:rsidR="00E946DE" w:rsidRPr="00E946DE" w:rsidRDefault="00E946DE" w:rsidP="00E946DE">
      <w:pPr>
        <w:shd w:val="clear" w:color="auto" w:fill="FFFFFF"/>
        <w:spacing w:before="120" w:after="120" w:line="270" w:lineRule="atLeast"/>
        <w:ind w:left="709"/>
        <w:jc w:val="both"/>
        <w:rPr>
          <w:rFonts w:ascii="Calibri" w:eastAsia="Calibri" w:hAnsi="Calibri" w:cs="Arial"/>
          <w:sz w:val="24"/>
          <w:szCs w:val="24"/>
          <w:lang w:val="uk-UA"/>
        </w:rPr>
      </w:pPr>
      <w:r w:rsidRPr="00E946DE">
        <w:rPr>
          <w:rFonts w:ascii="Calibri" w:eastAsia="Calibri" w:hAnsi="Calibri" w:cs="Arial"/>
          <w:sz w:val="24"/>
          <w:szCs w:val="24"/>
          <w:lang w:val="uk-UA"/>
        </w:rPr>
        <w:t xml:space="preserve">Суб’єкт права законодавчої ініціативи: </w:t>
      </w:r>
      <w:r>
        <w:rPr>
          <w:rFonts w:ascii="Calibri" w:eastAsia="Calibri" w:hAnsi="Calibri" w:cs="Arial"/>
          <w:sz w:val="24"/>
          <w:szCs w:val="24"/>
          <w:lang w:val="uk-UA"/>
        </w:rPr>
        <w:t xml:space="preserve">народні депутати України </w:t>
      </w:r>
      <w:proofErr w:type="spellStart"/>
      <w:r>
        <w:rPr>
          <w:rFonts w:ascii="Calibri" w:eastAsia="Calibri" w:hAnsi="Calibri" w:cs="Arial"/>
          <w:sz w:val="24"/>
          <w:szCs w:val="24"/>
          <w:lang w:val="uk-UA"/>
        </w:rPr>
        <w:t>Бурбак</w:t>
      </w:r>
      <w:proofErr w:type="spellEnd"/>
      <w:r>
        <w:rPr>
          <w:rFonts w:ascii="Calibri" w:eastAsia="Calibri" w:hAnsi="Calibri" w:cs="Arial"/>
          <w:sz w:val="24"/>
          <w:szCs w:val="24"/>
          <w:lang w:val="uk-UA"/>
        </w:rPr>
        <w:t xml:space="preserve">  М.Ю., Чорновол Т.М. та інші</w:t>
      </w:r>
      <w:r w:rsidRPr="00E946DE">
        <w:rPr>
          <w:rFonts w:ascii="Calibri" w:eastAsia="Calibri" w:hAnsi="Calibri" w:cs="Arial"/>
          <w:sz w:val="24"/>
          <w:szCs w:val="24"/>
          <w:lang w:val="uk-UA"/>
        </w:rPr>
        <w:t>.</w:t>
      </w:r>
    </w:p>
    <w:p w:rsidR="00E946DE" w:rsidRPr="00E946DE" w:rsidRDefault="00E946DE" w:rsidP="00E946DE">
      <w:pPr>
        <w:spacing w:before="120" w:after="120" w:line="240" w:lineRule="auto"/>
        <w:ind w:left="709"/>
        <w:jc w:val="both"/>
        <w:rPr>
          <w:rFonts w:ascii="Calibri" w:eastAsia="Calibri" w:hAnsi="Calibri" w:cs="Calibri"/>
          <w:sz w:val="24"/>
          <w:szCs w:val="24"/>
          <w:lang w:val="uk-UA"/>
        </w:rPr>
      </w:pPr>
      <w:r w:rsidRPr="00E946DE">
        <w:rPr>
          <w:rFonts w:ascii="Calibri" w:eastAsia="Calibri" w:hAnsi="Calibri" w:cs="Arial"/>
          <w:sz w:val="24"/>
          <w:szCs w:val="24"/>
          <w:lang w:val="uk-UA"/>
        </w:rPr>
        <w:t>Головний комітет з підготовки і попереднього розгляду – Комітет з питань правової політики та правосуддя.</w:t>
      </w:r>
    </w:p>
    <w:p w:rsidR="00E946DE" w:rsidRPr="00E946DE" w:rsidRDefault="00E946DE" w:rsidP="00E946DE">
      <w:pPr>
        <w:spacing w:after="120" w:line="240" w:lineRule="auto"/>
        <w:ind w:firstLine="720"/>
        <w:jc w:val="both"/>
        <w:rPr>
          <w:rFonts w:eastAsia="Calibri" w:cs="Calibri"/>
          <w:szCs w:val="28"/>
          <w:lang w:val="uk-UA"/>
        </w:rPr>
      </w:pPr>
      <w:r w:rsidRPr="00E946DE">
        <w:rPr>
          <w:rFonts w:eastAsia="Calibri" w:cs="Calibri"/>
          <w:szCs w:val="28"/>
          <w:u w:val="single"/>
          <w:lang w:val="uk-UA"/>
        </w:rPr>
        <w:t xml:space="preserve">У проекті акта виявлено корупціогенні фактори – проект акта не відповідає вимогам антикорупційного законодавства </w:t>
      </w:r>
      <w:r w:rsidRPr="00E946DE">
        <w:rPr>
          <w:rFonts w:eastAsia="Calibri" w:cs="Calibri"/>
          <w:szCs w:val="28"/>
          <w:lang w:val="uk-UA"/>
        </w:rPr>
        <w:t xml:space="preserve">(рішення Комітету від    </w:t>
      </w:r>
      <w:r w:rsidRPr="00E946DE">
        <w:rPr>
          <w:rFonts w:eastAsia="Calibri" w:cs="Calibri"/>
          <w:szCs w:val="28"/>
        </w:rPr>
        <w:t xml:space="preserve">   </w:t>
      </w:r>
      <w:r w:rsidR="00A24439" w:rsidRPr="00A24439">
        <w:rPr>
          <w:rFonts w:eastAsia="Calibri" w:cs="Calibri"/>
          <w:szCs w:val="28"/>
        </w:rPr>
        <w:t xml:space="preserve">16 </w:t>
      </w:r>
      <w:r w:rsidR="00A24439">
        <w:rPr>
          <w:rFonts w:eastAsia="Calibri" w:cs="Calibri"/>
          <w:szCs w:val="28"/>
          <w:lang w:val="uk-UA"/>
        </w:rPr>
        <w:t>січня 2018</w:t>
      </w:r>
      <w:r w:rsidRPr="00E946DE">
        <w:rPr>
          <w:rFonts w:eastAsia="Calibri" w:cs="Calibri"/>
          <w:color w:val="000000"/>
          <w:szCs w:val="28"/>
          <w:lang w:val="uk-UA"/>
        </w:rPr>
        <w:t xml:space="preserve"> р., протокол № </w:t>
      </w:r>
      <w:r w:rsidR="00AF50AF">
        <w:rPr>
          <w:rFonts w:eastAsia="Calibri" w:cs="Calibri"/>
          <w:color w:val="000000"/>
          <w:szCs w:val="28"/>
          <w:lang w:val="uk-UA"/>
        </w:rPr>
        <w:t>1</w:t>
      </w:r>
      <w:r w:rsidR="00A24439">
        <w:rPr>
          <w:rFonts w:eastAsia="Calibri" w:cs="Calibri"/>
          <w:color w:val="000000"/>
          <w:szCs w:val="28"/>
          <w:lang w:val="uk-UA"/>
        </w:rPr>
        <w:t>1</w:t>
      </w:r>
      <w:r w:rsidR="00DA2512">
        <w:rPr>
          <w:rFonts w:eastAsia="Calibri" w:cs="Calibri"/>
          <w:color w:val="000000"/>
          <w:szCs w:val="28"/>
          <w:lang w:val="uk-UA"/>
        </w:rPr>
        <w:t>6</w:t>
      </w:r>
      <w:r w:rsidRPr="00E946DE">
        <w:rPr>
          <w:rFonts w:eastAsia="Calibri" w:cs="Calibri"/>
          <w:szCs w:val="28"/>
          <w:lang w:val="uk-UA"/>
        </w:rPr>
        <w:t>.)</w:t>
      </w:r>
    </w:p>
    <w:p w:rsidR="00E946DE" w:rsidRPr="00E946DE" w:rsidRDefault="00E946DE" w:rsidP="00E946DE">
      <w:pPr>
        <w:shd w:val="clear" w:color="auto" w:fill="FFFFFF"/>
        <w:spacing w:after="120" w:line="180" w:lineRule="atLeast"/>
        <w:ind w:firstLine="851"/>
        <w:jc w:val="both"/>
        <w:textAlignment w:val="baseline"/>
        <w:outlineLvl w:val="2"/>
        <w:rPr>
          <w:rFonts w:eastAsia="Times New Roman" w:cs="Times New Roman"/>
          <w:szCs w:val="28"/>
          <w:lang w:val="uk-UA" w:eastAsia="uk-UA"/>
        </w:rPr>
      </w:pPr>
      <w:r w:rsidRPr="00E946DE">
        <w:rPr>
          <w:rFonts w:eastAsia="Times New Roman" w:cs="Times New Roman"/>
          <w:szCs w:val="28"/>
          <w:lang w:val="uk-UA" w:eastAsia="uk-UA"/>
        </w:rPr>
        <w:t xml:space="preserve">Цей проект Закону України є  майже аналогічним  </w:t>
      </w:r>
      <w:r w:rsidR="00F754FC">
        <w:rPr>
          <w:rFonts w:eastAsia="Times New Roman" w:cs="Times New Roman"/>
          <w:szCs w:val="28"/>
          <w:lang w:val="uk-UA" w:eastAsia="uk-UA"/>
        </w:rPr>
        <w:t>проекту Закону</w:t>
      </w:r>
      <w:r w:rsidRPr="00E946DE">
        <w:rPr>
          <w:rFonts w:eastAsia="Times New Roman" w:cs="Times New Roman"/>
          <w:szCs w:val="28"/>
          <w:lang w:val="uk-UA" w:eastAsia="uk-UA"/>
        </w:rPr>
        <w:t xml:space="preserve"> «Про внесення змін до деяких законодавчих актів України щодо забезпечення стягнення в дохід держави необґрунтованих активів» № 5142 від 20.09.2016 р.</w:t>
      </w:r>
      <w:r w:rsidR="00F754FC">
        <w:rPr>
          <w:rFonts w:eastAsia="Times New Roman" w:cs="Times New Roman"/>
          <w:szCs w:val="28"/>
          <w:lang w:val="uk-UA" w:eastAsia="uk-UA"/>
        </w:rPr>
        <w:t xml:space="preserve"> </w:t>
      </w:r>
      <w:r w:rsidR="007078CE">
        <w:rPr>
          <w:rFonts w:eastAsia="Times New Roman" w:cs="Times New Roman"/>
          <w:szCs w:val="28"/>
          <w:lang w:val="uk-UA" w:eastAsia="uk-UA"/>
        </w:rPr>
        <w:t xml:space="preserve">і </w:t>
      </w:r>
      <w:r w:rsidR="00F754FC">
        <w:rPr>
          <w:rFonts w:eastAsia="Times New Roman" w:cs="Times New Roman"/>
          <w:szCs w:val="28"/>
          <w:lang w:val="uk-UA" w:eastAsia="uk-UA"/>
        </w:rPr>
        <w:t xml:space="preserve">проекту Закону </w:t>
      </w:r>
      <w:r w:rsidR="007078CE">
        <w:rPr>
          <w:rFonts w:eastAsia="Times New Roman" w:cs="Times New Roman"/>
          <w:szCs w:val="28"/>
          <w:lang w:val="uk-UA" w:eastAsia="uk-UA"/>
        </w:rPr>
        <w:t>№5577 від 20.12.2016 року, які на засіданнях</w:t>
      </w:r>
      <w:r w:rsidRPr="00E946DE">
        <w:rPr>
          <w:rFonts w:eastAsia="Times New Roman" w:cs="Times New Roman"/>
          <w:szCs w:val="28"/>
          <w:lang w:val="uk-UA" w:eastAsia="uk-UA"/>
        </w:rPr>
        <w:t xml:space="preserve"> Комітету 02.11.2016 року </w:t>
      </w:r>
      <w:r w:rsidR="007078CE">
        <w:rPr>
          <w:rFonts w:eastAsia="Times New Roman" w:cs="Times New Roman"/>
          <w:szCs w:val="28"/>
          <w:lang w:val="uk-UA" w:eastAsia="uk-UA"/>
        </w:rPr>
        <w:t>та</w:t>
      </w:r>
      <w:r w:rsidR="007078CE" w:rsidRPr="00E946DE">
        <w:rPr>
          <w:rFonts w:eastAsia="Times New Roman" w:cs="Times New Roman"/>
          <w:szCs w:val="28"/>
          <w:lang w:val="uk-UA" w:eastAsia="uk-UA"/>
        </w:rPr>
        <w:t xml:space="preserve"> </w:t>
      </w:r>
      <w:r w:rsidR="007078CE">
        <w:rPr>
          <w:rFonts w:eastAsia="Times New Roman" w:cs="Times New Roman"/>
          <w:szCs w:val="28"/>
          <w:lang w:val="uk-UA" w:eastAsia="uk-UA"/>
        </w:rPr>
        <w:t xml:space="preserve">22.02.2017 року </w:t>
      </w:r>
      <w:r w:rsidRPr="00E946DE">
        <w:rPr>
          <w:rFonts w:eastAsia="Times New Roman" w:cs="Times New Roman"/>
          <w:szCs w:val="28"/>
          <w:lang w:val="uk-UA" w:eastAsia="uk-UA"/>
        </w:rPr>
        <w:t>визнано, як так</w:t>
      </w:r>
      <w:r w:rsidR="007078CE">
        <w:rPr>
          <w:rFonts w:eastAsia="Times New Roman" w:cs="Times New Roman"/>
          <w:szCs w:val="28"/>
          <w:lang w:val="uk-UA" w:eastAsia="uk-UA"/>
        </w:rPr>
        <w:t>і, що містя</w:t>
      </w:r>
      <w:r w:rsidRPr="00E946DE">
        <w:rPr>
          <w:rFonts w:eastAsia="Times New Roman" w:cs="Times New Roman"/>
          <w:szCs w:val="28"/>
          <w:lang w:val="uk-UA" w:eastAsia="uk-UA"/>
        </w:rPr>
        <w:t>ть корупціогенні ризики.</w:t>
      </w:r>
    </w:p>
    <w:p w:rsidR="00E946DE" w:rsidRPr="00372E3F" w:rsidRDefault="00E946DE" w:rsidP="00E946DE">
      <w:pPr>
        <w:spacing w:after="120" w:line="240" w:lineRule="auto"/>
        <w:ind w:firstLine="720"/>
        <w:jc w:val="both"/>
        <w:rPr>
          <w:rFonts w:eastAsia="Calibri" w:cs="Calibri"/>
          <w:lang w:val="uk-UA"/>
        </w:rPr>
      </w:pPr>
      <w:r w:rsidRPr="00E946DE">
        <w:rPr>
          <w:rFonts w:eastAsia="Calibri" w:cs="Calibri"/>
          <w:lang w:val="uk-UA"/>
        </w:rPr>
        <w:t>Нормами передбачено забезпечення можливості звернення в дохід держави необґрунтованих активів, одержаних від корупційних злочинів, в рамках цивільного судочинства</w:t>
      </w:r>
      <w:r w:rsidR="00AE3994">
        <w:rPr>
          <w:rFonts w:eastAsia="Calibri" w:cs="Calibri"/>
        </w:rPr>
        <w:t>.</w:t>
      </w:r>
      <w:bookmarkStart w:id="0" w:name="_GoBack"/>
      <w:bookmarkEnd w:id="0"/>
    </w:p>
    <w:p w:rsidR="00E946DE" w:rsidRPr="00E946DE" w:rsidRDefault="00E946DE" w:rsidP="00E946DE">
      <w:pPr>
        <w:shd w:val="clear" w:color="auto" w:fill="FFFFFF"/>
        <w:spacing w:after="120" w:line="180" w:lineRule="atLeast"/>
        <w:ind w:firstLine="851"/>
        <w:jc w:val="both"/>
        <w:textAlignment w:val="baseline"/>
        <w:outlineLvl w:val="2"/>
        <w:rPr>
          <w:rFonts w:eastAsia="Times New Roman" w:cs="Times New Roman"/>
          <w:b/>
          <w:bCs/>
          <w:szCs w:val="28"/>
          <w:lang w:val="uk-UA" w:eastAsia="uk-UA"/>
        </w:rPr>
      </w:pPr>
      <w:r w:rsidRPr="00E946DE">
        <w:rPr>
          <w:rFonts w:eastAsia="Times New Roman" w:cs="Times New Roman"/>
          <w:szCs w:val="28"/>
          <w:lang w:val="uk-UA" w:eastAsia="uk-UA"/>
        </w:rPr>
        <w:t xml:space="preserve">У </w:t>
      </w:r>
      <w:r w:rsidR="007078CE">
        <w:rPr>
          <w:rFonts w:eastAsia="Times New Roman" w:cs="Times New Roman"/>
          <w:szCs w:val="28"/>
          <w:lang w:val="uk-UA" w:eastAsia="uk-UA"/>
        </w:rPr>
        <w:t>ць</w:t>
      </w:r>
      <w:r w:rsidRPr="00E946DE">
        <w:rPr>
          <w:rFonts w:eastAsia="Times New Roman" w:cs="Times New Roman"/>
          <w:szCs w:val="28"/>
          <w:lang w:val="uk-UA" w:eastAsia="uk-UA"/>
        </w:rPr>
        <w:t>ому законопроекті, у порівняні із попереднім</w:t>
      </w:r>
      <w:r w:rsidR="007078CE">
        <w:rPr>
          <w:rFonts w:eastAsia="Times New Roman" w:cs="Times New Roman"/>
          <w:szCs w:val="28"/>
          <w:lang w:val="uk-UA" w:eastAsia="uk-UA"/>
        </w:rPr>
        <w:t>и</w:t>
      </w:r>
      <w:r w:rsidRPr="00E946DE">
        <w:rPr>
          <w:rFonts w:eastAsia="Times New Roman" w:cs="Times New Roman"/>
          <w:szCs w:val="28"/>
          <w:lang w:val="uk-UA" w:eastAsia="uk-UA"/>
        </w:rPr>
        <w:t xml:space="preserve">, відкоригована лише окрема норма  статті 233-4 Цивільного процесуального кодексу України на які Комітетом було вказано як </w:t>
      </w:r>
      <w:proofErr w:type="spellStart"/>
      <w:r w:rsidRPr="00E946DE">
        <w:rPr>
          <w:rFonts w:eastAsia="Times New Roman" w:cs="Times New Roman"/>
          <w:szCs w:val="28"/>
          <w:lang w:val="uk-UA" w:eastAsia="uk-UA"/>
        </w:rPr>
        <w:t>корупціогенну</w:t>
      </w:r>
      <w:proofErr w:type="spellEnd"/>
      <w:r w:rsidRPr="00E946DE">
        <w:rPr>
          <w:rFonts w:eastAsia="Times New Roman" w:cs="Times New Roman"/>
          <w:szCs w:val="28"/>
          <w:lang w:val="uk-UA" w:eastAsia="uk-UA"/>
        </w:rPr>
        <w:t xml:space="preserve">  </w:t>
      </w:r>
    </w:p>
    <w:p w:rsidR="00E946DE" w:rsidRPr="00E946DE" w:rsidRDefault="00E946DE" w:rsidP="00E946DE">
      <w:pPr>
        <w:numPr>
          <w:ilvl w:val="0"/>
          <w:numId w:val="1"/>
        </w:numPr>
        <w:spacing w:after="120" w:line="240" w:lineRule="auto"/>
        <w:ind w:firstLine="720"/>
        <w:jc w:val="both"/>
        <w:rPr>
          <w:rFonts w:eastAsia="Calibri" w:cs="Calibri"/>
          <w:lang w:val="uk-UA"/>
        </w:rPr>
      </w:pPr>
      <w:r w:rsidRPr="00E946DE">
        <w:rPr>
          <w:rFonts w:eastAsia="Calibri" w:cs="Calibri"/>
          <w:lang w:val="uk-UA"/>
        </w:rPr>
        <w:t xml:space="preserve">Так, законопроектом у справах про стягнення необґрунтованих активів у дохід держави до закінчення кримінального провадження пропонується покласти на відповідача </w:t>
      </w:r>
      <w:r w:rsidRPr="00E946DE">
        <w:rPr>
          <w:rFonts w:eastAsia="Calibri" w:cs="Calibri"/>
          <w:lang w:val="uk-UA"/>
        </w:rPr>
        <w:lastRenderedPageBreak/>
        <w:t>закріпити обов’язок спростування наявності у активів ознак необґрунтованості.</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 xml:space="preserve">Відповідно до статті 62 Конституції України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w:t>
      </w:r>
      <w:proofErr w:type="spellStart"/>
      <w:r w:rsidRPr="00E946DE">
        <w:rPr>
          <w:rFonts w:eastAsia="Calibri" w:cs="Calibri"/>
          <w:lang w:val="uk-UA"/>
        </w:rPr>
        <w:t>вироком</w:t>
      </w:r>
      <w:proofErr w:type="spellEnd"/>
      <w:r w:rsidRPr="00E946DE">
        <w:rPr>
          <w:rFonts w:eastAsia="Calibri" w:cs="Calibri"/>
          <w:lang w:val="uk-UA"/>
        </w:rPr>
        <w:t xml:space="preserve"> суду.</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Ніхто не зобов'язаний доводити свою невинуватість у вчиненні злочину.</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 xml:space="preserve">Обвинувачення не може ґрунтуватися на доказах, одержаних незаконним шляхом, а також на припущеннях. Усі сумніви щодо доведеності вини особи </w:t>
      </w:r>
      <w:proofErr w:type="spellStart"/>
      <w:r w:rsidRPr="00E946DE">
        <w:rPr>
          <w:rFonts w:eastAsia="Calibri" w:cs="Calibri"/>
          <w:lang w:val="uk-UA"/>
        </w:rPr>
        <w:t>тлумачаться</w:t>
      </w:r>
      <w:proofErr w:type="spellEnd"/>
      <w:r w:rsidRPr="00E946DE">
        <w:rPr>
          <w:rFonts w:eastAsia="Calibri" w:cs="Calibri"/>
          <w:lang w:val="uk-UA"/>
        </w:rPr>
        <w:t xml:space="preserve"> на її користь.</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Таким чином, нівелюється одна з основ притягнення до відповідальності, яка в теорії права носить назву презумпція невинуватості.</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Відповідно до ч.2 статті 64 Конституції України Не можуть бути обмежені права і свободи, передбачені в тому числі статтею 62 Конституції.</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За загальним правилом кожна сторона доводить ті обставини, на яких ґрунтуються її вимоги та заперечення. Іншими словами, якщо у слідчого чи прокурора є дані про наявність у особи необґрунтованих активів, він повинен навести свої докази такої необґрунтованості активів. Зокрема,  такий прокурор, слідчий може надати до суду дані з реєстрів, інформацію про сплачені податки, докази неможливості отримання вказаних активів у спадок, а сторона, відповідач у справі може навести свої доводи про походження активів.</w:t>
      </w:r>
    </w:p>
    <w:p w:rsidR="00E946DE" w:rsidRPr="00E946DE" w:rsidRDefault="00E946DE" w:rsidP="00E946DE">
      <w:pPr>
        <w:spacing w:after="120" w:line="240" w:lineRule="auto"/>
        <w:ind w:firstLine="720"/>
        <w:jc w:val="both"/>
        <w:rPr>
          <w:rFonts w:eastAsia="Calibri" w:cs="Calibri"/>
          <w:lang w:val="uk-UA"/>
        </w:rPr>
      </w:pPr>
      <w:r w:rsidRPr="00E946DE">
        <w:rPr>
          <w:rFonts w:eastAsia="Calibri" w:cs="Calibri"/>
          <w:lang w:val="uk-UA"/>
        </w:rPr>
        <w:t>При цьому не можна покладати обов’язок спростування наявності у активів ознак необґрунтованості, адже це призведе до порушень прав людини передбачених Конституцією.</w:t>
      </w:r>
    </w:p>
    <w:p w:rsidR="00E946DE" w:rsidRPr="00E946DE" w:rsidRDefault="00E946DE" w:rsidP="00E946DE">
      <w:pPr>
        <w:numPr>
          <w:ilvl w:val="0"/>
          <w:numId w:val="1"/>
        </w:numPr>
        <w:spacing w:after="120" w:line="240" w:lineRule="auto"/>
        <w:ind w:firstLine="720"/>
        <w:jc w:val="both"/>
        <w:rPr>
          <w:rFonts w:eastAsia="Calibri" w:cs="Calibri"/>
          <w:lang w:val="uk-UA"/>
        </w:rPr>
      </w:pPr>
      <w:r w:rsidRPr="00E946DE">
        <w:rPr>
          <w:rFonts w:eastAsia="Calibri" w:cs="Calibri"/>
          <w:lang w:val="uk-UA"/>
        </w:rPr>
        <w:t xml:space="preserve">Cтаття 233-4 ЦПК України. </w:t>
      </w:r>
    </w:p>
    <w:p w:rsidR="00E946DE" w:rsidRPr="00E946DE" w:rsidRDefault="00E946DE" w:rsidP="00E946DE">
      <w:pPr>
        <w:spacing w:after="120" w:line="240" w:lineRule="auto"/>
        <w:ind w:firstLine="708"/>
        <w:jc w:val="both"/>
        <w:rPr>
          <w:rFonts w:eastAsia="Calibri" w:cs="Calibri"/>
          <w:lang w:val="uk-UA"/>
        </w:rPr>
      </w:pPr>
      <w:r w:rsidRPr="00E946DE">
        <w:rPr>
          <w:rFonts w:eastAsia="Calibri" w:cs="Calibri"/>
          <w:lang w:val="uk-UA"/>
        </w:rPr>
        <w:t>Якщо стягнення необґрунтованих активів є частиною кримінального провадження, розпочатого за фактом вчинення корупційного правопорушення, то воно не може здійснюватися до закінчення кримінального провадження, адже в процесі розслідування може виявитися, що особа, щодо якої розпочато провадження – не винна. А отже, і стягнення, і сама процедура розслідування щодо таких активів, можуть бути незаконними.</w:t>
      </w:r>
    </w:p>
    <w:p w:rsidR="00E946DE" w:rsidRPr="00E946DE" w:rsidRDefault="00E946DE" w:rsidP="00E946DE">
      <w:pPr>
        <w:spacing w:after="120" w:line="240" w:lineRule="auto"/>
        <w:ind w:firstLine="708"/>
        <w:jc w:val="both"/>
        <w:rPr>
          <w:rFonts w:eastAsia="Calibri" w:cs="Calibri"/>
          <w:lang w:val="uk-UA"/>
        </w:rPr>
      </w:pPr>
      <w:r w:rsidRPr="00E946DE">
        <w:rPr>
          <w:rFonts w:eastAsia="Calibri" w:cs="Calibri"/>
          <w:lang w:val="uk-UA"/>
        </w:rPr>
        <w:t xml:space="preserve">Положення частини 3, передбачає поняття, яке не містять норми кодексу -  </w:t>
      </w:r>
      <w:r w:rsidRPr="00E946DE">
        <w:rPr>
          <w:rFonts w:eastAsia="Calibri" w:cs="Calibri"/>
          <w:i/>
          <w:u w:val="single"/>
          <w:lang w:val="uk-UA"/>
        </w:rPr>
        <w:t>речовий позов</w:t>
      </w:r>
      <w:r w:rsidRPr="00E946DE">
        <w:rPr>
          <w:rFonts w:eastAsia="Calibri" w:cs="Calibri"/>
          <w:lang w:val="uk-UA"/>
        </w:rPr>
        <w:t xml:space="preserve"> (це поняття не використовується в цивільному законодавстві, а взяте з римського права), захід не юридичної відповідальності. Це дозволить захисникам вимагати подання саме речового позову і вжиття виключно тих заходів, що не є заходами юридичної відповідальності.</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Стаття 233-5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lastRenderedPageBreak/>
        <w:t>Частина 2 та 3 дозволяє пред’являти позов до власника активів за умови, якщо він переховується і знаходиться у розшуку протягом не менше двох місяців з дня оголошення. В іншому випадку можливості пред’являти позов не передбачено.</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Частина 6 суперечить статті 32 Конституції України, адже вимагає розміщувати у виданнях та на сайтах всю конфіденційну інформацію про сторони спору, а саме: місце проживання (перебування) або місцезнаходження, поштовий індекс, номери засобів зв'язку, якщо такі відомі.</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Окрім того, частина 6 дозволяє надсилати повістку будь-яким можливим засобом зв’язку, що фіксує повідомлення або виклик. Таким чином</w:t>
      </w:r>
      <w:r w:rsidR="007078CE">
        <w:rPr>
          <w:rFonts w:eastAsia="Calibri" w:cs="Calibri"/>
          <w:lang w:val="uk-UA"/>
        </w:rPr>
        <w:t>,</w:t>
      </w:r>
      <w:r w:rsidRPr="00E946DE">
        <w:rPr>
          <w:rFonts w:eastAsia="Calibri" w:cs="Calibri"/>
          <w:lang w:val="uk-UA"/>
        </w:rPr>
        <w:t xml:space="preserve"> можна навіть в соціальних мережах, месенджерах, смс надсилати.</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Cтаття 233-6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У частині 1 суд призначає попереднє засідання з дня оприлюднення інформації будь-яким способом. Тоді як стаття 233-5 не містить саме способів оприлюднення інформації.</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Частина 2 використовує поняття розумних підстав. Відсутність тлумачення цього терміну в чинному законодавстві та єдиного його розуміння створює корупціогенний фактор.</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Також частина 2 посилається на право, «зміст якого є ширшим за зміст права власності». Відповідно до теорії права – право власності є найширшим з понять і воно включає в себе право володіння, користування та розпорядження. Отже включає всі можливі права щодо речі. Ширше права власності бути не може.</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Відповідно до частини 5 не спростування відповідачем, а це означає, і у разі, якщо він не з’явився до суду і не спростував, є підставою для визнання активів такими, що мають ознаки необґрунтованості.</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Cтаття 233-7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У частині 1 міститься корупційний фактор</w:t>
      </w:r>
      <w:r w:rsidRPr="00E946DE">
        <w:rPr>
          <w:rFonts w:eastAsia="Calibri" w:cs="Calibri"/>
        </w:rPr>
        <w:t>,</w:t>
      </w:r>
      <w:r w:rsidRPr="00E946DE">
        <w:rPr>
          <w:rFonts w:eastAsia="Calibri" w:cs="Calibri"/>
          <w:lang w:val="uk-UA"/>
        </w:rPr>
        <w:t xml:space="preserve"> адже вимога здійснювати розгляд справ про стягнення необґрунтованих активів у дохід держави за місцезнаходженням активів не враховує випадку, коли активи знаходяться в різних місцях. Це</w:t>
      </w:r>
      <w:r w:rsidRPr="00E946DE">
        <w:rPr>
          <w:rFonts w:eastAsia="Calibri" w:cs="Calibri"/>
        </w:rPr>
        <w:t xml:space="preserve"> дозволить </w:t>
      </w:r>
      <w:r w:rsidRPr="00E946DE">
        <w:rPr>
          <w:rFonts w:eastAsia="Calibri" w:cs="Calibri"/>
          <w:lang w:val="uk-UA"/>
        </w:rPr>
        <w:t>прокурору обирати місце пред’явлення позову.</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У  частині 2 пропонується розглядати справи про стягнення необґрунтованих активів у дохід держави до закінчення кримінального провадження здійснюється у розумний строк, але не пізніше трьох місяців з моменту порушення провадження у справі.</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По-перше, немає такого поняття порушення провадження у справі. Тому не зрозуміло з якого моменту рахувати цей строк.</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lastRenderedPageBreak/>
        <w:t>По-друге, не потрібно обтяжувати терміном розумний строк, якщо вже є визначення «не пізніше трьох місяців», тому що встановлюється певна додаткова вимога невизначеного характеру.</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Cтаття 233-8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Пункт 1 частини 1 вимагає в позові навести види активів, на які може бути звернено стягнення. При цьому самі положення не містять вичерпного переліку активів. А той що міститься не повний. Зокрема не вказано витвори мистецтва, коштовності, як вироби, а не дорогоцінне каміння, автомобілі, нерухомість та інше.</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 xml:space="preserve"> Cтаття 233-9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 частині 1 не зрозуміло, чому прокурор має доводити обставини на підставі інших доказів і, що це за докази. Введені поняття обсяг встановлення дійсних обставин справи (стандарт доказування), існування розумних підстав, існування обґрунтованих доводів, обставини поза розумним сумнівом. Ці поняття не застосовуються чинним українським законодавством, а тому у разі відсутності їх тлумачення, можуть сприяти для вчинення корупції.</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З пункту 2 частини 4 випливає, що власник не може надавати у користування своє майно. Таким чином власник обмежується у праві володіння.</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 xml:space="preserve">Якщо власник має у своєму володінні річ, то у разі, якщо він нею не користувався – це, відповідно до частини 4, означає, що він є номінальним і може втратити право на цю річ. Отже власника змушують користуватися. </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Від тепер власник не може лише володіти. З часу прийняття цього законопроекту не можна буде зберігати річ.</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 xml:space="preserve">Яким чином можна довести користування дорогоцінним камінням. При цьому, що мова в законопроекті не йде про коштовності, а про дорогоцінне каміння. Така сама ситуація з грошовими коштами (пункт 3 частини 4). </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Cтаття 233-11 ЦПК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 частині 1 суду необхідно надати інформацію чи докази на підтвердження такої інформації. Отже, від однієї особи буде достатньо інформації, а від іншої відмагатиметься ще і навести, на вибір прокурора, докази такої інформації.</w:t>
      </w:r>
    </w:p>
    <w:p w:rsidR="00E946DE" w:rsidRPr="00E946DE" w:rsidRDefault="00E946DE" w:rsidP="00E946DE">
      <w:pPr>
        <w:numPr>
          <w:ilvl w:val="0"/>
          <w:numId w:val="1"/>
        </w:numPr>
        <w:spacing w:after="120" w:line="240" w:lineRule="auto"/>
        <w:jc w:val="both"/>
        <w:rPr>
          <w:rFonts w:eastAsia="Calibri" w:cs="Calibri"/>
          <w:lang w:val="uk-UA"/>
        </w:rPr>
      </w:pPr>
      <w:r w:rsidRPr="00E946DE">
        <w:rPr>
          <w:rFonts w:eastAsia="Calibri" w:cs="Calibri"/>
          <w:lang w:val="uk-UA"/>
        </w:rPr>
        <w:t>Cтаття 174-1 КПК України.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Відповідно до абзацу 1 частини 3 клопотання розглядається слідчим суддею без повідомлення будь-кого з інших учасників кримінального провадження. В той же час відповідно до абзацу 2 частини 3 слідчий суддя має право за власною ініціативою заслухати будь-якого учасника кримінального провадження або іншу особу. Отже суддя може вирішувати чи викликати відповідача чи ні. Це є корупціогенний фактор.</w:t>
      </w:r>
    </w:p>
    <w:p w:rsidR="00E946DE" w:rsidRPr="00E946DE" w:rsidRDefault="00E946DE" w:rsidP="00E946DE">
      <w:pPr>
        <w:spacing w:after="120" w:line="240" w:lineRule="auto"/>
        <w:ind w:firstLine="709"/>
        <w:jc w:val="both"/>
        <w:rPr>
          <w:rFonts w:eastAsia="Calibri" w:cs="Calibri"/>
        </w:rPr>
      </w:pPr>
      <w:r w:rsidRPr="00E946DE">
        <w:rPr>
          <w:rFonts w:eastAsia="Calibri" w:cs="Calibri"/>
          <w:lang w:val="uk-UA"/>
        </w:rPr>
        <w:lastRenderedPageBreak/>
        <w:t xml:space="preserve">В частині 4 використовується </w:t>
      </w:r>
      <w:proofErr w:type="spellStart"/>
      <w:r w:rsidRPr="00E946DE">
        <w:rPr>
          <w:rFonts w:eastAsia="Calibri" w:cs="Calibri"/>
          <w:lang w:val="uk-UA"/>
        </w:rPr>
        <w:t>бланкетна</w:t>
      </w:r>
      <w:proofErr w:type="spellEnd"/>
      <w:r w:rsidRPr="00E946DE">
        <w:rPr>
          <w:rFonts w:eastAsia="Calibri" w:cs="Calibri"/>
          <w:lang w:val="uk-UA"/>
        </w:rPr>
        <w:t xml:space="preserve"> (відсилочна норма на положення чинної статті 170 Кодексу). При цьому законопроект пропонує застосовувати лише перше речення абзацу другого частини першої статті 170 цього Кодексу. Це суперечить нормотворчій техніці.</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Також автор законопроекту зазначає, що арешт відповідно до правил цієї статті може бути накладений на активи, на які раніше накладено арешт відповідно до цього Кодексу. Вказане формулювання позбавлене логіки.</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Відповідно до абзацу 2 частини 5 відмова у задоволенні клопотання не перешкоджає повторному зверненню з новим клопотанням про накладення арешту на вказані у частині першій цієї статті активи. Отже, слідчий чи прокурор не обмежені в спробах.</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 xml:space="preserve">Частина 8 нівелює будь-яку мету всього законопроекту, адже не можуть бути арештовані активи, якщо вони перебувають у власності добросовісного набувача, а також особи, яка набула такі активи безоплатно, за ринкову ціну або за ціну вищу чи нижчу ринкової вартості, і не знала або не повинна була і не могла знати про відсутність права на їх відчуження у </w:t>
      </w:r>
      <w:proofErr w:type="spellStart"/>
      <w:r w:rsidRPr="00E946DE">
        <w:rPr>
          <w:rFonts w:eastAsia="Calibri" w:cs="Calibri"/>
          <w:lang w:val="uk-UA"/>
        </w:rPr>
        <w:t>відчужувача</w:t>
      </w:r>
      <w:proofErr w:type="spellEnd"/>
      <w:r w:rsidRPr="00E946DE">
        <w:rPr>
          <w:rFonts w:eastAsia="Calibri" w:cs="Calibri"/>
          <w:lang w:val="uk-UA"/>
        </w:rPr>
        <w:t>.</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 xml:space="preserve">Достатньо буде довести що активи перебувають у власності добросовісного набувача або особи, яка набула такі активи безоплатно, за ринкову ціну або за ціну вищу чи нижчу ринкової вартості. </w:t>
      </w:r>
    </w:p>
    <w:p w:rsidR="00E946DE" w:rsidRPr="00E946DE" w:rsidRDefault="00E946DE" w:rsidP="00E946DE">
      <w:pPr>
        <w:spacing w:after="120" w:line="240" w:lineRule="auto"/>
        <w:ind w:firstLine="709"/>
        <w:jc w:val="both"/>
        <w:rPr>
          <w:rFonts w:eastAsia="Calibri" w:cs="Calibri"/>
          <w:lang w:val="uk-UA"/>
        </w:rPr>
      </w:pPr>
      <w:r w:rsidRPr="00E946DE">
        <w:rPr>
          <w:rFonts w:eastAsia="Calibri" w:cs="Calibri"/>
          <w:lang w:val="uk-UA"/>
        </w:rPr>
        <w:t>Також не зрозуміло, як можна придбати грошові кошти за ринкову ціну або за ціну вищу чи нижчу ринкової вартості.</w:t>
      </w:r>
    </w:p>
    <w:p w:rsidR="00E946DE" w:rsidRPr="00E946DE" w:rsidRDefault="00E946DE" w:rsidP="00E946DE">
      <w:pPr>
        <w:spacing w:before="100" w:beforeAutospacing="1" w:after="100" w:afterAutospacing="1" w:line="240" w:lineRule="auto"/>
        <w:ind w:firstLine="567"/>
        <w:outlineLvl w:val="2"/>
        <w:rPr>
          <w:rFonts w:ascii="Antiqua" w:eastAsia="Times New Roman" w:hAnsi="Antiqua" w:cs="Times New Roman"/>
          <w:b/>
          <w:bCs/>
          <w:szCs w:val="28"/>
          <w:lang w:val="uk-UA" w:eastAsia="ru-RU"/>
        </w:rPr>
      </w:pPr>
      <w:r w:rsidRPr="00E946DE">
        <w:rPr>
          <w:rFonts w:eastAsia="Times New Roman" w:cs="Times New Roman"/>
          <w:bCs/>
          <w:szCs w:val="28"/>
          <w:lang w:val="uk-UA" w:eastAsia="uk-UA"/>
        </w:rPr>
        <w:t>Враховуючи викладене</w:t>
      </w:r>
      <w:r w:rsidRPr="00E946DE">
        <w:rPr>
          <w:rFonts w:eastAsia="Times New Roman" w:cs="Times New Roman"/>
          <w:b/>
          <w:bCs/>
          <w:szCs w:val="28"/>
          <w:lang w:val="uk-UA" w:eastAsia="uk-UA"/>
        </w:rPr>
        <w:t xml:space="preserve"> </w:t>
      </w:r>
      <w:r w:rsidRPr="00E946DE">
        <w:rPr>
          <w:rFonts w:eastAsia="Times New Roman" w:cs="Times New Roman"/>
          <w:bCs/>
          <w:szCs w:val="28"/>
          <w:lang w:val="uk-UA" w:eastAsia="uk-UA"/>
        </w:rPr>
        <w:t>та з метою усунення корупціогенних факторів зазначений законопроект доцільно відхилити.</w:t>
      </w:r>
    </w:p>
    <w:p w:rsidR="00E946DE" w:rsidRPr="00E946DE" w:rsidRDefault="006D1D65" w:rsidP="00E946DE">
      <w:pPr>
        <w:tabs>
          <w:tab w:val="left" w:pos="9354"/>
        </w:tabs>
        <w:spacing w:after="1080" w:line="240" w:lineRule="auto"/>
        <w:ind w:right="-2"/>
        <w:jc w:val="both"/>
        <w:rPr>
          <w:rFonts w:eastAsia="Calibri" w:cs="Calibri"/>
          <w:szCs w:val="28"/>
          <w:lang w:val="uk-UA"/>
        </w:rPr>
      </w:pPr>
      <w:r>
        <w:rPr>
          <w:rFonts w:eastAsia="Calibri" w:cs="Calibri"/>
          <w:b/>
          <w:szCs w:val="28"/>
          <w:lang w:val="uk-UA"/>
        </w:rPr>
        <w:t xml:space="preserve">Перший заступник </w:t>
      </w:r>
      <w:r w:rsidR="00E946DE" w:rsidRPr="00E946DE">
        <w:rPr>
          <w:rFonts w:eastAsia="Calibri" w:cs="Calibri"/>
          <w:b/>
          <w:szCs w:val="28"/>
          <w:lang w:val="uk-UA"/>
        </w:rPr>
        <w:t>Голов</w:t>
      </w:r>
      <w:r>
        <w:rPr>
          <w:rFonts w:eastAsia="Calibri" w:cs="Calibri"/>
          <w:b/>
          <w:szCs w:val="28"/>
          <w:lang w:val="uk-UA"/>
        </w:rPr>
        <w:t>и</w:t>
      </w:r>
      <w:r w:rsidR="00E946DE" w:rsidRPr="00E946DE">
        <w:rPr>
          <w:rFonts w:eastAsia="Calibri" w:cs="Calibri"/>
          <w:b/>
          <w:szCs w:val="28"/>
          <w:lang w:val="uk-UA"/>
        </w:rPr>
        <w:t xml:space="preserve"> Комітету                                </w:t>
      </w:r>
      <w:r>
        <w:rPr>
          <w:rFonts w:eastAsia="Calibri" w:cs="Calibri"/>
          <w:b/>
          <w:szCs w:val="28"/>
          <w:lang w:val="uk-UA"/>
        </w:rPr>
        <w:t>Ю</w:t>
      </w:r>
      <w:r w:rsidR="00E946DE" w:rsidRPr="00E946DE">
        <w:rPr>
          <w:rFonts w:eastAsia="Calibri" w:cs="Calibri"/>
          <w:b/>
          <w:szCs w:val="28"/>
          <w:lang w:val="uk-UA"/>
        </w:rPr>
        <w:t>. С</w:t>
      </w:r>
      <w:r>
        <w:rPr>
          <w:rFonts w:eastAsia="Calibri" w:cs="Calibri"/>
          <w:b/>
          <w:szCs w:val="28"/>
          <w:lang w:val="uk-UA"/>
        </w:rPr>
        <w:t>авчук</w:t>
      </w:r>
    </w:p>
    <w:p w:rsidR="00E946DE" w:rsidRPr="00E946DE" w:rsidRDefault="00E946DE" w:rsidP="00E946DE">
      <w:pPr>
        <w:spacing w:after="120" w:line="240" w:lineRule="auto"/>
        <w:ind w:firstLine="709"/>
        <w:jc w:val="both"/>
        <w:rPr>
          <w:rFonts w:eastAsia="Calibri" w:cs="Calibri"/>
          <w:lang w:val="uk-UA"/>
        </w:rPr>
      </w:pPr>
    </w:p>
    <w:p w:rsidR="005204CF" w:rsidRDefault="005204CF"/>
    <w:sectPr w:rsidR="005204CF" w:rsidSect="00230AA6">
      <w:headerReference w:type="default" r:id="rId7"/>
      <w:pgSz w:w="11906" w:h="16838"/>
      <w:pgMar w:top="1134" w:right="1134" w:bottom="141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555" w:rsidRDefault="003E0555">
      <w:pPr>
        <w:spacing w:after="0" w:line="240" w:lineRule="auto"/>
      </w:pPr>
      <w:r>
        <w:separator/>
      </w:r>
    </w:p>
  </w:endnote>
  <w:endnote w:type="continuationSeparator" w:id="0">
    <w:p w:rsidR="003E0555" w:rsidRDefault="003E0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Antiqua">
    <w:altName w:val="Times New Roman"/>
    <w:charset w:val="00"/>
    <w:family w:val="swiss"/>
    <w:pitch w:val="variable"/>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555" w:rsidRDefault="003E0555">
      <w:pPr>
        <w:spacing w:after="0" w:line="240" w:lineRule="auto"/>
      </w:pPr>
      <w:r>
        <w:separator/>
      </w:r>
    </w:p>
  </w:footnote>
  <w:footnote w:type="continuationSeparator" w:id="0">
    <w:p w:rsidR="003E0555" w:rsidRDefault="003E0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A6" w:rsidRDefault="00E946DE">
    <w:pPr>
      <w:pStyle w:val="a3"/>
      <w:jc w:val="center"/>
    </w:pPr>
    <w:r>
      <w:fldChar w:fldCharType="begin"/>
    </w:r>
    <w:r>
      <w:instrText>PAGE   \* MERGEFORMAT</w:instrText>
    </w:r>
    <w:r>
      <w:fldChar w:fldCharType="separate"/>
    </w:r>
    <w:r w:rsidR="00372E3F">
      <w:rPr>
        <w:noProof/>
      </w:rPr>
      <w:t>2</w:t>
    </w:r>
    <w:r>
      <w:fldChar w:fldCharType="end"/>
    </w:r>
  </w:p>
  <w:p w:rsidR="00230AA6" w:rsidRDefault="003E055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35662"/>
    <w:multiLevelType w:val="hybridMultilevel"/>
    <w:tmpl w:val="09623BB2"/>
    <w:lvl w:ilvl="0" w:tplc="D174FC3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6DE"/>
    <w:rsid w:val="00372E3F"/>
    <w:rsid w:val="00381834"/>
    <w:rsid w:val="003E0555"/>
    <w:rsid w:val="004C57E8"/>
    <w:rsid w:val="005204CF"/>
    <w:rsid w:val="0063236A"/>
    <w:rsid w:val="006D1D65"/>
    <w:rsid w:val="007078CE"/>
    <w:rsid w:val="00A24439"/>
    <w:rsid w:val="00AE3994"/>
    <w:rsid w:val="00AF50AF"/>
    <w:rsid w:val="00DA2512"/>
    <w:rsid w:val="00E946DE"/>
    <w:rsid w:val="00F678C5"/>
    <w:rsid w:val="00F754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C0EA"/>
  <w15:chartTrackingRefBased/>
  <w15:docId w15:val="{B9283F3F-B487-46EB-BA01-61E121BE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946D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E946DE"/>
    <w:rPr>
      <w:lang w:val="ru-RU"/>
    </w:rPr>
  </w:style>
  <w:style w:type="paragraph" w:styleId="a5">
    <w:name w:val="Balloon Text"/>
    <w:basedOn w:val="a"/>
    <w:link w:val="a6"/>
    <w:uiPriority w:val="99"/>
    <w:semiHidden/>
    <w:unhideWhenUsed/>
    <w:rsid w:val="00DA2512"/>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DA2512"/>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6385</Words>
  <Characters>3640</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Карман Юрій Васильович</dc:creator>
  <cp:keywords/>
  <dc:description/>
  <cp:lastModifiedBy>Карман Юрій Васильович</cp:lastModifiedBy>
  <cp:revision>9</cp:revision>
  <cp:lastPrinted>2018-01-17T09:46:00Z</cp:lastPrinted>
  <dcterms:created xsi:type="dcterms:W3CDTF">2017-04-06T14:31:00Z</dcterms:created>
  <dcterms:modified xsi:type="dcterms:W3CDTF">2018-01-18T11:32:00Z</dcterms:modified>
</cp:coreProperties>
</file>