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C8C" w:rsidRPr="00432B04" w:rsidRDefault="00434C8C" w:rsidP="00DA06FA">
      <w:pPr>
        <w:spacing w:after="0" w:line="240" w:lineRule="auto"/>
        <w:ind w:firstLine="709"/>
        <w:jc w:val="right"/>
        <w:rPr>
          <w:bCs/>
          <w:sz w:val="20"/>
          <w:szCs w:val="20"/>
          <w:lang w:val="ru-RU" w:eastAsia="ru-RU"/>
        </w:rPr>
      </w:pPr>
      <w:r>
        <w:rPr>
          <w:bCs/>
          <w:sz w:val="20"/>
          <w:szCs w:val="20"/>
          <w:lang w:eastAsia="ru-RU"/>
        </w:rPr>
        <w:t>До реєстр. № 8</w:t>
      </w:r>
      <w:r>
        <w:rPr>
          <w:bCs/>
          <w:sz w:val="20"/>
          <w:szCs w:val="20"/>
          <w:lang w:val="ru-RU" w:eastAsia="ru-RU"/>
        </w:rPr>
        <w:t>060</w:t>
      </w:r>
    </w:p>
    <w:p w:rsidR="00434C8C" w:rsidRPr="001C0C3E" w:rsidRDefault="00434C8C" w:rsidP="00DA06FA">
      <w:pPr>
        <w:spacing w:after="0" w:line="240" w:lineRule="auto"/>
        <w:ind w:firstLine="709"/>
        <w:jc w:val="right"/>
        <w:rPr>
          <w:bCs/>
          <w:sz w:val="20"/>
          <w:szCs w:val="20"/>
          <w:lang w:eastAsia="ru-RU"/>
        </w:rPr>
      </w:pPr>
      <w:r w:rsidRPr="001C0C3E">
        <w:rPr>
          <w:bCs/>
          <w:sz w:val="20"/>
          <w:szCs w:val="20"/>
          <w:lang w:eastAsia="ru-RU"/>
        </w:rPr>
        <w:t>(друге читання)</w:t>
      </w:r>
    </w:p>
    <w:p w:rsidR="00434C8C" w:rsidRPr="001C0C3E" w:rsidRDefault="00434C8C" w:rsidP="00DA06FA">
      <w:pPr>
        <w:spacing w:after="0" w:line="240" w:lineRule="auto"/>
        <w:ind w:firstLine="709"/>
        <w:jc w:val="right"/>
        <w:rPr>
          <w:sz w:val="20"/>
          <w:szCs w:val="20"/>
          <w:lang w:eastAsia="ru-RU"/>
        </w:rPr>
      </w:pPr>
    </w:p>
    <w:p w:rsidR="00434C8C" w:rsidRPr="001C0C3E" w:rsidRDefault="00434C8C" w:rsidP="00DA06FA">
      <w:pPr>
        <w:spacing w:after="0" w:line="240" w:lineRule="auto"/>
        <w:ind w:firstLine="709"/>
        <w:jc w:val="center"/>
        <w:rPr>
          <w:b/>
          <w:bCs/>
          <w:sz w:val="32"/>
          <w:szCs w:val="24"/>
          <w:lang w:eastAsia="ru-RU"/>
        </w:rPr>
      </w:pPr>
    </w:p>
    <w:p w:rsidR="00434C8C" w:rsidRPr="001C0C3E" w:rsidRDefault="00434C8C" w:rsidP="00DA06FA">
      <w:pPr>
        <w:spacing w:after="0" w:line="240" w:lineRule="auto"/>
        <w:ind w:firstLine="709"/>
        <w:jc w:val="center"/>
        <w:rPr>
          <w:b/>
          <w:bCs/>
          <w:sz w:val="32"/>
          <w:szCs w:val="24"/>
          <w:lang w:eastAsia="ru-RU"/>
        </w:rPr>
      </w:pPr>
    </w:p>
    <w:p w:rsidR="00434C8C" w:rsidRPr="001C0C3E" w:rsidRDefault="00434C8C" w:rsidP="00DA06FA">
      <w:pPr>
        <w:spacing w:after="0" w:line="240" w:lineRule="auto"/>
        <w:ind w:firstLine="709"/>
        <w:jc w:val="center"/>
        <w:rPr>
          <w:b/>
          <w:bCs/>
          <w:sz w:val="32"/>
          <w:szCs w:val="24"/>
          <w:lang w:eastAsia="ru-RU"/>
        </w:rPr>
      </w:pPr>
    </w:p>
    <w:p w:rsidR="00434C8C" w:rsidRPr="001C0C3E" w:rsidRDefault="00434C8C" w:rsidP="00DA06FA">
      <w:pPr>
        <w:spacing w:after="0" w:line="240" w:lineRule="auto"/>
        <w:ind w:firstLine="709"/>
        <w:jc w:val="center"/>
        <w:rPr>
          <w:b/>
          <w:bCs/>
          <w:sz w:val="32"/>
          <w:szCs w:val="24"/>
          <w:lang w:eastAsia="ru-RU"/>
        </w:rPr>
      </w:pPr>
    </w:p>
    <w:p w:rsidR="00434C8C" w:rsidRPr="001C0C3E" w:rsidRDefault="00434C8C" w:rsidP="00DA06FA">
      <w:pPr>
        <w:spacing w:after="0" w:line="240" w:lineRule="auto"/>
        <w:jc w:val="center"/>
        <w:rPr>
          <w:b/>
          <w:bCs/>
          <w:sz w:val="32"/>
          <w:szCs w:val="24"/>
          <w:lang w:eastAsia="ru-RU"/>
        </w:rPr>
      </w:pPr>
    </w:p>
    <w:p w:rsidR="00434C8C" w:rsidRPr="001C0C3E" w:rsidRDefault="00434C8C" w:rsidP="00DA06FA">
      <w:pPr>
        <w:spacing w:after="0" w:line="240" w:lineRule="auto"/>
        <w:jc w:val="center"/>
        <w:rPr>
          <w:b/>
          <w:bCs/>
          <w:szCs w:val="28"/>
          <w:lang w:eastAsia="ru-RU"/>
        </w:rPr>
      </w:pPr>
      <w:r w:rsidRPr="001C0C3E">
        <w:rPr>
          <w:b/>
          <w:bCs/>
          <w:szCs w:val="28"/>
          <w:lang w:eastAsia="ru-RU"/>
        </w:rPr>
        <w:t>З А У В А Ж Е Н Н Я</w:t>
      </w:r>
    </w:p>
    <w:p w:rsidR="00434C8C" w:rsidRPr="00432B04" w:rsidRDefault="00434C8C" w:rsidP="00DA06FA">
      <w:pPr>
        <w:spacing w:after="0" w:line="240" w:lineRule="auto"/>
        <w:jc w:val="center"/>
        <w:rPr>
          <w:b/>
          <w:szCs w:val="28"/>
          <w:lang w:eastAsia="ru-RU"/>
        </w:rPr>
      </w:pPr>
      <w:r w:rsidRPr="001C0C3E">
        <w:rPr>
          <w:b/>
          <w:szCs w:val="28"/>
          <w:lang w:eastAsia="ru-RU"/>
        </w:rPr>
        <w:t xml:space="preserve">до проекту </w:t>
      </w:r>
      <w:r>
        <w:rPr>
          <w:b/>
          <w:szCs w:val="28"/>
          <w:lang w:val="ru-RU" w:eastAsia="ru-RU"/>
        </w:rPr>
        <w:t xml:space="preserve">Кодексу </w:t>
      </w:r>
      <w:r>
        <w:rPr>
          <w:b/>
          <w:szCs w:val="28"/>
          <w:lang w:eastAsia="ru-RU"/>
        </w:rPr>
        <w:t xml:space="preserve">України з процедур банкрутства </w:t>
      </w:r>
    </w:p>
    <w:p w:rsidR="00434C8C" w:rsidRPr="001C0C3E" w:rsidRDefault="00434C8C" w:rsidP="00DA06FA">
      <w:pPr>
        <w:spacing w:after="0" w:line="240" w:lineRule="auto"/>
        <w:ind w:firstLine="709"/>
        <w:jc w:val="center"/>
        <w:rPr>
          <w:szCs w:val="24"/>
          <w:lang w:eastAsia="ru-RU"/>
        </w:rPr>
      </w:pPr>
    </w:p>
    <w:p w:rsidR="00434C8C" w:rsidRDefault="00434C8C" w:rsidP="00DA06FA">
      <w:pPr>
        <w:spacing w:after="0" w:line="240" w:lineRule="auto"/>
        <w:ind w:firstLine="709"/>
        <w:jc w:val="both"/>
      </w:pPr>
    </w:p>
    <w:p w:rsidR="00434C8C" w:rsidRPr="001C0C3E" w:rsidRDefault="00434C8C" w:rsidP="00DA06FA">
      <w:pPr>
        <w:spacing w:after="0" w:line="240" w:lineRule="auto"/>
        <w:ind w:firstLine="709"/>
        <w:jc w:val="both"/>
        <w:rPr>
          <w:lang w:eastAsia="ru-RU"/>
        </w:rPr>
      </w:pPr>
      <w:r>
        <w:t>У</w:t>
      </w:r>
      <w:r w:rsidRPr="001C0C3E">
        <w:t xml:space="preserve"> </w:t>
      </w:r>
      <w:r w:rsidRPr="001C0C3E">
        <w:rPr>
          <w:lang w:eastAsia="ru-RU"/>
        </w:rPr>
        <w:t xml:space="preserve">Головному юридичному управлінні </w:t>
      </w:r>
      <w:r w:rsidRPr="00F25686">
        <w:rPr>
          <w:b/>
          <w:lang w:eastAsia="ru-RU"/>
        </w:rPr>
        <w:t>в межах відведеного часу</w:t>
      </w:r>
      <w:r>
        <w:rPr>
          <w:lang w:eastAsia="ru-RU"/>
        </w:rPr>
        <w:t xml:space="preserve"> </w:t>
      </w:r>
      <w:r w:rsidRPr="001C0C3E">
        <w:rPr>
          <w:lang w:eastAsia="ru-RU"/>
        </w:rPr>
        <w:t>проаналізовано текст проекту</w:t>
      </w:r>
      <w:r>
        <w:rPr>
          <w:lang w:eastAsia="ru-RU"/>
        </w:rPr>
        <w:t xml:space="preserve"> Кодексу України з процедур банкрутства (далі – проект)</w:t>
      </w:r>
      <w:r w:rsidRPr="001C0C3E">
        <w:rPr>
          <w:lang w:eastAsia="ru-RU"/>
        </w:rPr>
        <w:t xml:space="preserve">, який підготовлений до розгляду в другому читанні. </w:t>
      </w:r>
    </w:p>
    <w:p w:rsidR="00434C8C" w:rsidRDefault="00434C8C" w:rsidP="00DA06FA">
      <w:pPr>
        <w:spacing w:after="0" w:line="240" w:lineRule="auto"/>
        <w:ind w:firstLine="709"/>
        <w:jc w:val="both"/>
        <w:rPr>
          <w:szCs w:val="28"/>
          <w:lang w:eastAsia="ru-RU"/>
        </w:rPr>
      </w:pPr>
      <w:r>
        <w:rPr>
          <w:szCs w:val="28"/>
          <w:lang w:eastAsia="ru-RU"/>
        </w:rPr>
        <w:t xml:space="preserve"> </w:t>
      </w:r>
    </w:p>
    <w:p w:rsidR="00434C8C" w:rsidRDefault="00434C8C" w:rsidP="00DA06FA">
      <w:pPr>
        <w:spacing w:after="0" w:line="240" w:lineRule="auto"/>
        <w:ind w:firstLine="709"/>
        <w:jc w:val="both"/>
        <w:rPr>
          <w:rFonts w:cs="Calibri"/>
          <w:szCs w:val="28"/>
          <w:lang w:eastAsia="ru-RU"/>
        </w:rPr>
      </w:pPr>
      <w:r w:rsidRPr="00016EEA">
        <w:rPr>
          <w:szCs w:val="28"/>
          <w:lang w:eastAsia="ru-RU"/>
        </w:rPr>
        <w:t xml:space="preserve">Підтримуючи висновок Головного науково-експертного управління до цього проекту, який не втратив актуальності, </w:t>
      </w:r>
      <w:r w:rsidRPr="00016EEA">
        <w:rPr>
          <w:rFonts w:cs="Calibri"/>
        </w:rPr>
        <w:t>зазначимо, що</w:t>
      </w:r>
      <w:r w:rsidRPr="00016EEA">
        <w:rPr>
          <w:rFonts w:cs="Calibri"/>
          <w:color w:val="000000"/>
          <w:szCs w:val="28"/>
          <w:lang w:eastAsia="ru-RU"/>
        </w:rPr>
        <w:t xml:space="preserve"> положення проекту не узгоджуються із нормами Конституції та законів України, а також не враховують </w:t>
      </w:r>
      <w:r w:rsidRPr="00016EEA">
        <w:rPr>
          <w:rFonts w:cs="Calibri"/>
          <w:szCs w:val="28"/>
          <w:lang w:eastAsia="ru-RU"/>
        </w:rPr>
        <w:t>правові позиції Конституційного Суду України, висловлені у його відповідних рішеннях.</w:t>
      </w:r>
    </w:p>
    <w:p w:rsidR="00434C8C" w:rsidRDefault="00434C8C" w:rsidP="00DA06FA">
      <w:pPr>
        <w:spacing w:after="0" w:line="240" w:lineRule="auto"/>
        <w:ind w:firstLine="709"/>
        <w:jc w:val="both"/>
        <w:rPr>
          <w:rFonts w:cs="Calibri"/>
          <w:szCs w:val="28"/>
          <w:lang w:eastAsia="ru-RU"/>
        </w:rPr>
      </w:pPr>
      <w:bookmarkStart w:id="0" w:name="_GoBack"/>
      <w:bookmarkEnd w:id="0"/>
    </w:p>
    <w:p w:rsidR="00434C8C" w:rsidRDefault="00434C8C" w:rsidP="00DA06FA">
      <w:pPr>
        <w:spacing w:after="0" w:line="240" w:lineRule="auto"/>
        <w:ind w:firstLine="709"/>
        <w:jc w:val="both"/>
        <w:rPr>
          <w:bCs/>
          <w:lang w:eastAsia="uk-UA"/>
        </w:rPr>
      </w:pPr>
      <w:r>
        <w:rPr>
          <w:bCs/>
          <w:szCs w:val="28"/>
          <w:lang w:eastAsia="ru-RU"/>
        </w:rPr>
        <w:t>1.</w:t>
      </w:r>
      <w:r>
        <w:rPr>
          <w:bCs/>
          <w:szCs w:val="28"/>
          <w:lang w:val="ru-RU" w:eastAsia="ru-RU"/>
        </w:rPr>
        <w:t xml:space="preserve"> </w:t>
      </w:r>
      <w:r>
        <w:rPr>
          <w:bCs/>
          <w:szCs w:val="28"/>
          <w:lang w:eastAsia="ru-RU"/>
        </w:rPr>
        <w:t xml:space="preserve">Проектом пропонується </w:t>
      </w:r>
      <w:r w:rsidRPr="00437FFB">
        <w:t>встанов</w:t>
      </w:r>
      <w:r>
        <w:t>ити</w:t>
      </w:r>
      <w:r w:rsidRPr="00437FFB">
        <w:t xml:space="preserve"> умови та порядок відновлення платоспроможності боржника-юридичної особи або визнання його банкрутом з метою задоволення вимог кредиторів, а також відновлення платоспроможності фізичної особи.</w:t>
      </w:r>
      <w:r>
        <w:t xml:space="preserve"> Відтак, проектом унормовується судовий порядок розгляду справ про банкрутство, а саме: ю</w:t>
      </w:r>
      <w:r w:rsidRPr="00E050F9">
        <w:t>рисдикці</w:t>
      </w:r>
      <w:r>
        <w:t>я</w:t>
      </w:r>
      <w:r w:rsidRPr="00E050F9">
        <w:t xml:space="preserve">, підсудність, підстави для відкриття </w:t>
      </w:r>
      <w:r w:rsidRPr="00A07DB8">
        <w:t>провадження у справі про банкрутство (ст. 8), оскарження судових рішень у процедурі банкрутства (ст. 9), прийняття заяви про відкриття провадження у справі про банкрутство</w:t>
      </w:r>
      <w:r>
        <w:t xml:space="preserve"> (ст. 35), п</w:t>
      </w:r>
      <w:r w:rsidRPr="00E050F9">
        <w:t>опереднє засідання господарського суду</w:t>
      </w:r>
      <w:r>
        <w:t xml:space="preserve"> (ст. 47), п</w:t>
      </w:r>
      <w:r w:rsidRPr="00E050F9">
        <w:t>ідсумков</w:t>
      </w:r>
      <w:r>
        <w:t>е</w:t>
      </w:r>
      <w:r w:rsidRPr="00E050F9">
        <w:t xml:space="preserve"> засіданні суду </w:t>
      </w:r>
      <w:r>
        <w:t>(ст. 49), с</w:t>
      </w:r>
      <w:r w:rsidRPr="00437FFB">
        <w:t>удов</w:t>
      </w:r>
      <w:r>
        <w:t>а</w:t>
      </w:r>
      <w:r w:rsidRPr="00437FFB">
        <w:t xml:space="preserve"> допомог</w:t>
      </w:r>
      <w:r>
        <w:t>а</w:t>
      </w:r>
      <w:r w:rsidRPr="00437FFB">
        <w:t>, що може бути надана після подання заяви про визнання іноземної процедури банкрутства</w:t>
      </w:r>
      <w:r>
        <w:t xml:space="preserve"> (ст. 101), р</w:t>
      </w:r>
      <w:r w:rsidRPr="00437FFB">
        <w:t>озгляд заяви про визнання іноземної процедури банкрутства</w:t>
      </w:r>
      <w:r>
        <w:t xml:space="preserve"> (ст. 102), в</w:t>
      </w:r>
      <w:r w:rsidRPr="00A26B48">
        <w:rPr>
          <w:bCs/>
          <w:lang w:eastAsia="uk-UA"/>
        </w:rPr>
        <w:t>ідкриття провадження у справі про неплатоспроможність</w:t>
      </w:r>
      <w:r>
        <w:rPr>
          <w:bCs/>
          <w:lang w:eastAsia="uk-UA"/>
        </w:rPr>
        <w:t xml:space="preserve"> (ст. 119) тощо. </w:t>
      </w:r>
    </w:p>
    <w:p w:rsidR="00434C8C" w:rsidRDefault="00434C8C" w:rsidP="00DA06FA">
      <w:pPr>
        <w:spacing w:after="0" w:line="240" w:lineRule="auto"/>
        <w:ind w:firstLine="709"/>
        <w:jc w:val="both"/>
        <w:rPr>
          <w:color w:val="000000"/>
          <w:szCs w:val="28"/>
        </w:rPr>
      </w:pPr>
      <w:r>
        <w:rPr>
          <w:bCs/>
          <w:lang w:eastAsia="uk-UA"/>
        </w:rPr>
        <w:t>На нашу думку, зазначені положення проекту не враховують вимог статті 92 Конституції України, яка передбачає, що судочинство визначається виключно законами України, а основним законодавчим актом, який встановлює порядок здійснення судочинства господарського суду, є Господарський процесуальний кодекс України. Так, в</w:t>
      </w:r>
      <w:r w:rsidRPr="00624EE7">
        <w:rPr>
          <w:bCs/>
          <w:szCs w:val="28"/>
          <w:lang w:eastAsia="uk-UA"/>
        </w:rPr>
        <w:t xml:space="preserve">ідповідно до </w:t>
      </w:r>
      <w:r>
        <w:rPr>
          <w:bCs/>
          <w:szCs w:val="28"/>
          <w:lang w:eastAsia="uk-UA"/>
        </w:rPr>
        <w:t xml:space="preserve">статті </w:t>
      </w:r>
      <w:r w:rsidRPr="00624EE7">
        <w:rPr>
          <w:bCs/>
          <w:szCs w:val="28"/>
          <w:lang w:eastAsia="uk-UA"/>
        </w:rPr>
        <w:t xml:space="preserve">1 Господарського процесуального кодексу України </w:t>
      </w:r>
      <w:r>
        <w:rPr>
          <w:bCs/>
          <w:szCs w:val="28"/>
          <w:lang w:eastAsia="uk-UA"/>
        </w:rPr>
        <w:t xml:space="preserve">(далі – ГПК України) </w:t>
      </w:r>
      <w:r w:rsidRPr="00624EE7">
        <w:rPr>
          <w:bCs/>
          <w:szCs w:val="28"/>
          <w:u w:val="single"/>
          <w:lang w:eastAsia="uk-UA"/>
        </w:rPr>
        <w:t>г</w:t>
      </w:r>
      <w:r w:rsidRPr="00624EE7">
        <w:rPr>
          <w:color w:val="000000"/>
          <w:szCs w:val="28"/>
          <w:u w:val="single"/>
        </w:rPr>
        <w:t>осподарський процесуальний кодекс України визначає юрисдикцію та повноваження господарських судів</w:t>
      </w:r>
      <w:r w:rsidRPr="00624EE7">
        <w:rPr>
          <w:color w:val="000000"/>
          <w:szCs w:val="28"/>
        </w:rPr>
        <w:t xml:space="preserve">, </w:t>
      </w:r>
      <w:r w:rsidRPr="00624EE7">
        <w:rPr>
          <w:color w:val="000000"/>
          <w:szCs w:val="28"/>
          <w:u w:val="single"/>
        </w:rPr>
        <w:t>встановлює порядок здійснення судочинства у господарських судах</w:t>
      </w:r>
      <w:r w:rsidRPr="00624EE7">
        <w:rPr>
          <w:color w:val="000000"/>
          <w:szCs w:val="28"/>
        </w:rPr>
        <w:t>.</w:t>
      </w:r>
      <w:r>
        <w:rPr>
          <w:color w:val="000000"/>
          <w:szCs w:val="28"/>
        </w:rPr>
        <w:t xml:space="preserve"> Крім того, статтею 12 цього Кодексу встановлено, що г</w:t>
      </w:r>
      <w:r w:rsidRPr="00624EE7">
        <w:rPr>
          <w:color w:val="000000"/>
          <w:szCs w:val="28"/>
        </w:rPr>
        <w:t>осподарські суди розглядають справи про банкрутство у порядку, передбаченому цим Кодексом для позовного провадження</w:t>
      </w:r>
      <w:r w:rsidRPr="000E4CEF">
        <w:rPr>
          <w:color w:val="000000"/>
          <w:szCs w:val="28"/>
          <w:u w:val="single"/>
        </w:rPr>
        <w:t>, з урахуванням особливостей</w:t>
      </w:r>
      <w:r w:rsidRPr="00624EE7">
        <w:rPr>
          <w:color w:val="000000"/>
          <w:szCs w:val="28"/>
        </w:rPr>
        <w:t xml:space="preserve">, встановлених </w:t>
      </w:r>
      <w:r w:rsidRPr="00624EE7">
        <w:rPr>
          <w:szCs w:val="28"/>
        </w:rPr>
        <w:t xml:space="preserve">Законом України </w:t>
      </w:r>
      <w:r>
        <w:rPr>
          <w:color w:val="000000"/>
          <w:szCs w:val="28"/>
        </w:rPr>
        <w:t>«</w:t>
      </w:r>
      <w:r w:rsidRPr="00624EE7">
        <w:rPr>
          <w:color w:val="000000"/>
          <w:szCs w:val="28"/>
        </w:rPr>
        <w:t>Про відновлення платоспроможності боржника або визнання його банкрутом</w:t>
      </w:r>
      <w:r>
        <w:rPr>
          <w:color w:val="000000"/>
          <w:szCs w:val="28"/>
        </w:rPr>
        <w:t>»</w:t>
      </w:r>
      <w:r w:rsidRPr="00624EE7">
        <w:rPr>
          <w:color w:val="000000"/>
          <w:szCs w:val="28"/>
        </w:rPr>
        <w:t>.</w:t>
      </w:r>
      <w:r>
        <w:rPr>
          <w:color w:val="000000"/>
          <w:szCs w:val="28"/>
        </w:rPr>
        <w:t xml:space="preserve"> </w:t>
      </w:r>
    </w:p>
    <w:p w:rsidR="00434C8C" w:rsidRDefault="00434C8C" w:rsidP="00DA06FA">
      <w:pPr>
        <w:spacing w:after="0" w:line="240" w:lineRule="auto"/>
        <w:ind w:firstLine="709"/>
        <w:jc w:val="both"/>
        <w:rPr>
          <w:color w:val="000000"/>
          <w:szCs w:val="28"/>
        </w:rPr>
      </w:pPr>
      <w:r>
        <w:rPr>
          <w:color w:val="000000"/>
          <w:szCs w:val="28"/>
        </w:rPr>
        <w:t xml:space="preserve">Отже, проект Кодексу мав би містити норми, які визначають особливості відновлення платоспроможності боржника-юридичної особи або визнання його банкрутом чи платоспроможності фізичної особи, а не процесуальні норми Господарського процесуального кодексу України. </w:t>
      </w:r>
    </w:p>
    <w:p w:rsidR="00434C8C" w:rsidRDefault="00434C8C" w:rsidP="00DA06FA">
      <w:pPr>
        <w:spacing w:after="0" w:line="240" w:lineRule="auto"/>
        <w:ind w:firstLine="709"/>
        <w:jc w:val="both"/>
        <w:rPr>
          <w:color w:val="000000"/>
          <w:szCs w:val="28"/>
        </w:rPr>
      </w:pPr>
      <w:r>
        <w:rPr>
          <w:color w:val="000000"/>
          <w:szCs w:val="28"/>
        </w:rPr>
        <w:t>Також звертаємо увагу на те, що стаття 2 проекту, за якою «п</w:t>
      </w:r>
      <w:r w:rsidRPr="00E050F9">
        <w:t xml:space="preserve">ровадження у справах про </w:t>
      </w:r>
      <w:r>
        <w:t>банкрутство</w:t>
      </w:r>
      <w:r w:rsidRPr="00E050F9">
        <w:t xml:space="preserve"> регулюється цим Кодексом, Господарським процесуальним кодексом України, </w:t>
      </w:r>
      <w:r w:rsidRPr="000E4CEF">
        <w:rPr>
          <w:u w:val="single"/>
        </w:rPr>
        <w:t>іншими законодавчими актами України</w:t>
      </w:r>
      <w:r>
        <w:rPr>
          <w:color w:val="000000"/>
          <w:szCs w:val="28"/>
        </w:rPr>
        <w:t xml:space="preserve">», не узгоджується із статтею 92 Конституції України та статтями 1 і 12 Господарського процесуального кодексу України. </w:t>
      </w:r>
    </w:p>
    <w:p w:rsidR="00434C8C" w:rsidRDefault="00434C8C" w:rsidP="00DA06FA">
      <w:pPr>
        <w:spacing w:after="0" w:line="240" w:lineRule="auto"/>
        <w:ind w:firstLine="709"/>
        <w:jc w:val="both"/>
      </w:pPr>
      <w:r>
        <w:rPr>
          <w:color w:val="000000"/>
          <w:szCs w:val="28"/>
        </w:rPr>
        <w:t>Крім того, зазначимо, що норми проекту, встановлюючи порядок розгляду справ про банкрутство</w:t>
      </w:r>
      <w:r>
        <w:t xml:space="preserve">, потребують узгодження з нормами ГПК України, а саме: </w:t>
      </w:r>
    </w:p>
    <w:p w:rsidR="00434C8C" w:rsidRPr="000F05A3" w:rsidRDefault="00434C8C" w:rsidP="00DA06FA">
      <w:pPr>
        <w:pStyle w:val="StyleZakonu"/>
        <w:spacing w:after="0" w:line="240" w:lineRule="auto"/>
        <w:ind w:firstLine="709"/>
        <w:rPr>
          <w:color w:val="000000"/>
          <w:sz w:val="28"/>
          <w:szCs w:val="28"/>
          <w:lang w:eastAsia="en-US"/>
        </w:rPr>
      </w:pPr>
      <w:r w:rsidRPr="00642ED7">
        <w:rPr>
          <w:sz w:val="28"/>
          <w:szCs w:val="28"/>
        </w:rPr>
        <w:t>-</w:t>
      </w:r>
      <w:r>
        <w:rPr>
          <w:sz w:val="28"/>
          <w:szCs w:val="28"/>
        </w:rPr>
        <w:t xml:space="preserve"> </w:t>
      </w:r>
      <w:r w:rsidRPr="00642ED7">
        <w:rPr>
          <w:sz w:val="28"/>
          <w:szCs w:val="28"/>
        </w:rPr>
        <w:t>ст</w:t>
      </w:r>
      <w:r>
        <w:rPr>
          <w:sz w:val="28"/>
          <w:szCs w:val="28"/>
        </w:rPr>
        <w:t>аття</w:t>
      </w:r>
      <w:r w:rsidRPr="00642ED7">
        <w:rPr>
          <w:sz w:val="28"/>
          <w:szCs w:val="28"/>
        </w:rPr>
        <w:t xml:space="preserve"> 8 проекту, за якою</w:t>
      </w:r>
      <w:r>
        <w:t xml:space="preserve"> </w:t>
      </w:r>
      <w:r w:rsidRPr="00642ED7">
        <w:rPr>
          <w:sz w:val="28"/>
          <w:szCs w:val="28"/>
        </w:rPr>
        <w:t>«с</w:t>
      </w:r>
      <w:r w:rsidRPr="00437FFB">
        <w:rPr>
          <w:sz w:val="28"/>
        </w:rPr>
        <w:t>прави про банкрутство розглядаються господарськими судами за місцезнаходженням боржника</w:t>
      </w:r>
      <w:r>
        <w:rPr>
          <w:sz w:val="28"/>
        </w:rPr>
        <w:t>-</w:t>
      </w:r>
      <w:r w:rsidRPr="00437FFB">
        <w:rPr>
          <w:sz w:val="28"/>
        </w:rPr>
        <w:t xml:space="preserve">юридичної особи </w:t>
      </w:r>
      <w:r>
        <w:rPr>
          <w:sz w:val="28"/>
        </w:rPr>
        <w:t>або місцем проживання боржника-</w:t>
      </w:r>
      <w:r w:rsidRPr="00437FFB">
        <w:rPr>
          <w:sz w:val="28"/>
        </w:rPr>
        <w:t>фізичної особи чи фізичної особи</w:t>
      </w:r>
      <w:r>
        <w:rPr>
          <w:sz w:val="28"/>
        </w:rPr>
        <w:t>-п</w:t>
      </w:r>
      <w:r w:rsidRPr="00437FFB">
        <w:rPr>
          <w:sz w:val="28"/>
        </w:rPr>
        <w:t>ідприємця</w:t>
      </w:r>
      <w:r>
        <w:rPr>
          <w:sz w:val="28"/>
        </w:rPr>
        <w:t xml:space="preserve">», – із частиною дев’ятою статті 30 </w:t>
      </w:r>
      <w:r w:rsidRPr="00751696">
        <w:rPr>
          <w:sz w:val="28"/>
          <w:szCs w:val="28"/>
        </w:rPr>
        <w:t>Г</w:t>
      </w:r>
      <w:r>
        <w:rPr>
          <w:sz w:val="28"/>
          <w:szCs w:val="28"/>
        </w:rPr>
        <w:t>ПК</w:t>
      </w:r>
      <w:r w:rsidRPr="00751696">
        <w:rPr>
          <w:sz w:val="28"/>
          <w:szCs w:val="28"/>
        </w:rPr>
        <w:t xml:space="preserve"> України</w:t>
      </w:r>
      <w:r>
        <w:rPr>
          <w:sz w:val="28"/>
          <w:szCs w:val="28"/>
        </w:rPr>
        <w:t>, за якою «с</w:t>
      </w:r>
      <w:r w:rsidRPr="00751696">
        <w:rPr>
          <w:color w:val="000000"/>
          <w:sz w:val="28"/>
          <w:szCs w:val="28"/>
          <w:lang w:eastAsia="en-US"/>
        </w:rPr>
        <w:t xml:space="preserve">прави, передбачені </w:t>
      </w:r>
      <w:r w:rsidRPr="00751696">
        <w:rPr>
          <w:sz w:val="28"/>
          <w:szCs w:val="28"/>
          <w:lang w:eastAsia="en-US"/>
        </w:rPr>
        <w:t xml:space="preserve">пунктами 8 та 9 </w:t>
      </w:r>
      <w:r w:rsidRPr="00751696">
        <w:rPr>
          <w:color w:val="000000"/>
          <w:sz w:val="28"/>
          <w:szCs w:val="28"/>
          <w:lang w:eastAsia="en-US"/>
        </w:rPr>
        <w:t>частини першої статті 20 цього Кодексу, розглядаються господарським судом за місцезнаходженням боржника</w:t>
      </w:r>
      <w:r>
        <w:rPr>
          <w:color w:val="000000"/>
          <w:sz w:val="28"/>
          <w:szCs w:val="28"/>
          <w:lang w:eastAsia="en-US"/>
        </w:rPr>
        <w:t xml:space="preserve">», тобто ГПК України встановлює виключну підсудність справ </w:t>
      </w:r>
      <w:r w:rsidRPr="000F05A3">
        <w:rPr>
          <w:color w:val="000000"/>
          <w:sz w:val="28"/>
          <w:szCs w:val="28"/>
          <w:lang w:eastAsia="en-US"/>
        </w:rPr>
        <w:t>про банкрутство та справ у спорах з майновими вимогами до боржника (</w:t>
      </w:r>
      <w:r>
        <w:rPr>
          <w:color w:val="000000"/>
          <w:sz w:val="28"/>
          <w:szCs w:val="28"/>
          <w:lang w:eastAsia="en-US"/>
        </w:rPr>
        <w:t xml:space="preserve">пункт </w:t>
      </w:r>
      <w:r w:rsidRPr="000F05A3">
        <w:rPr>
          <w:color w:val="000000"/>
          <w:sz w:val="28"/>
          <w:szCs w:val="28"/>
          <w:lang w:eastAsia="en-US"/>
        </w:rPr>
        <w:t xml:space="preserve">8 частини першої </w:t>
      </w:r>
      <w:r>
        <w:rPr>
          <w:color w:val="000000"/>
          <w:sz w:val="28"/>
          <w:szCs w:val="28"/>
          <w:lang w:eastAsia="en-US"/>
        </w:rPr>
        <w:t xml:space="preserve">статті </w:t>
      </w:r>
      <w:r w:rsidRPr="000F05A3">
        <w:rPr>
          <w:color w:val="000000"/>
          <w:sz w:val="28"/>
          <w:szCs w:val="28"/>
          <w:lang w:eastAsia="en-US"/>
        </w:rPr>
        <w:t>20)</w:t>
      </w:r>
      <w:r>
        <w:rPr>
          <w:color w:val="000000"/>
          <w:sz w:val="28"/>
          <w:szCs w:val="28"/>
          <w:lang w:eastAsia="en-US"/>
        </w:rPr>
        <w:t xml:space="preserve">, а також </w:t>
      </w:r>
      <w:r w:rsidRPr="000F05A3">
        <w:rPr>
          <w:color w:val="000000"/>
          <w:sz w:val="28"/>
          <w:szCs w:val="28"/>
          <w:lang w:eastAsia="en-US"/>
        </w:rPr>
        <w:t>справ за заявами про затвердження планів санації боржника (</w:t>
      </w:r>
      <w:r>
        <w:rPr>
          <w:color w:val="000000"/>
          <w:sz w:val="28"/>
          <w:szCs w:val="28"/>
          <w:lang w:eastAsia="en-US"/>
        </w:rPr>
        <w:t xml:space="preserve">пункт </w:t>
      </w:r>
      <w:r w:rsidRPr="000F05A3">
        <w:rPr>
          <w:color w:val="000000"/>
          <w:sz w:val="28"/>
          <w:szCs w:val="28"/>
          <w:lang w:eastAsia="en-US"/>
        </w:rPr>
        <w:t xml:space="preserve">9 частини першої </w:t>
      </w:r>
      <w:r>
        <w:rPr>
          <w:color w:val="000000"/>
          <w:sz w:val="28"/>
          <w:szCs w:val="28"/>
          <w:lang w:eastAsia="en-US"/>
        </w:rPr>
        <w:t xml:space="preserve">статті </w:t>
      </w:r>
      <w:r w:rsidRPr="000F05A3">
        <w:rPr>
          <w:color w:val="000000"/>
          <w:sz w:val="28"/>
          <w:szCs w:val="28"/>
          <w:lang w:eastAsia="en-US"/>
        </w:rPr>
        <w:t xml:space="preserve">20); </w:t>
      </w:r>
    </w:p>
    <w:p w:rsidR="00434C8C" w:rsidRPr="00751696" w:rsidRDefault="00434C8C" w:rsidP="00DA06FA">
      <w:pPr>
        <w:pStyle w:val="StyleZakonu"/>
        <w:spacing w:after="0" w:line="240" w:lineRule="auto"/>
        <w:ind w:firstLine="709"/>
        <w:rPr>
          <w:sz w:val="28"/>
          <w:szCs w:val="28"/>
        </w:rPr>
      </w:pPr>
      <w:r>
        <w:rPr>
          <w:color w:val="000000"/>
          <w:sz w:val="28"/>
          <w:szCs w:val="28"/>
          <w:lang w:eastAsia="en-US"/>
        </w:rPr>
        <w:t>- ряд статей проекту використовують іншу, ніж у ГПК України термінологію, як-то: «</w:t>
      </w:r>
      <w:r w:rsidRPr="00953712">
        <w:rPr>
          <w:color w:val="000000"/>
          <w:sz w:val="28"/>
          <w:szCs w:val="28"/>
          <w:u w:val="single"/>
          <w:lang w:eastAsia="en-US"/>
        </w:rPr>
        <w:t>винесення ухвали</w:t>
      </w:r>
      <w:r>
        <w:rPr>
          <w:color w:val="000000"/>
          <w:sz w:val="28"/>
          <w:szCs w:val="28"/>
          <w:lang w:eastAsia="en-US"/>
        </w:rPr>
        <w:t>» (статті 5, 9, 40 тощо)</w:t>
      </w:r>
      <w:r w:rsidRPr="00ED59D0">
        <w:rPr>
          <w:color w:val="000000"/>
          <w:sz w:val="28"/>
          <w:szCs w:val="28"/>
          <w:lang w:eastAsia="en-US"/>
        </w:rPr>
        <w:t xml:space="preserve"> </w:t>
      </w:r>
      <w:r>
        <w:rPr>
          <w:color w:val="000000"/>
          <w:sz w:val="28"/>
          <w:szCs w:val="28"/>
          <w:lang w:eastAsia="en-US"/>
        </w:rPr>
        <w:t>(див., наприклад, ст. 232 ГПК, де йдеться про «</w:t>
      </w:r>
      <w:r w:rsidRPr="009A290F">
        <w:rPr>
          <w:color w:val="000000"/>
          <w:sz w:val="28"/>
          <w:szCs w:val="28"/>
          <w:u w:val="single"/>
          <w:lang w:eastAsia="en-US"/>
        </w:rPr>
        <w:t>постановлення</w:t>
      </w:r>
      <w:r>
        <w:rPr>
          <w:color w:val="000000"/>
          <w:sz w:val="28"/>
          <w:szCs w:val="28"/>
          <w:lang w:eastAsia="en-US"/>
        </w:rPr>
        <w:t xml:space="preserve"> ухвали»), «підсумкове засідання суду» (ст. 49 проекту), «наступна судова процедура» (ст. 49 проекту) тощо. </w:t>
      </w:r>
    </w:p>
    <w:p w:rsidR="00434C8C" w:rsidRPr="00751696"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rPr>
          <w:color w:val="000000"/>
          <w:szCs w:val="28"/>
        </w:rPr>
      </w:pPr>
      <w:r>
        <w:rPr>
          <w:color w:val="000000"/>
          <w:szCs w:val="28"/>
        </w:rPr>
        <w:t xml:space="preserve">2. Підтримуючи ідею відновлення платоспроможності фізичної особи, закладену в проекті, слід зазначити, що, на нашу думку, ГПК України потребує відповідних змін, оскільки згідно із його статтею 20 </w:t>
      </w:r>
      <w:r w:rsidRPr="007B401C">
        <w:rPr>
          <w:color w:val="000000"/>
          <w:szCs w:val="28"/>
        </w:rPr>
        <w:t>господарські суди розглядають справи у визначених законом випадках, зокрема:</w:t>
      </w:r>
      <w:r>
        <w:rPr>
          <w:color w:val="000000"/>
          <w:szCs w:val="28"/>
        </w:rPr>
        <w:t xml:space="preserve"> </w:t>
      </w:r>
      <w:r w:rsidRPr="007B401C">
        <w:rPr>
          <w:color w:val="000000"/>
          <w:szCs w:val="28"/>
        </w:rPr>
        <w:t xml:space="preserve">справи у спорах, що виникають при укладанні, зміні, розірванні і виконанні правочинів у господарській діяльності, </w:t>
      </w:r>
      <w:r w:rsidRPr="007B401C">
        <w:rPr>
          <w:color w:val="000000"/>
          <w:szCs w:val="28"/>
          <w:u w:val="single"/>
        </w:rPr>
        <w:t>крім правочинів, стороною яких є фізична особа, яка не є підприємцем</w:t>
      </w:r>
      <w:r w:rsidRPr="007B401C">
        <w:rPr>
          <w:color w:val="000000"/>
          <w:szCs w:val="28"/>
        </w:rPr>
        <w:t>, а також у спорах щодо правочинів, укладених для забезпечення виконання зобов’язання, сторонами якого є юридичні особи та (або) фізичні особи</w:t>
      </w:r>
      <w:r>
        <w:rPr>
          <w:color w:val="000000"/>
          <w:szCs w:val="28"/>
        </w:rPr>
        <w:t>-</w:t>
      </w:r>
      <w:r w:rsidRPr="007B401C">
        <w:rPr>
          <w:color w:val="000000"/>
          <w:szCs w:val="28"/>
        </w:rPr>
        <w:t>підприємці</w:t>
      </w:r>
      <w:r>
        <w:rPr>
          <w:color w:val="000000"/>
          <w:szCs w:val="28"/>
        </w:rPr>
        <w:t>.</w:t>
      </w:r>
    </w:p>
    <w:p w:rsidR="00434C8C" w:rsidRDefault="00434C8C" w:rsidP="00DA06FA">
      <w:pPr>
        <w:spacing w:after="0" w:line="240" w:lineRule="auto"/>
        <w:ind w:firstLine="709"/>
        <w:jc w:val="both"/>
      </w:pPr>
      <w:r>
        <w:rPr>
          <w:color w:val="000000"/>
          <w:szCs w:val="28"/>
        </w:rPr>
        <w:t>Відтак, частина друга статті 7 проекту, за якою с</w:t>
      </w:r>
      <w:r>
        <w:t xml:space="preserve">уд, у провадженні якого перебуває справа про банкрутство, в межах цієї справи вирішує усі майнові спори, стороною в яких є боржник; спори з позовними вимогами до боржника та щодо його майна; … спори про визнання недійсними будь-яких правочинів, укладених боржником та щодо інших вимог до боржника …, потребує узгодження із нормами ГПК України, оскільки за статтею 1 проекту </w:t>
      </w:r>
      <w:r w:rsidRPr="00E050F9">
        <w:t xml:space="preserve">боржник – </w:t>
      </w:r>
      <w:r>
        <w:t xml:space="preserve">це </w:t>
      </w:r>
      <w:r w:rsidRPr="00E050F9">
        <w:t xml:space="preserve">юридична особа </w:t>
      </w:r>
      <w:r w:rsidRPr="000F05A3">
        <w:rPr>
          <w:u w:val="single"/>
        </w:rPr>
        <w:t>або фізична особа</w:t>
      </w:r>
      <w:r w:rsidRPr="00E050F9">
        <w:t xml:space="preserve">, у тому числі фізична особа-підприємець, </w:t>
      </w:r>
      <w:r w:rsidRPr="000F05A3">
        <w:rPr>
          <w:u w:val="single"/>
        </w:rPr>
        <w:t>неспроможна виконати свої грошові зобов’язання</w:t>
      </w:r>
      <w:r w:rsidRPr="000F05A3">
        <w:t>, строк яких настав</w:t>
      </w:r>
      <w:r>
        <w:t>. Г</w:t>
      </w:r>
      <w:r w:rsidRPr="00E050F9">
        <w:t xml:space="preserve">рошове зобов'язання </w:t>
      </w:r>
      <w:r>
        <w:t>– це</w:t>
      </w:r>
      <w:r w:rsidRPr="00E050F9">
        <w:t xml:space="preserve"> зобов'язання боржника сплатити кредитору певну грошову суму відповідно до цивільно-правового правочину (договору) та на інших підставах, передбачених законодавством України</w:t>
      </w:r>
      <w:r>
        <w:t xml:space="preserve"> (ст. 1 проекту). </w:t>
      </w:r>
    </w:p>
    <w:p w:rsidR="00434C8C" w:rsidRDefault="00434C8C" w:rsidP="00DA06FA">
      <w:pPr>
        <w:pStyle w:val="StyleZakonu"/>
        <w:spacing w:after="0" w:line="240" w:lineRule="auto"/>
        <w:ind w:firstLine="709"/>
        <w:rPr>
          <w:rStyle w:val="rvts0"/>
          <w:sz w:val="28"/>
          <w:szCs w:val="28"/>
        </w:rPr>
      </w:pPr>
    </w:p>
    <w:p w:rsidR="00434C8C" w:rsidRDefault="00434C8C" w:rsidP="00DA06FA">
      <w:pPr>
        <w:pStyle w:val="StyleZakonu"/>
        <w:spacing w:after="0" w:line="240" w:lineRule="auto"/>
        <w:ind w:firstLine="709"/>
        <w:rPr>
          <w:sz w:val="28"/>
        </w:rPr>
      </w:pPr>
      <w:r>
        <w:rPr>
          <w:rStyle w:val="rvts0"/>
          <w:sz w:val="28"/>
          <w:szCs w:val="28"/>
        </w:rPr>
        <w:t>3. В абзаці другому частини другої статті 7 проекту, яка визначає порядок розгляду справ про банкрутство, передбачено, що с</w:t>
      </w:r>
      <w:r w:rsidRPr="00437FFB">
        <w:rPr>
          <w:sz w:val="28"/>
        </w:rPr>
        <w:t xml:space="preserve">уд розглядає спори, стороною у яких є боржник у позовному або наказному провадженні за правилами, визначеними Господарським процесуальним кодексом. </w:t>
      </w:r>
    </w:p>
    <w:p w:rsidR="00434C8C" w:rsidRDefault="00434C8C" w:rsidP="00DA06FA">
      <w:pPr>
        <w:pStyle w:val="StyleZakonu"/>
        <w:spacing w:after="0" w:line="240" w:lineRule="auto"/>
        <w:ind w:firstLine="709"/>
        <w:rPr>
          <w:sz w:val="28"/>
        </w:rPr>
      </w:pPr>
      <w:r>
        <w:rPr>
          <w:sz w:val="28"/>
        </w:rPr>
        <w:t>Зазначене не узгоджується із частиною шостою статті 12 ГПК України, відповідно до змісту якої господарські суди розглядають справи про банкрутство в порядку, передбаченому цим Кодексом для позовного провадження, з урахуванням особливостей, встановлених законом про відновлення платоспроможності боржника або визнання його банкрутом.</w:t>
      </w:r>
    </w:p>
    <w:p w:rsidR="00434C8C" w:rsidRDefault="00434C8C" w:rsidP="00DA06FA">
      <w:pPr>
        <w:pStyle w:val="StyleZakonu"/>
        <w:spacing w:after="0" w:line="240" w:lineRule="auto"/>
        <w:ind w:firstLine="709"/>
        <w:rPr>
          <w:sz w:val="28"/>
        </w:rPr>
      </w:pPr>
      <w:r>
        <w:rPr>
          <w:sz w:val="28"/>
        </w:rPr>
        <w:t>У разі якщо мають на увазі інші справи,</w:t>
      </w:r>
      <w:r w:rsidRPr="008B0D0E">
        <w:rPr>
          <w:sz w:val="28"/>
          <w:lang w:val="ru-RU"/>
        </w:rPr>
        <w:t xml:space="preserve"> </w:t>
      </w:r>
      <w:r>
        <w:rPr>
          <w:sz w:val="28"/>
        </w:rPr>
        <w:t>що можуть розглядатися господарським судом у наказному провадженні, то про це необхідно зазначити окремо.</w:t>
      </w:r>
    </w:p>
    <w:p w:rsidR="00434C8C" w:rsidRDefault="00434C8C" w:rsidP="00DA06FA">
      <w:pPr>
        <w:pStyle w:val="StyleZakonu"/>
        <w:spacing w:after="0" w:line="240" w:lineRule="auto"/>
        <w:ind w:firstLine="709"/>
        <w:rPr>
          <w:sz w:val="28"/>
        </w:rPr>
      </w:pPr>
      <w:r>
        <w:rPr>
          <w:sz w:val="28"/>
        </w:rPr>
        <w:t>Звертаємо увагу, що відповідно до частини другої статті 12 та статті 148 ГПК України наказне провадження призначене виключно для розгляду справ за заявами про стягнення грошових сум незначного розміру, щодо яких відсутній спір або про його наявність заявнику невідомо.</w:t>
      </w:r>
    </w:p>
    <w:p w:rsidR="00434C8C" w:rsidRDefault="00434C8C" w:rsidP="00DA06FA">
      <w:pPr>
        <w:pStyle w:val="StyleZakonu"/>
        <w:spacing w:after="0" w:line="240" w:lineRule="auto"/>
        <w:ind w:firstLine="709"/>
        <w:rPr>
          <w:sz w:val="28"/>
        </w:rPr>
      </w:pPr>
    </w:p>
    <w:p w:rsidR="00434C8C" w:rsidRPr="00C97C9F" w:rsidRDefault="00434C8C" w:rsidP="00DA06FA">
      <w:pPr>
        <w:pStyle w:val="StyleZakonu"/>
        <w:spacing w:after="0" w:line="240" w:lineRule="auto"/>
        <w:ind w:firstLine="709"/>
        <w:rPr>
          <w:sz w:val="28"/>
          <w:szCs w:val="28"/>
        </w:rPr>
      </w:pPr>
      <w:r>
        <w:rPr>
          <w:sz w:val="28"/>
        </w:rPr>
        <w:t>4. Викликає певні заперечення і редакція частини третьої статті 7 проекту, в якій передбачено, що м</w:t>
      </w:r>
      <w:r w:rsidRPr="00437FFB">
        <w:rPr>
          <w:sz w:val="28"/>
        </w:rPr>
        <w:t>атеріали справи, в якій стороною є боржник щодо майнових спорів з вимогами до нього та його майна, провадження у якій відкрито до відкриття провадження у справі про банкрутство, надсилаються до суду, в провадженні якого перебуває справа про банкрутство, який розглядає спір по суті в межах цієї справи</w:t>
      </w:r>
      <w:r>
        <w:rPr>
          <w:sz w:val="28"/>
        </w:rPr>
        <w:t xml:space="preserve">. На нашу думку, зазначене викладено без урахування вимог статті 21 ГПК України, відповідно до якої </w:t>
      </w:r>
      <w:r>
        <w:rPr>
          <w:rStyle w:val="rvts0"/>
          <w:sz w:val="28"/>
          <w:szCs w:val="28"/>
        </w:rPr>
        <w:t>н</w:t>
      </w:r>
      <w:r w:rsidRPr="00C97C9F">
        <w:rPr>
          <w:rStyle w:val="rvts0"/>
          <w:sz w:val="28"/>
          <w:szCs w:val="28"/>
        </w:rPr>
        <w:t>е допускається об’єднання в одне провадження кількох вимог, які підлягають розгляду в порядку різного судочинства, якщо інше не передбачено цим Кодексом</w:t>
      </w:r>
      <w:r>
        <w:rPr>
          <w:rStyle w:val="rvts0"/>
          <w:sz w:val="28"/>
          <w:szCs w:val="28"/>
        </w:rPr>
        <w:t>, та статті 173 ГПК України щодо об’єднання і роз’єднання позовів.</w:t>
      </w:r>
    </w:p>
    <w:p w:rsidR="00434C8C" w:rsidRDefault="00434C8C" w:rsidP="00DA06FA">
      <w:pPr>
        <w:pStyle w:val="StyleZakonu"/>
        <w:spacing w:after="0" w:line="240" w:lineRule="auto"/>
        <w:ind w:firstLine="709"/>
        <w:rPr>
          <w:sz w:val="28"/>
          <w:szCs w:val="28"/>
        </w:rPr>
      </w:pPr>
    </w:p>
    <w:p w:rsidR="00434C8C" w:rsidRDefault="00434C8C" w:rsidP="00DA06FA">
      <w:pPr>
        <w:pStyle w:val="StyleZakonu"/>
        <w:spacing w:after="0" w:line="240" w:lineRule="auto"/>
        <w:ind w:firstLine="709"/>
        <w:rPr>
          <w:sz w:val="28"/>
        </w:rPr>
      </w:pPr>
      <w:r>
        <w:rPr>
          <w:sz w:val="28"/>
          <w:szCs w:val="28"/>
        </w:rPr>
        <w:t xml:space="preserve">5. </w:t>
      </w:r>
      <w:r w:rsidRPr="003F1EAC">
        <w:rPr>
          <w:sz w:val="28"/>
          <w:szCs w:val="28"/>
        </w:rPr>
        <w:t xml:space="preserve">Частиною сьомою статті 2 проекту передбачено, що </w:t>
      </w:r>
      <w:r>
        <w:rPr>
          <w:sz w:val="28"/>
          <w:szCs w:val="28"/>
        </w:rPr>
        <w:t>п</w:t>
      </w:r>
      <w:r w:rsidRPr="00437FFB">
        <w:rPr>
          <w:sz w:val="28"/>
        </w:rPr>
        <w:t>орядок виконання в Україні судових рішень судів іноземних держав у справах про банкрутство визначається міжнародними договорами України, згода на обов'язковість яких надана Верховною Радою України.</w:t>
      </w:r>
      <w:r>
        <w:rPr>
          <w:sz w:val="28"/>
        </w:rPr>
        <w:t xml:space="preserve"> </w:t>
      </w:r>
    </w:p>
    <w:p w:rsidR="00434C8C" w:rsidRDefault="00434C8C" w:rsidP="00DA06FA">
      <w:pPr>
        <w:pStyle w:val="StyleZakonu"/>
        <w:spacing w:after="0" w:line="240" w:lineRule="auto"/>
        <w:ind w:firstLine="709"/>
        <w:rPr>
          <w:sz w:val="28"/>
        </w:rPr>
      </w:pPr>
      <w:r w:rsidRPr="00437FFB">
        <w:rPr>
          <w:sz w:val="28"/>
        </w:rPr>
        <w:t>У разі відсутності міжнародних договорів України рішення судів іноземних держав у справах про банкрутство визнаються на території України взаємно, якщо інше не передбачено законом.</w:t>
      </w:r>
    </w:p>
    <w:p w:rsidR="00434C8C" w:rsidRDefault="00434C8C" w:rsidP="00DA06FA">
      <w:pPr>
        <w:pStyle w:val="StyleZakonu"/>
        <w:spacing w:after="0" w:line="240" w:lineRule="auto"/>
        <w:ind w:firstLine="709"/>
        <w:rPr>
          <w:sz w:val="28"/>
        </w:rPr>
      </w:pPr>
      <w:r>
        <w:rPr>
          <w:sz w:val="28"/>
        </w:rPr>
        <w:t>Зазначена редакція викликає такі зауваження.</w:t>
      </w:r>
    </w:p>
    <w:p w:rsidR="00434C8C" w:rsidRDefault="00434C8C" w:rsidP="00DA06FA">
      <w:pPr>
        <w:pStyle w:val="StyleZakonu"/>
        <w:spacing w:after="0" w:line="240" w:lineRule="auto"/>
        <w:ind w:firstLine="709"/>
        <w:rPr>
          <w:sz w:val="28"/>
        </w:rPr>
      </w:pPr>
      <w:r>
        <w:rPr>
          <w:sz w:val="28"/>
        </w:rPr>
        <w:t xml:space="preserve">По-перше, у наведеній редакції не враховано, що </w:t>
      </w:r>
      <w:r>
        <w:rPr>
          <w:sz w:val="28"/>
          <w:szCs w:val="28"/>
        </w:rPr>
        <w:t>п</w:t>
      </w:r>
      <w:r w:rsidRPr="00437FFB">
        <w:rPr>
          <w:sz w:val="28"/>
        </w:rPr>
        <w:t xml:space="preserve">орядок </w:t>
      </w:r>
      <w:r>
        <w:rPr>
          <w:sz w:val="28"/>
        </w:rPr>
        <w:t xml:space="preserve">визнання та </w:t>
      </w:r>
      <w:r w:rsidRPr="00437FFB">
        <w:rPr>
          <w:sz w:val="28"/>
        </w:rPr>
        <w:t xml:space="preserve">виконання в Україні рішень </w:t>
      </w:r>
      <w:r>
        <w:rPr>
          <w:sz w:val="28"/>
        </w:rPr>
        <w:t xml:space="preserve">іноземних </w:t>
      </w:r>
      <w:r w:rsidRPr="00437FFB">
        <w:rPr>
          <w:sz w:val="28"/>
        </w:rPr>
        <w:t xml:space="preserve">судів </w:t>
      </w:r>
      <w:r>
        <w:rPr>
          <w:sz w:val="28"/>
        </w:rPr>
        <w:t>встановлений розділом ІХ Цивільного процесуального кодексу України в редакції Закону України від 3.10.2017 №2147-</w:t>
      </w:r>
      <w:r>
        <w:rPr>
          <w:sz w:val="28"/>
          <w:lang w:val="en-US"/>
        </w:rPr>
        <w:t>VIII</w:t>
      </w:r>
      <w:r>
        <w:rPr>
          <w:sz w:val="28"/>
        </w:rPr>
        <w:t>. У зв’язку з цим використані формулювання у проекті не узгоджуються з термінологією ЦПК України.</w:t>
      </w:r>
    </w:p>
    <w:p w:rsidR="00434C8C" w:rsidRDefault="00434C8C" w:rsidP="00DA06FA">
      <w:pPr>
        <w:pStyle w:val="StyleZakonu"/>
        <w:spacing w:after="0" w:line="240" w:lineRule="auto"/>
        <w:ind w:firstLine="709"/>
        <w:rPr>
          <w:sz w:val="28"/>
        </w:rPr>
      </w:pPr>
      <w:r>
        <w:rPr>
          <w:sz w:val="28"/>
        </w:rPr>
        <w:t>По-друге, в абзаці другому частини сьомої використано поняття «взаємно»</w:t>
      </w:r>
      <w:r>
        <w:rPr>
          <w:sz w:val="28"/>
          <w:lang w:val="ru-RU"/>
        </w:rPr>
        <w:t xml:space="preserve">, </w:t>
      </w:r>
      <w:r w:rsidRPr="00D330BE">
        <w:rPr>
          <w:sz w:val="28"/>
        </w:rPr>
        <w:t xml:space="preserve">тоді як необхідно </w:t>
      </w:r>
      <w:r>
        <w:rPr>
          <w:sz w:val="28"/>
        </w:rPr>
        <w:t>–</w:t>
      </w:r>
      <w:r w:rsidRPr="00D330BE">
        <w:rPr>
          <w:sz w:val="28"/>
        </w:rPr>
        <w:t xml:space="preserve"> «</w:t>
      </w:r>
      <w:r>
        <w:rPr>
          <w:sz w:val="28"/>
        </w:rPr>
        <w:t>за принципом взаємності».</w:t>
      </w:r>
    </w:p>
    <w:p w:rsidR="00434C8C" w:rsidRDefault="00434C8C" w:rsidP="00DA06FA">
      <w:pPr>
        <w:pStyle w:val="NoSpacing"/>
        <w:ind w:firstLine="709"/>
        <w:jc w:val="both"/>
      </w:pPr>
    </w:p>
    <w:p w:rsidR="00434C8C" w:rsidRDefault="00434C8C" w:rsidP="00DA06FA">
      <w:pPr>
        <w:pStyle w:val="NoSpacing"/>
        <w:ind w:firstLine="709"/>
        <w:jc w:val="both"/>
      </w:pPr>
      <w:r>
        <w:t>6. Частиною четвертою статті 9 проекту передбачено, що у</w:t>
      </w:r>
      <w:r w:rsidRPr="00437FFB">
        <w:t>хвали та постанова про визнання боржника банкрутом та відкриття ліквідаційної процедури, прийняті господарським судом у справі про банкрутство, набирають законної сили з моменту їх прийняття, якщо інше не передбачено цим Кодексом.</w:t>
      </w:r>
    </w:p>
    <w:p w:rsidR="00434C8C" w:rsidRDefault="00434C8C" w:rsidP="00DA06FA">
      <w:pPr>
        <w:spacing w:after="0" w:line="240" w:lineRule="auto"/>
        <w:ind w:firstLine="709"/>
        <w:jc w:val="both"/>
        <w:rPr>
          <w:szCs w:val="28"/>
        </w:rPr>
      </w:pPr>
      <w:r>
        <w:rPr>
          <w:szCs w:val="28"/>
        </w:rPr>
        <w:t xml:space="preserve">Положення щодо </w:t>
      </w:r>
      <w:r w:rsidRPr="0064799E">
        <w:rPr>
          <w:szCs w:val="28"/>
        </w:rPr>
        <w:t>набрання законної сили постановою не узгоджується із статтею 241 ГПК</w:t>
      </w:r>
      <w:r>
        <w:rPr>
          <w:szCs w:val="28"/>
        </w:rPr>
        <w:t xml:space="preserve"> України</w:t>
      </w:r>
      <w:r w:rsidRPr="0064799E">
        <w:rPr>
          <w:szCs w:val="28"/>
        </w:rPr>
        <w:t xml:space="preserve">, відповідно до якої </w:t>
      </w:r>
      <w:r>
        <w:rPr>
          <w:szCs w:val="28"/>
        </w:rPr>
        <w:t>р</w:t>
      </w:r>
      <w:r w:rsidRPr="0064799E">
        <w:rPr>
          <w:szCs w:val="28"/>
        </w:rPr>
        <w:t>ішення господарського суду набирає законної сили після закінчення строку подання апеляційної скарги, якщо апеляційну скаргу не було подано.</w:t>
      </w:r>
      <w:r>
        <w:rPr>
          <w:szCs w:val="28"/>
        </w:rPr>
        <w:t xml:space="preserve"> </w:t>
      </w:r>
      <w:bookmarkStart w:id="1" w:name="n3384"/>
      <w:bookmarkEnd w:id="1"/>
      <w:r w:rsidRPr="0064799E">
        <w:rPr>
          <w:szCs w:val="28"/>
        </w:rPr>
        <w:t>У разі подання апеляційної скарги рішення, якщо його не скасовано, набирає законної сили після повернення апеляційної скарги, відмови у відкритті чи закриття апеляційного провадження або прийняття постанови суду апеляційної інстанції за наслідками апеляційного перегляду.</w:t>
      </w:r>
      <w:r>
        <w:rPr>
          <w:szCs w:val="28"/>
        </w:rPr>
        <w:t xml:space="preserve"> Будь-яких виключень із загального правила ГПК України не містить.</w:t>
      </w:r>
    </w:p>
    <w:p w:rsidR="00434C8C" w:rsidRDefault="00434C8C" w:rsidP="00DA06FA">
      <w:pPr>
        <w:pStyle w:val="NoSpacing"/>
        <w:ind w:firstLine="709"/>
        <w:jc w:val="both"/>
        <w:rPr>
          <w:szCs w:val="28"/>
        </w:rPr>
      </w:pPr>
    </w:p>
    <w:p w:rsidR="00434C8C" w:rsidRDefault="00434C8C" w:rsidP="00DA06FA">
      <w:pPr>
        <w:pStyle w:val="NoSpacing"/>
        <w:ind w:firstLine="709"/>
        <w:jc w:val="both"/>
        <w:rPr>
          <w:szCs w:val="28"/>
        </w:rPr>
      </w:pPr>
      <w:r>
        <w:rPr>
          <w:szCs w:val="28"/>
        </w:rPr>
        <w:t>7. Розділ І проекту має назву «Провадження у справах про банкрутство». У цьому розділі йдеться про заяву про відкриття провадження у справі про банкрутство (статті 34, 35 проекту). З огляду на положення ГПК України необхідно уточнити, що в цьому розділі йдеться про позовну заяву чи просто заяву, адже у позовному провадженні підставою для відкриття провадження у справі є позов (стаття 171 ГПК України).</w:t>
      </w:r>
    </w:p>
    <w:p w:rsidR="00434C8C" w:rsidRDefault="00434C8C" w:rsidP="00DA06FA">
      <w:pPr>
        <w:pStyle w:val="NoSpacing"/>
        <w:ind w:firstLine="709"/>
        <w:jc w:val="both"/>
        <w:rPr>
          <w:szCs w:val="28"/>
        </w:rPr>
      </w:pPr>
      <w:r>
        <w:rPr>
          <w:szCs w:val="28"/>
        </w:rPr>
        <w:t>Варто також зазначити, що реквізити боржника і кредитора, передбачені у статті 34 проекту, виписані в інший, звужений, спосіб, ніж це передбачено ГПК України (частина третя статті 162, статті 165, 170 тощо ГПК України).</w:t>
      </w:r>
    </w:p>
    <w:p w:rsidR="00434C8C" w:rsidRDefault="00434C8C" w:rsidP="00DA06FA">
      <w:pPr>
        <w:pStyle w:val="NoSpacing"/>
        <w:ind w:firstLine="709"/>
        <w:jc w:val="both"/>
        <w:rPr>
          <w:b/>
          <w:szCs w:val="28"/>
        </w:rPr>
      </w:pPr>
      <w:r w:rsidRPr="007F63E3">
        <w:rPr>
          <w:szCs w:val="28"/>
        </w:rPr>
        <w:t>Крім того, у статтях 35 та 37 проекту використані формулювання «прийняття заяви про відкриття провадження» та «відмова у прийнятті заяви про відкриття провадження»</w:t>
      </w:r>
      <w:r>
        <w:rPr>
          <w:szCs w:val="28"/>
        </w:rPr>
        <w:t xml:space="preserve">, проте </w:t>
      </w:r>
      <w:r w:rsidRPr="007F63E3">
        <w:rPr>
          <w:szCs w:val="28"/>
        </w:rPr>
        <w:t>це не враховує зміненої термінології ГПК України.</w:t>
      </w:r>
    </w:p>
    <w:p w:rsidR="00434C8C" w:rsidRDefault="00434C8C" w:rsidP="00DA06FA">
      <w:pPr>
        <w:pStyle w:val="NoSpacing"/>
        <w:ind w:firstLine="709"/>
        <w:jc w:val="both"/>
        <w:rPr>
          <w:szCs w:val="28"/>
        </w:rPr>
      </w:pPr>
    </w:p>
    <w:p w:rsidR="00434C8C" w:rsidRDefault="00434C8C" w:rsidP="00DA06FA">
      <w:pPr>
        <w:pStyle w:val="NoSpacing"/>
        <w:ind w:firstLine="709"/>
        <w:jc w:val="both"/>
        <w:rPr>
          <w:szCs w:val="28"/>
        </w:rPr>
      </w:pPr>
      <w:r>
        <w:rPr>
          <w:szCs w:val="28"/>
        </w:rPr>
        <w:t>8. У частині третій статті 49 проекту перераховуються судові рішення господарського суду. При цьому зазначено, що вони «приймаються».</w:t>
      </w:r>
    </w:p>
    <w:p w:rsidR="00434C8C" w:rsidRDefault="00434C8C" w:rsidP="00DA06FA">
      <w:pPr>
        <w:pStyle w:val="NoSpacing"/>
        <w:ind w:firstLine="709"/>
        <w:jc w:val="both"/>
      </w:pPr>
      <w:r>
        <w:t>Разом з тим, відповідно до Конституції України та статті 233 ГПК України судові рішення «ухвалюються» іменем України.</w:t>
      </w:r>
    </w:p>
    <w:p w:rsidR="00434C8C" w:rsidRDefault="00434C8C" w:rsidP="00DA06FA">
      <w:pPr>
        <w:pStyle w:val="NoSpacing"/>
        <w:ind w:firstLine="709"/>
        <w:jc w:val="both"/>
      </w:pPr>
      <w:r>
        <w:t>Це саме зауваження стосується статті 58 проекту.</w:t>
      </w:r>
    </w:p>
    <w:p w:rsidR="00434C8C" w:rsidRDefault="00434C8C" w:rsidP="00DA06FA">
      <w:pPr>
        <w:pStyle w:val="NoSpacing"/>
        <w:ind w:firstLine="709"/>
        <w:jc w:val="both"/>
      </w:pPr>
    </w:p>
    <w:p w:rsidR="00434C8C" w:rsidRDefault="00434C8C" w:rsidP="00DA06FA">
      <w:pPr>
        <w:pStyle w:val="StyleZakonu"/>
        <w:spacing w:after="0" w:line="240" w:lineRule="auto"/>
        <w:ind w:firstLine="709"/>
        <w:rPr>
          <w:sz w:val="28"/>
        </w:rPr>
      </w:pPr>
      <w:r>
        <w:rPr>
          <w:sz w:val="28"/>
          <w:szCs w:val="28"/>
        </w:rPr>
        <w:t>9</w:t>
      </w:r>
      <w:r w:rsidRPr="00FF35AF">
        <w:rPr>
          <w:sz w:val="28"/>
          <w:szCs w:val="28"/>
        </w:rPr>
        <w:t>. В останньому абзаці статті 58 проекту передбачено, що</w:t>
      </w:r>
      <w:r>
        <w:t xml:space="preserve"> </w:t>
      </w:r>
      <w:r>
        <w:rPr>
          <w:sz w:val="28"/>
        </w:rPr>
        <w:t>н</w:t>
      </w:r>
      <w:r w:rsidRPr="00437FFB">
        <w:rPr>
          <w:sz w:val="28"/>
        </w:rPr>
        <w:t>еявка у судове засідання осіб, які були належним чином повідомлені про час і місце такого засідання, не перешкоджає провадженню у справі.</w:t>
      </w:r>
    </w:p>
    <w:p w:rsidR="00434C8C" w:rsidRPr="00437FFB" w:rsidRDefault="00434C8C" w:rsidP="00DA06FA">
      <w:pPr>
        <w:pStyle w:val="StyleZakonu"/>
        <w:spacing w:after="0" w:line="240" w:lineRule="auto"/>
        <w:ind w:firstLine="709"/>
        <w:rPr>
          <w:sz w:val="28"/>
        </w:rPr>
      </w:pPr>
      <w:r>
        <w:rPr>
          <w:sz w:val="28"/>
        </w:rPr>
        <w:t xml:space="preserve">Не заперечуючи проти такого положення, вважаємо за необхідне звернути увагу, що в ньому не в повному обсязі відтворено положення статті 202 ГПК України, в якій </w:t>
      </w:r>
      <w:r w:rsidRPr="00DD693E">
        <w:rPr>
          <w:sz w:val="28"/>
          <w:u w:val="single"/>
        </w:rPr>
        <w:t>визначені випадки</w:t>
      </w:r>
      <w:r>
        <w:rPr>
          <w:sz w:val="28"/>
        </w:rPr>
        <w:t xml:space="preserve">, коли суд </w:t>
      </w:r>
      <w:r w:rsidRPr="00DD693E">
        <w:rPr>
          <w:sz w:val="28"/>
          <w:u w:val="single"/>
        </w:rPr>
        <w:t>зобов’язаний</w:t>
      </w:r>
      <w:r>
        <w:rPr>
          <w:sz w:val="28"/>
        </w:rPr>
        <w:t xml:space="preserve"> відкласти розгляд справи. За такої ситуації між наведеними нормами існуватиме неузгодженість.</w:t>
      </w:r>
    </w:p>
    <w:p w:rsidR="00434C8C"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pPr>
      <w:r>
        <w:rPr>
          <w:color w:val="000000"/>
          <w:szCs w:val="28"/>
        </w:rPr>
        <w:t>10. Відповідно до положень проекту д</w:t>
      </w:r>
      <w:r w:rsidRPr="00437FFB">
        <w:t>ержавний орган з питань банкрутства</w:t>
      </w:r>
      <w:r>
        <w:t xml:space="preserve">, зокрема </w:t>
      </w:r>
      <w:r w:rsidRPr="007B401C">
        <w:t>організовує систему підготовки, перепідготовки та підвищення кваліфікації арбітражних керуючих</w:t>
      </w:r>
      <w:r>
        <w:rPr>
          <w:color w:val="000000"/>
          <w:szCs w:val="28"/>
        </w:rPr>
        <w:t xml:space="preserve"> (ст. 3). </w:t>
      </w:r>
      <w:r w:rsidRPr="00E050F9">
        <w:t xml:space="preserve">Арбітражний керуючий повинен один раз на два роки підвищувати кваліфікацію </w:t>
      </w:r>
      <w:r w:rsidRPr="00E13F52">
        <w:t>в порядку, встановленому державним органом з питань банкрутства (</w:t>
      </w:r>
      <w:r w:rsidRPr="006B00FF">
        <w:t>ст.</w:t>
      </w:r>
      <w:r>
        <w:t xml:space="preserve"> 11). Згідно із статтею 15 проекту к</w:t>
      </w:r>
      <w:r w:rsidRPr="00E050F9">
        <w:t>валіфікаційна комісія утворюється у встановленому державним органом з питань банкрутства порядку для перевірки спеціальних знань осіб, які претендують на здійснення діяльності арбітражного керуючого</w:t>
      </w:r>
      <w:r>
        <w:t>. Статтею 16 проекту встановлено, що п</w:t>
      </w:r>
      <w:r w:rsidRPr="00E050F9">
        <w:t>орядок складення кваліфікаційного іспиту затверджує державний орган з питань банкрутства.</w:t>
      </w:r>
    </w:p>
    <w:p w:rsidR="00434C8C" w:rsidRDefault="00434C8C" w:rsidP="00DA06FA">
      <w:pPr>
        <w:spacing w:after="0" w:line="240" w:lineRule="auto"/>
        <w:ind w:firstLine="709"/>
        <w:jc w:val="both"/>
        <w:rPr>
          <w:color w:val="000000"/>
          <w:szCs w:val="28"/>
        </w:rPr>
      </w:pPr>
      <w:r>
        <w:rPr>
          <w:color w:val="000000"/>
          <w:szCs w:val="28"/>
        </w:rPr>
        <w:t xml:space="preserve">Разом з тим, відповідно до статті 18 Закону України «Про освіту» </w:t>
      </w:r>
      <w:r w:rsidRPr="00E13F52">
        <w:rPr>
          <w:color w:val="000000"/>
          <w:szCs w:val="28"/>
        </w:rPr>
        <w:t>освітню діяльність з підвищення кваліфікації працівників</w:t>
      </w:r>
      <w:r>
        <w:rPr>
          <w:color w:val="000000"/>
          <w:szCs w:val="28"/>
        </w:rPr>
        <w:t xml:space="preserve">, </w:t>
      </w:r>
      <w:r w:rsidRPr="00E13F52">
        <w:rPr>
          <w:color w:val="000000"/>
          <w:szCs w:val="28"/>
        </w:rPr>
        <w:t xml:space="preserve">обов’язковість якої передбачена законом, </w:t>
      </w:r>
      <w:r>
        <w:rPr>
          <w:color w:val="000000"/>
          <w:szCs w:val="28"/>
        </w:rPr>
        <w:t xml:space="preserve">проводять заклади </w:t>
      </w:r>
      <w:r w:rsidRPr="00E13F52">
        <w:rPr>
          <w:color w:val="000000"/>
          <w:szCs w:val="28"/>
        </w:rPr>
        <w:t>освіти.</w:t>
      </w:r>
      <w:r>
        <w:rPr>
          <w:color w:val="000000"/>
          <w:szCs w:val="28"/>
        </w:rPr>
        <w:t xml:space="preserve"> </w:t>
      </w:r>
    </w:p>
    <w:p w:rsidR="00434C8C" w:rsidRDefault="00434C8C" w:rsidP="00DA06FA">
      <w:pPr>
        <w:spacing w:after="0" w:line="240" w:lineRule="auto"/>
        <w:ind w:firstLine="709"/>
        <w:jc w:val="both"/>
        <w:rPr>
          <w:color w:val="000000"/>
          <w:szCs w:val="28"/>
        </w:rPr>
      </w:pPr>
      <w:r>
        <w:rPr>
          <w:color w:val="000000"/>
          <w:szCs w:val="28"/>
        </w:rPr>
        <w:t xml:space="preserve">Відтак, проект у частині проведення курсів підготовки та (або) підвищення кваліфікації арбітражних керуючих слід узгодити з положеннями Закону України «Про освіту». </w:t>
      </w:r>
    </w:p>
    <w:p w:rsidR="00434C8C"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pPr>
      <w:r>
        <w:rPr>
          <w:color w:val="000000"/>
          <w:szCs w:val="28"/>
        </w:rPr>
        <w:t xml:space="preserve">11. Частина десята статті 62 проекту щодо використання термінів «державна наукова установа» та «державний </w:t>
      </w:r>
      <w:r w:rsidRPr="00E050F9">
        <w:t>університет, академі</w:t>
      </w:r>
      <w:r>
        <w:t>я</w:t>
      </w:r>
      <w:r w:rsidRPr="00E050F9">
        <w:t>, інститут</w:t>
      </w:r>
      <w:r>
        <w:t xml:space="preserve">» потребує узгодження з нормами Закону України «Про вищу освіту», в якому йдеться про заклади вищої освіти «державної форми власності». </w:t>
      </w:r>
    </w:p>
    <w:p w:rsidR="00434C8C" w:rsidRDefault="00434C8C" w:rsidP="00DA06FA">
      <w:pPr>
        <w:spacing w:after="0" w:line="240" w:lineRule="auto"/>
        <w:ind w:firstLine="709"/>
        <w:jc w:val="both"/>
      </w:pPr>
    </w:p>
    <w:p w:rsidR="00434C8C" w:rsidRDefault="00434C8C" w:rsidP="00DA06FA">
      <w:pPr>
        <w:spacing w:after="0" w:line="240" w:lineRule="auto"/>
        <w:ind w:firstLine="709"/>
        <w:jc w:val="both"/>
        <w:rPr>
          <w:rStyle w:val="st42"/>
          <w:szCs w:val="28"/>
        </w:rPr>
      </w:pPr>
      <w:r>
        <w:t xml:space="preserve">12. Статтю 37 проекту щодо припинення юридичної особи-боржника «в установленому </w:t>
      </w:r>
      <w:r w:rsidRPr="00025F18">
        <w:rPr>
          <w:u w:val="single"/>
        </w:rPr>
        <w:t>законодавством порядку</w:t>
      </w:r>
      <w:r>
        <w:t xml:space="preserve">» слід узгодити із статтею 104 Цивільного кодексу України, яким передбачено припинення юридичної особи </w:t>
      </w:r>
      <w:r w:rsidRPr="00025F18">
        <w:rPr>
          <w:u w:val="single"/>
        </w:rPr>
        <w:t>в порядку, встановленому законом</w:t>
      </w:r>
      <w:r>
        <w:t>. Також такий законодавчий підхід не враховує вимог статті 59 Господарського кодексу України, за якою п</w:t>
      </w:r>
      <w:r w:rsidRPr="00835FCA">
        <w:rPr>
          <w:rStyle w:val="st42"/>
          <w:szCs w:val="28"/>
        </w:rPr>
        <w:t>рипинення суб’єкта господарювання здійснюється відповідно до закону</w:t>
      </w:r>
      <w:r>
        <w:rPr>
          <w:rStyle w:val="st42"/>
          <w:szCs w:val="28"/>
        </w:rPr>
        <w:t>.</w:t>
      </w:r>
    </w:p>
    <w:p w:rsidR="00434C8C" w:rsidRDefault="00434C8C" w:rsidP="00DA06FA">
      <w:pPr>
        <w:spacing w:after="0" w:line="240" w:lineRule="auto"/>
        <w:ind w:firstLine="709"/>
        <w:jc w:val="both"/>
      </w:pPr>
      <w:r>
        <w:t xml:space="preserve">Це зауваження стосується й інших статей проекту щодо припинення юридичної особи в установленому законодавством порядку. </w:t>
      </w:r>
    </w:p>
    <w:p w:rsidR="00434C8C" w:rsidRDefault="00434C8C" w:rsidP="00DA06FA">
      <w:pPr>
        <w:spacing w:after="0" w:line="240" w:lineRule="auto"/>
        <w:ind w:firstLine="709"/>
        <w:jc w:val="both"/>
      </w:pPr>
    </w:p>
    <w:p w:rsidR="00434C8C" w:rsidRDefault="00434C8C" w:rsidP="00DA06FA">
      <w:pPr>
        <w:spacing w:after="0" w:line="240" w:lineRule="auto"/>
        <w:ind w:firstLine="709"/>
        <w:jc w:val="both"/>
        <w:rPr>
          <w:color w:val="000000"/>
          <w:szCs w:val="28"/>
        </w:rPr>
      </w:pPr>
      <w:r>
        <w:t>13. Підтримуючи положення ст. 7 проекту в частині того, що «якщо відповідачем у … спорі є суб’єкт владних повноважень, суд керується принципом офіційного з’ясування всіх обставин у справі», зазначимо, що зміст цього принципу проектом не розкрито. Відтак, зважаючи на вимоги статті 19 Конституції України, за якою о</w:t>
      </w:r>
      <w:r w:rsidRPr="009034C6">
        <w:rPr>
          <w:color w:val="000000"/>
          <w:szCs w:val="28"/>
        </w:rPr>
        <w:t>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r>
        <w:rPr>
          <w:color w:val="000000"/>
          <w:szCs w:val="28"/>
        </w:rPr>
        <w:t xml:space="preserve">, зміст цього принципу мав би бути розкритий в проекті чи ГПК. </w:t>
      </w:r>
    </w:p>
    <w:p w:rsidR="00434C8C"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rPr>
          <w:color w:val="000000"/>
          <w:szCs w:val="28"/>
        </w:rPr>
      </w:pPr>
      <w:r>
        <w:rPr>
          <w:color w:val="000000"/>
          <w:szCs w:val="28"/>
        </w:rPr>
        <w:t xml:space="preserve">14. Дискусійними, на нашу думку, є </w:t>
      </w:r>
      <w:r>
        <w:rPr>
          <w:color w:val="000000"/>
          <w:szCs w:val="28"/>
          <w:lang w:val="ru-RU"/>
        </w:rPr>
        <w:t xml:space="preserve">взаємновідсилочні </w:t>
      </w:r>
      <w:r>
        <w:rPr>
          <w:color w:val="000000"/>
          <w:szCs w:val="28"/>
        </w:rPr>
        <w:t xml:space="preserve">положення проекту про те, що </w:t>
      </w:r>
      <w:r w:rsidRPr="009034C6">
        <w:rPr>
          <w:szCs w:val="28"/>
        </w:rPr>
        <w:t>«с</w:t>
      </w:r>
      <w:r w:rsidRPr="009034C6">
        <w:t>клад учасників розгляду спору визначається відповідно до Господарського процесуального кодексу України</w:t>
      </w:r>
      <w:r>
        <w:t>» (ст. 7), оскільки частиною п’ятою статті 41 ГПК передбачено, що у</w:t>
      </w:r>
      <w:r w:rsidRPr="009034C6">
        <w:rPr>
          <w:color w:val="000000"/>
          <w:szCs w:val="28"/>
        </w:rPr>
        <w:t xml:space="preserve"> справах про банкрутство склад учасників справи </w:t>
      </w:r>
      <w:r w:rsidRPr="009034C6">
        <w:rPr>
          <w:szCs w:val="28"/>
        </w:rPr>
        <w:t xml:space="preserve">визначається Законом України </w:t>
      </w:r>
      <w:r>
        <w:rPr>
          <w:color w:val="000000"/>
          <w:szCs w:val="28"/>
        </w:rPr>
        <w:t>«</w:t>
      </w:r>
      <w:r w:rsidRPr="009034C6">
        <w:rPr>
          <w:color w:val="000000"/>
          <w:szCs w:val="28"/>
        </w:rPr>
        <w:t>Про відновлення платоспроможності боржн</w:t>
      </w:r>
      <w:r>
        <w:rPr>
          <w:color w:val="000000"/>
          <w:szCs w:val="28"/>
        </w:rPr>
        <w:t xml:space="preserve">ика або визнання його банкрутом» (в редакції діючого ГПК). Тобто, ГПК містить відсилочну норму. </w:t>
      </w:r>
    </w:p>
    <w:p w:rsidR="00434C8C"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pPr>
      <w:r>
        <w:rPr>
          <w:color w:val="000000"/>
          <w:szCs w:val="28"/>
        </w:rPr>
        <w:t>15. Частиною другою статті 10 проекту встановлено, що а</w:t>
      </w:r>
      <w:r w:rsidRPr="00E050F9">
        <w:t xml:space="preserve">рбітражний керуючий з </w:t>
      </w:r>
      <w:r w:rsidRPr="001C66AA">
        <w:t>моменту винесення ухвали (постанови) про призначення</w:t>
      </w:r>
      <w:r w:rsidRPr="00E050F9">
        <w:t xml:space="preserve"> його керуючим санацією або ліквідатором до моменту припинення здійснення ним повноважень прирівнюється до службової особи підприємства-боржника.</w:t>
      </w:r>
    </w:p>
    <w:p w:rsidR="00434C8C" w:rsidRDefault="00434C8C" w:rsidP="00DA06FA">
      <w:pPr>
        <w:spacing w:after="0" w:line="240" w:lineRule="auto"/>
        <w:ind w:firstLine="709"/>
        <w:jc w:val="both"/>
      </w:pPr>
      <w:r>
        <w:t xml:space="preserve"> Разом з тим, всупереч ст. 19 Конституції України, в проекті не визначено випадки, коли господарський суд постановляє ухвалу про призначення керуючим санацією або ліквідатором, а коли – постанову про призначення керуючим санацією або ліквідатором. </w:t>
      </w:r>
    </w:p>
    <w:p w:rsidR="00434C8C" w:rsidRDefault="00434C8C" w:rsidP="00DA06FA">
      <w:pPr>
        <w:spacing w:after="0" w:line="240" w:lineRule="auto"/>
        <w:ind w:firstLine="709"/>
        <w:jc w:val="both"/>
      </w:pPr>
    </w:p>
    <w:p w:rsidR="00434C8C" w:rsidRDefault="00434C8C" w:rsidP="00DA06FA">
      <w:pPr>
        <w:spacing w:after="0" w:line="240" w:lineRule="auto"/>
        <w:ind w:firstLine="709"/>
        <w:jc w:val="both"/>
      </w:pPr>
      <w:r>
        <w:t>16. Відповідно до частини четвертої статті 10 проекту н</w:t>
      </w:r>
      <w:r w:rsidRPr="00E050F9">
        <w:t xml:space="preserve">а підприємствах, що провадять діяльність, пов'язану з державною таємницею, арбітражний керуючий повинен мати допуск до державної таємниці, а в разі його відсутності - </w:t>
      </w:r>
      <w:r w:rsidRPr="00711026">
        <w:rPr>
          <w:u w:val="single"/>
        </w:rPr>
        <w:t>отримати такий допуск у встановленому законодавством порядку</w:t>
      </w:r>
      <w:r>
        <w:t xml:space="preserve">. Натомість ця норма не узгоджується із положеннями Закону України «Про державну таємницю», відповідно до норм якого громадянам надається допуск до державної таємниці. </w:t>
      </w:r>
    </w:p>
    <w:p w:rsidR="00434C8C" w:rsidRDefault="00434C8C" w:rsidP="00DA06FA">
      <w:pPr>
        <w:spacing w:after="0" w:line="240" w:lineRule="auto"/>
        <w:ind w:firstLine="709"/>
        <w:jc w:val="both"/>
      </w:pPr>
      <w:r>
        <w:t xml:space="preserve">Це зауваження стосується й інших положень проекту щодо допуску до державної таємниці. </w:t>
      </w:r>
    </w:p>
    <w:p w:rsidR="00434C8C" w:rsidRDefault="00434C8C" w:rsidP="00DA06FA">
      <w:pPr>
        <w:spacing w:after="0" w:line="240" w:lineRule="auto"/>
        <w:ind w:firstLine="709"/>
        <w:jc w:val="both"/>
      </w:pPr>
    </w:p>
    <w:p w:rsidR="00434C8C" w:rsidRDefault="00434C8C" w:rsidP="00DA06FA">
      <w:pPr>
        <w:spacing w:after="0" w:line="240" w:lineRule="auto"/>
        <w:ind w:firstLine="709"/>
        <w:jc w:val="both"/>
      </w:pPr>
      <w:r>
        <w:t>17. Згідно із частиною першою ст. 11 проекту «а</w:t>
      </w:r>
      <w:r w:rsidRPr="00E050F9">
        <w:t xml:space="preserve">рбітражним керуючим може бути громадянин України, який має вищу юридичну або економічну освіту, загальний стаж роботи за фахом не менше трьох років або одного року після отримання </w:t>
      </w:r>
      <w:r w:rsidRPr="00771C8E">
        <w:t>повної вищої освіти</w:t>
      </w:r>
      <w:r w:rsidRPr="00E050F9">
        <w:t xml:space="preserve"> </w:t>
      </w:r>
      <w:r w:rsidRPr="00D94CD7">
        <w:t>на керівних посадах</w:t>
      </w:r>
      <w:r w:rsidRPr="00E050F9">
        <w:t>, пройшов навчання та стажування протягом шести місяців у порядку, встановленому державним органом з питань банкрутства, володіє державною мовою та склав кваліфікаційний іспит</w:t>
      </w:r>
      <w:r>
        <w:t xml:space="preserve">». </w:t>
      </w:r>
    </w:p>
    <w:p w:rsidR="00434C8C" w:rsidRDefault="00434C8C" w:rsidP="00DA06FA">
      <w:pPr>
        <w:spacing w:after="0" w:line="240" w:lineRule="auto"/>
        <w:ind w:firstLine="709"/>
        <w:jc w:val="both"/>
        <w:rPr>
          <w:szCs w:val="28"/>
        </w:rPr>
      </w:pPr>
      <w:r w:rsidRPr="00D94CD7">
        <w:rPr>
          <w:szCs w:val="28"/>
        </w:rPr>
        <w:t>Разом з тим, ст. 5 Закону України «Про вищу освіту»</w:t>
      </w:r>
      <w:r>
        <w:rPr>
          <w:szCs w:val="28"/>
        </w:rPr>
        <w:t xml:space="preserve"> </w:t>
      </w:r>
      <w:r w:rsidRPr="00D94CD7">
        <w:rPr>
          <w:szCs w:val="28"/>
        </w:rPr>
        <w:t>передбачається, що п</w:t>
      </w:r>
      <w:r w:rsidRPr="00D94CD7">
        <w:rPr>
          <w:color w:val="000000"/>
          <w:szCs w:val="28"/>
        </w:rPr>
        <w:t>ідготовка фахівців з вищою освітою здійснюється за відповідними освітніми чи науковими програмами на таких рівнях вищої освіти:</w:t>
      </w:r>
      <w:r>
        <w:rPr>
          <w:color w:val="000000"/>
          <w:szCs w:val="28"/>
        </w:rPr>
        <w:t xml:space="preserve"> </w:t>
      </w:r>
      <w:r w:rsidRPr="00D94CD7">
        <w:rPr>
          <w:color w:val="000000"/>
          <w:szCs w:val="28"/>
        </w:rPr>
        <w:t>початковий рівень (короткий цикл) вищої освіти; перший (бакалаврський) рівень; другий (магістерський) рівень; третій (освітньо-науковий/освітньо-творчий) рівень; науковий рівень.</w:t>
      </w:r>
      <w:r w:rsidRPr="00D94CD7">
        <w:rPr>
          <w:szCs w:val="28"/>
        </w:rPr>
        <w:t xml:space="preserve"> </w:t>
      </w:r>
    </w:p>
    <w:p w:rsidR="00434C8C" w:rsidRDefault="00434C8C" w:rsidP="00DA06FA">
      <w:pPr>
        <w:spacing w:after="0" w:line="240" w:lineRule="auto"/>
        <w:ind w:firstLine="709"/>
        <w:jc w:val="both"/>
        <w:rPr>
          <w:szCs w:val="28"/>
        </w:rPr>
      </w:pPr>
      <w:r>
        <w:rPr>
          <w:szCs w:val="28"/>
        </w:rPr>
        <w:t>Тобто, проект слід узгодити із чинними нормами Закону «Про вищу освіту».</w:t>
      </w:r>
    </w:p>
    <w:p w:rsidR="00434C8C" w:rsidRDefault="00434C8C" w:rsidP="00DA06FA">
      <w:pPr>
        <w:pStyle w:val="StyleZakonu"/>
        <w:spacing w:after="0" w:line="240" w:lineRule="auto"/>
        <w:ind w:firstLine="709"/>
        <w:rPr>
          <w:sz w:val="28"/>
          <w:szCs w:val="28"/>
        </w:rPr>
      </w:pPr>
      <w:r>
        <w:rPr>
          <w:sz w:val="28"/>
          <w:szCs w:val="28"/>
        </w:rPr>
        <w:t xml:space="preserve">Крім того, </w:t>
      </w:r>
      <w:r w:rsidRPr="001428E9">
        <w:rPr>
          <w:sz w:val="28"/>
          <w:szCs w:val="28"/>
        </w:rPr>
        <w:t xml:space="preserve">зазначеним положенням чітко не встановлено, про яке саме навчання чи стажування йдеться. Наприклад, у рамках післядипломної освіти </w:t>
      </w:r>
      <w:r>
        <w:rPr>
          <w:sz w:val="28"/>
          <w:szCs w:val="28"/>
        </w:rPr>
        <w:t xml:space="preserve">шляхом навчання та стажування </w:t>
      </w:r>
      <w:r w:rsidRPr="001428E9">
        <w:rPr>
          <w:sz w:val="28"/>
          <w:szCs w:val="28"/>
        </w:rPr>
        <w:t xml:space="preserve">відповідна особа </w:t>
      </w:r>
      <w:r w:rsidRPr="001428E9">
        <w:rPr>
          <w:rStyle w:val="st42"/>
          <w:szCs w:val="28"/>
        </w:rPr>
        <w:t xml:space="preserve">вдосконалює вже набуту освіту та професійну підготовку відповідно до </w:t>
      </w:r>
      <w:r w:rsidRPr="001428E9">
        <w:rPr>
          <w:sz w:val="28"/>
          <w:szCs w:val="28"/>
        </w:rPr>
        <w:t xml:space="preserve">Закону України «Про </w:t>
      </w:r>
      <w:r w:rsidRPr="00140E33">
        <w:rPr>
          <w:sz w:val="28"/>
          <w:szCs w:val="28"/>
        </w:rPr>
        <w:t>освіту» (</w:t>
      </w:r>
      <w:r>
        <w:rPr>
          <w:sz w:val="28"/>
          <w:szCs w:val="28"/>
        </w:rPr>
        <w:t>стаття 18</w:t>
      </w:r>
      <w:r w:rsidRPr="00140E33">
        <w:rPr>
          <w:sz w:val="28"/>
          <w:szCs w:val="28"/>
        </w:rPr>
        <w:t>) у</w:t>
      </w:r>
      <w:r w:rsidRPr="00140E33">
        <w:rPr>
          <w:rStyle w:val="st42"/>
          <w:szCs w:val="28"/>
        </w:rPr>
        <w:t xml:space="preserve"> </w:t>
      </w:r>
      <w:r>
        <w:rPr>
          <w:rStyle w:val="st42"/>
          <w:szCs w:val="28"/>
        </w:rPr>
        <w:t xml:space="preserve">встановленому ним </w:t>
      </w:r>
      <w:r w:rsidRPr="00140E33">
        <w:rPr>
          <w:rStyle w:val="st42"/>
          <w:szCs w:val="28"/>
        </w:rPr>
        <w:t>порядку</w:t>
      </w:r>
      <w:r>
        <w:rPr>
          <w:rStyle w:val="st42"/>
          <w:szCs w:val="28"/>
        </w:rPr>
        <w:t>. З</w:t>
      </w:r>
      <w:r w:rsidRPr="00D952E0">
        <w:rPr>
          <w:rStyle w:val="st42"/>
          <w:szCs w:val="28"/>
        </w:rPr>
        <w:t>гідно статті 47 Закону України «Про вищу освіту»</w:t>
      </w:r>
      <w:r>
        <w:rPr>
          <w:rStyle w:val="st42"/>
          <w:szCs w:val="28"/>
        </w:rPr>
        <w:t xml:space="preserve"> п</w:t>
      </w:r>
      <w:r w:rsidRPr="00D952E0">
        <w:rPr>
          <w:rStyle w:val="st42"/>
          <w:szCs w:val="28"/>
        </w:rPr>
        <w:t>іслядипломна освіта – спеціалізація, перепідготовка підвищення кваліфікації, стажування здобувається в академіях, інститутах післядипломної освіти, професійно-технічних навчальних закладах, відповідних структурних підрозділах вищих навчальних закладів, наукових, навчально-наукових установах у порядку, затверджено</w:t>
      </w:r>
      <w:r>
        <w:rPr>
          <w:rStyle w:val="st42"/>
          <w:szCs w:val="28"/>
        </w:rPr>
        <w:t>му Кабінетом Міністрів України.</w:t>
      </w:r>
      <w:r w:rsidRPr="00D952E0">
        <w:rPr>
          <w:sz w:val="28"/>
          <w:szCs w:val="28"/>
        </w:rPr>
        <w:t xml:space="preserve"> </w:t>
      </w:r>
    </w:p>
    <w:p w:rsidR="00434C8C" w:rsidRPr="00D952E0" w:rsidRDefault="00434C8C" w:rsidP="00DA06FA">
      <w:pPr>
        <w:pStyle w:val="StyleZakonu"/>
        <w:spacing w:after="0" w:line="240" w:lineRule="auto"/>
        <w:ind w:firstLine="709"/>
        <w:rPr>
          <w:rStyle w:val="st42"/>
          <w:szCs w:val="28"/>
        </w:rPr>
      </w:pPr>
      <w:r>
        <w:rPr>
          <w:sz w:val="28"/>
          <w:szCs w:val="28"/>
        </w:rPr>
        <w:t>Отже, з метою однозначного розуміння пропонованого законодавчого положення, що впливає на дотримання прав особи, яка претендує на зайняття посади арбітражного керуючого, припис статті 11 проекту потребує узгодження із галузевими законами.</w:t>
      </w:r>
    </w:p>
    <w:p w:rsidR="00434C8C" w:rsidRPr="00D952E0" w:rsidRDefault="00434C8C" w:rsidP="00DA06FA">
      <w:pPr>
        <w:pStyle w:val="StyleZakonu"/>
        <w:spacing w:after="0" w:line="240" w:lineRule="auto"/>
        <w:ind w:firstLine="709"/>
        <w:rPr>
          <w:rStyle w:val="st42"/>
          <w:szCs w:val="28"/>
        </w:rPr>
      </w:pPr>
    </w:p>
    <w:p w:rsidR="00434C8C" w:rsidRDefault="00434C8C" w:rsidP="00DA06FA">
      <w:pPr>
        <w:spacing w:after="0" w:line="240" w:lineRule="auto"/>
        <w:ind w:firstLine="709"/>
        <w:jc w:val="both"/>
      </w:pPr>
      <w:r>
        <w:rPr>
          <w:szCs w:val="28"/>
        </w:rPr>
        <w:t>18. Частиною другою ст. 12 проекту встановлено, що арбітражний керуючий зобов’язаний «</w:t>
      </w:r>
      <w:r w:rsidRPr="00854818">
        <w:rPr>
          <w:u w:val="single"/>
        </w:rPr>
        <w:t>надавати державному реєстратору</w:t>
      </w:r>
      <w:r w:rsidRPr="00E050F9">
        <w:t xml:space="preserve"> в електронній формі через портал електронних сервісів </w:t>
      </w:r>
      <w:r w:rsidRPr="00854818">
        <w:rPr>
          <w:u w:val="single"/>
        </w:rPr>
        <w:t>відомості</w:t>
      </w:r>
      <w:r w:rsidRPr="00E050F9">
        <w:t xml:space="preserve">, необхідні для ведення Єдиного державного реєстру юридичних осіб, фізичних осіб - підприємців та громадських формувань, </w:t>
      </w:r>
      <w:r w:rsidRPr="00854818">
        <w:rPr>
          <w:u w:val="single"/>
        </w:rPr>
        <w:t>у порядку, встановленому державним органом з питань банкрутства</w:t>
      </w:r>
      <w:r>
        <w:t xml:space="preserve">». </w:t>
      </w:r>
    </w:p>
    <w:p w:rsidR="00434C8C" w:rsidRDefault="00434C8C" w:rsidP="00DA06FA">
      <w:pPr>
        <w:spacing w:after="0" w:line="240" w:lineRule="auto"/>
        <w:ind w:firstLine="709"/>
        <w:jc w:val="both"/>
        <w:rPr>
          <w:color w:val="000000"/>
          <w:szCs w:val="28"/>
        </w:rPr>
      </w:pPr>
      <w:r>
        <w:rPr>
          <w:szCs w:val="28"/>
        </w:rPr>
        <w:t xml:space="preserve">Однак ця норма не узгоджується із загальними засадами державної реєстрації, визначеними в ст. 4 Закону України «Про державну реєстрацію юридичних осіб, фізичних осіб підприємців та громадських формувань», оскільки </w:t>
      </w:r>
      <w:r w:rsidRPr="00854818">
        <w:rPr>
          <w:color w:val="000000"/>
          <w:szCs w:val="28"/>
        </w:rPr>
        <w:t>врегулювання відносин, пов’язаних з державною реєстрацією, та особливостей державної реєстрації здійснюється виключно цим Законом</w:t>
      </w:r>
      <w:r>
        <w:rPr>
          <w:color w:val="000000"/>
          <w:szCs w:val="28"/>
        </w:rPr>
        <w:t xml:space="preserve">. </w:t>
      </w:r>
    </w:p>
    <w:p w:rsidR="00434C8C" w:rsidRDefault="00434C8C" w:rsidP="00DA06FA">
      <w:pPr>
        <w:spacing w:after="0" w:line="240" w:lineRule="auto"/>
        <w:ind w:firstLine="709"/>
        <w:jc w:val="both"/>
        <w:rPr>
          <w:color w:val="000000"/>
          <w:szCs w:val="28"/>
        </w:rPr>
      </w:pPr>
      <w:r>
        <w:rPr>
          <w:color w:val="000000"/>
          <w:szCs w:val="28"/>
        </w:rPr>
        <w:t xml:space="preserve">Це зауваження стосується й інших положень проекту. </w:t>
      </w:r>
    </w:p>
    <w:p w:rsidR="00434C8C"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rPr>
          <w:szCs w:val="28"/>
        </w:rPr>
      </w:pPr>
      <w:r>
        <w:rPr>
          <w:color w:val="000000"/>
          <w:szCs w:val="28"/>
        </w:rPr>
        <w:t>19. Частиною п’ятою статті 30 проекту встановлено, що «г</w:t>
      </w:r>
      <w:r w:rsidRPr="00D43222">
        <w:rPr>
          <w:szCs w:val="28"/>
        </w:rPr>
        <w:t xml:space="preserve">осподарський суд має право зменшити розмір грошової винагороди арбітражного керуючого, у разі якщо середньомісячна заробітна плата керівника боржника </w:t>
      </w:r>
      <w:r w:rsidRPr="00D43222">
        <w:rPr>
          <w:szCs w:val="28"/>
          <w:u w:val="single"/>
        </w:rPr>
        <w:t>є надмірно високою</w:t>
      </w:r>
      <w:r w:rsidRPr="00D43222">
        <w:rPr>
          <w:szCs w:val="28"/>
        </w:rPr>
        <w:t xml:space="preserve"> порівняно з мінімальним розміром заробітної плати</w:t>
      </w:r>
      <w:r>
        <w:rPr>
          <w:szCs w:val="28"/>
        </w:rPr>
        <w:t xml:space="preserve">». Тобто, суддя на власний розсуд має визначити, чи є </w:t>
      </w:r>
      <w:r w:rsidRPr="00D43222">
        <w:rPr>
          <w:szCs w:val="28"/>
        </w:rPr>
        <w:t xml:space="preserve">середньомісячна заробітна плата керівника боржника </w:t>
      </w:r>
      <w:r w:rsidRPr="00D93522">
        <w:rPr>
          <w:szCs w:val="28"/>
        </w:rPr>
        <w:t>надмірно високою</w:t>
      </w:r>
      <w:r>
        <w:rPr>
          <w:szCs w:val="28"/>
        </w:rPr>
        <w:t xml:space="preserve">. </w:t>
      </w:r>
    </w:p>
    <w:p w:rsidR="00434C8C" w:rsidRPr="00D94CD7" w:rsidRDefault="00434C8C" w:rsidP="00DA06FA">
      <w:pPr>
        <w:spacing w:after="0" w:line="240" w:lineRule="auto"/>
        <w:ind w:firstLine="709"/>
        <w:jc w:val="both"/>
        <w:rPr>
          <w:szCs w:val="28"/>
        </w:rPr>
      </w:pPr>
      <w:r>
        <w:rPr>
          <w:szCs w:val="28"/>
        </w:rPr>
        <w:t xml:space="preserve">Тому це положення суперечить ст. 19 Конституції України, за якою </w:t>
      </w:r>
      <w:r w:rsidRPr="00432B04">
        <w:rPr>
          <w:rFonts w:cs="Calibri"/>
          <w:color w:val="000000"/>
          <w:szCs w:val="28"/>
        </w:rPr>
        <w:t>суд</w:t>
      </w:r>
      <w:r>
        <w:rPr>
          <w:rFonts w:cs="Calibri"/>
          <w:color w:val="000000"/>
          <w:szCs w:val="28"/>
        </w:rPr>
        <w:t>дя</w:t>
      </w:r>
      <w:r w:rsidRPr="00432B04">
        <w:rPr>
          <w:rFonts w:cs="Calibri"/>
          <w:color w:val="000000"/>
          <w:szCs w:val="28"/>
        </w:rPr>
        <w:t xml:space="preserve"> ді</w:t>
      </w:r>
      <w:r>
        <w:rPr>
          <w:rFonts w:cs="Calibri"/>
          <w:color w:val="000000"/>
          <w:szCs w:val="28"/>
        </w:rPr>
        <w:t>є</w:t>
      </w:r>
      <w:r w:rsidRPr="00432B04">
        <w:rPr>
          <w:rFonts w:cs="Calibri"/>
          <w:color w:val="000000"/>
          <w:szCs w:val="28"/>
        </w:rPr>
        <w:t xml:space="preserve"> у порядку та від</w:t>
      </w:r>
      <w:r>
        <w:rPr>
          <w:rFonts w:cs="Calibri"/>
          <w:color w:val="000000"/>
          <w:szCs w:val="28"/>
        </w:rPr>
        <w:t xml:space="preserve">повідно до норм ГПК та закону, а не на власний розсуд. </w:t>
      </w:r>
    </w:p>
    <w:p w:rsidR="00434C8C" w:rsidRPr="00D94CD7"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rPr>
          <w:szCs w:val="28"/>
          <w:lang w:eastAsia="ru-RU"/>
        </w:rPr>
      </w:pPr>
      <w:r>
        <w:rPr>
          <w:szCs w:val="28"/>
          <w:lang w:eastAsia="ru-RU"/>
        </w:rPr>
        <w:t>20. Проектом передбачається створення та функціонування саморегулівної організації арбітражних керуючих як юридичної особи (розділ ІІ проекту). Так, наприклад, частиною третьою ст. 32 проекту передбачено, що с</w:t>
      </w:r>
      <w:r w:rsidRPr="00E050F9">
        <w:t xml:space="preserve">аморегулівна організація арбітражних керуючих може бути </w:t>
      </w:r>
      <w:r w:rsidRPr="00790EF8">
        <w:rPr>
          <w:u w:val="single"/>
        </w:rPr>
        <w:t>ліквідована лише на підставі закону.</w:t>
      </w:r>
      <w:r>
        <w:t xml:space="preserve"> </w:t>
      </w:r>
      <w:r w:rsidRPr="00E050F9">
        <w:t xml:space="preserve">З моменту державної реєстрації саморегулівної організації арбітражних керуючих її </w:t>
      </w:r>
      <w:r w:rsidRPr="00903E11">
        <w:rPr>
          <w:u w:val="single"/>
        </w:rPr>
        <w:t>членами стають усі арбітражні керуючі</w:t>
      </w:r>
      <w:r w:rsidRPr="00E050F9">
        <w:t>, інформація про яких внесена до Єдиного реєстру арбітражних керуючих України</w:t>
      </w:r>
      <w:r>
        <w:t xml:space="preserve"> (частина четверта ст. 32). </w:t>
      </w:r>
    </w:p>
    <w:p w:rsidR="00434C8C" w:rsidRDefault="00434C8C" w:rsidP="00DA06FA">
      <w:pPr>
        <w:spacing w:after="0" w:line="240" w:lineRule="auto"/>
        <w:ind w:firstLine="709"/>
        <w:jc w:val="both"/>
        <w:rPr>
          <w:szCs w:val="28"/>
          <w:lang w:eastAsia="ru-RU"/>
        </w:rPr>
      </w:pPr>
      <w:r>
        <w:t xml:space="preserve">Натомість положення проекту щодо утворення та порядку діяльності </w:t>
      </w:r>
      <w:r>
        <w:rPr>
          <w:szCs w:val="28"/>
          <w:lang w:eastAsia="ru-RU"/>
        </w:rPr>
        <w:t xml:space="preserve">саморегулівної організації арбітражних керуючих не відповідають загальним засадам утворення громадських об’єднань із статусом юридичної особи та не належить до повноважень Верховної Ради України, передбачених статтею 85 Конституції України. </w:t>
      </w:r>
    </w:p>
    <w:p w:rsidR="00434C8C" w:rsidRPr="00903E11" w:rsidRDefault="00434C8C" w:rsidP="00DA06FA">
      <w:pPr>
        <w:spacing w:after="0" w:line="240" w:lineRule="auto"/>
        <w:ind w:firstLine="709"/>
        <w:jc w:val="both"/>
        <w:rPr>
          <w:szCs w:val="28"/>
        </w:rPr>
      </w:pPr>
      <w:r w:rsidRPr="00903E11">
        <w:rPr>
          <w:szCs w:val="28"/>
        </w:rPr>
        <w:t>Також зазначимо, що відповідно до ст. 36 Конституції України г</w:t>
      </w:r>
      <w:r w:rsidRPr="00903E11">
        <w:rPr>
          <w:color w:val="000000"/>
          <w:szCs w:val="28"/>
        </w:rPr>
        <w:t xml:space="preserve">ромадяни України мають право на свободу об'єднання у громадські організації для здійснення і захисту своїх прав і свобод та задоволення економічних, соціальних, культурних та інших інтересів. Ніхто не може бути примушений до вступу в будь-яке об'єднання громадян. </w:t>
      </w:r>
      <w:r>
        <w:rPr>
          <w:color w:val="000000"/>
          <w:szCs w:val="28"/>
        </w:rPr>
        <w:t>Відтак, проект суперечить також вимогам ст. 36 Конституції України</w:t>
      </w:r>
      <w:r>
        <w:rPr>
          <w:szCs w:val="28"/>
          <w:lang w:eastAsia="ru-RU"/>
        </w:rPr>
        <w:t xml:space="preserve">. </w:t>
      </w:r>
    </w:p>
    <w:p w:rsidR="00434C8C" w:rsidRDefault="00434C8C" w:rsidP="00DA06FA">
      <w:pPr>
        <w:spacing w:after="0" w:line="240" w:lineRule="auto"/>
        <w:ind w:firstLine="709"/>
        <w:jc w:val="both"/>
        <w:rPr>
          <w:szCs w:val="28"/>
          <w:lang w:eastAsia="ru-RU"/>
        </w:rPr>
      </w:pPr>
      <w:r>
        <w:t xml:space="preserve"> </w:t>
      </w:r>
    </w:p>
    <w:p w:rsidR="00434C8C" w:rsidRDefault="00434C8C" w:rsidP="00DA06FA">
      <w:pPr>
        <w:spacing w:after="0" w:line="240" w:lineRule="auto"/>
        <w:ind w:firstLine="709"/>
        <w:jc w:val="both"/>
      </w:pPr>
      <w:r>
        <w:rPr>
          <w:szCs w:val="28"/>
          <w:lang w:eastAsia="ru-RU"/>
        </w:rPr>
        <w:t>21. Відповідно до статті 61 проекту ліквідатор «</w:t>
      </w:r>
      <w:r w:rsidRPr="00E050F9">
        <w:t>проводить оцінку майна банкрута</w:t>
      </w:r>
      <w:r>
        <w:t xml:space="preserve">». </w:t>
      </w:r>
    </w:p>
    <w:p w:rsidR="00434C8C" w:rsidRDefault="00434C8C" w:rsidP="00DA06FA">
      <w:pPr>
        <w:spacing w:after="0" w:line="240" w:lineRule="auto"/>
        <w:ind w:firstLine="709"/>
        <w:jc w:val="both"/>
      </w:pPr>
      <w:r>
        <w:t>Однак це положення не узгоджується із Законом України «Про оцінку майна, майнових прав та професійну оціночну діяльність в Україні», за яким о</w:t>
      </w:r>
      <w:r w:rsidRPr="00763A05">
        <w:t>цінка майна, майнових прав є результатом практичної діяльності суб'єкта оціночної діяльності.</w:t>
      </w:r>
    </w:p>
    <w:p w:rsidR="00434C8C" w:rsidRDefault="00434C8C" w:rsidP="00DA06FA">
      <w:pPr>
        <w:spacing w:after="0" w:line="240" w:lineRule="auto"/>
        <w:ind w:firstLine="709"/>
        <w:jc w:val="both"/>
      </w:pPr>
    </w:p>
    <w:p w:rsidR="00434C8C" w:rsidRPr="00B64374" w:rsidRDefault="00434C8C" w:rsidP="00DA06FA">
      <w:pPr>
        <w:spacing w:after="0" w:line="240" w:lineRule="auto"/>
        <w:ind w:firstLine="709"/>
        <w:jc w:val="both"/>
        <w:rPr>
          <w:szCs w:val="28"/>
        </w:rPr>
      </w:pPr>
      <w:r>
        <w:t>22. Частина сьома статті 61 проекту щодо того, що «</w:t>
      </w:r>
      <w:r w:rsidRPr="00E050F9">
        <w:t xml:space="preserve">арбітражний керуючий передає, а орган місцевого самоврядування приймає </w:t>
      </w:r>
      <w:r>
        <w:t>…</w:t>
      </w:r>
      <w:r w:rsidRPr="00E050F9">
        <w:t xml:space="preserve"> об'єкти без додаткових умов у </w:t>
      </w:r>
      <w:r w:rsidRPr="00B64374">
        <w:rPr>
          <w:u w:val="single"/>
        </w:rPr>
        <w:t>порядку, встановленому законодавством</w:t>
      </w:r>
      <w:r>
        <w:t xml:space="preserve">», не узгоджується із вимогою ст. 19 Конституції України, за якою </w:t>
      </w:r>
      <w:r w:rsidRPr="00B64374">
        <w:rPr>
          <w:color w:val="000000"/>
          <w:szCs w:val="28"/>
        </w:rPr>
        <w:t>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434C8C" w:rsidRDefault="00434C8C" w:rsidP="00DA06FA">
      <w:pPr>
        <w:spacing w:after="0" w:line="240" w:lineRule="auto"/>
        <w:ind w:firstLine="709"/>
        <w:jc w:val="both"/>
        <w:rPr>
          <w:szCs w:val="28"/>
          <w:lang w:eastAsia="ru-RU"/>
        </w:rPr>
      </w:pPr>
    </w:p>
    <w:p w:rsidR="00434C8C" w:rsidRPr="00DF5F07" w:rsidRDefault="00434C8C" w:rsidP="00DA06FA">
      <w:pPr>
        <w:spacing w:after="0" w:line="240" w:lineRule="auto"/>
        <w:ind w:firstLine="709"/>
        <w:jc w:val="both"/>
        <w:rPr>
          <w:szCs w:val="28"/>
          <w:lang w:eastAsia="ru-RU"/>
        </w:rPr>
      </w:pPr>
      <w:r>
        <w:rPr>
          <w:szCs w:val="28"/>
          <w:lang w:eastAsia="ru-RU"/>
        </w:rPr>
        <w:t>23. Згідно із частиною четвертою ст. 62 проекту «</w:t>
      </w:r>
      <w:r>
        <w:t>з</w:t>
      </w:r>
      <w:r w:rsidRPr="00E050F9">
        <w:t>а наявності у складі майна банкрута майна, виключеного з обороту, ліквідатор зобов'язаний передати його відповідним особам в установленому порядку</w:t>
      </w:r>
      <w:r>
        <w:t>»</w:t>
      </w:r>
      <w:r w:rsidRPr="00E050F9">
        <w:t>.</w:t>
      </w:r>
      <w:r>
        <w:t xml:space="preserve"> Разом з тим, звертаємо увагу на те, що відповідно до частини другої ст. 178 Цивільного кодексу України в</w:t>
      </w:r>
      <w:r w:rsidRPr="00DF5F07">
        <w:rPr>
          <w:color w:val="000000"/>
          <w:szCs w:val="28"/>
        </w:rPr>
        <w:t>иди об'єктів цивільних прав, перебування яких у цивільному обороті не допускається (об'єкти, вилучені з цивільного обороту), мають бути прямо встановлені у законі.</w:t>
      </w:r>
      <w:r>
        <w:rPr>
          <w:color w:val="000000"/>
          <w:szCs w:val="28"/>
        </w:rPr>
        <w:t xml:space="preserve"> Відтак, на нашу думку, перелік майна, виключеного з обороту, та порядок його передачі «відповідним особам» слід було б визначити в проекті. </w:t>
      </w:r>
    </w:p>
    <w:p w:rsidR="00434C8C" w:rsidRPr="00DF5F07" w:rsidRDefault="00434C8C" w:rsidP="00DA06FA">
      <w:pPr>
        <w:spacing w:after="0" w:line="240" w:lineRule="auto"/>
        <w:ind w:firstLine="709"/>
        <w:jc w:val="both"/>
        <w:rPr>
          <w:szCs w:val="28"/>
          <w:lang w:eastAsia="ru-RU"/>
        </w:rPr>
      </w:pPr>
    </w:p>
    <w:p w:rsidR="00434C8C" w:rsidRPr="0028645A" w:rsidRDefault="00434C8C" w:rsidP="00DA06FA">
      <w:pPr>
        <w:spacing w:after="0" w:line="240" w:lineRule="auto"/>
        <w:ind w:firstLine="709"/>
        <w:jc w:val="both"/>
        <w:rPr>
          <w:color w:val="000000"/>
          <w:szCs w:val="28"/>
        </w:rPr>
      </w:pPr>
      <w:r>
        <w:rPr>
          <w:szCs w:val="28"/>
          <w:lang w:eastAsia="ru-RU"/>
        </w:rPr>
        <w:t>24. Частиною десятою ст. 57 проекту передбачено, що я</w:t>
      </w:r>
      <w:r w:rsidRPr="00E050F9">
        <w:t xml:space="preserve">кщо майно, що продається, є обмеженим в обороті, в оголошенні зазначаються ці обмеження з </w:t>
      </w:r>
      <w:r w:rsidRPr="0028645A">
        <w:rPr>
          <w:u w:val="single"/>
        </w:rPr>
        <w:t>посиланням на норми законодавства</w:t>
      </w:r>
      <w:r w:rsidRPr="00E050F9">
        <w:t>, яким вони встановлені</w:t>
      </w:r>
      <w:r>
        <w:t xml:space="preserve">. Однак згідно із частиною другою ст. 178 Цивільного кодексу України, прийнятого на реалізацію статті 92 Конституції України, </w:t>
      </w:r>
      <w:r w:rsidRPr="0028645A">
        <w:rPr>
          <w:szCs w:val="28"/>
        </w:rPr>
        <w:t>в</w:t>
      </w:r>
      <w:r w:rsidRPr="0028645A">
        <w:rPr>
          <w:color w:val="000000"/>
          <w:szCs w:val="28"/>
        </w:rPr>
        <w:t xml:space="preserve">иди об'єктів цивільних прав, які можуть належати лише певним учасникам обороту або перебування яких у цивільному обороті допускається за спеціальним дозволом (об'єкти, обмежено оборотоздатні), </w:t>
      </w:r>
      <w:r w:rsidRPr="0028645A">
        <w:rPr>
          <w:color w:val="000000"/>
          <w:szCs w:val="28"/>
          <w:u w:val="single"/>
        </w:rPr>
        <w:t>встановлюються законом</w:t>
      </w:r>
      <w:r w:rsidRPr="0028645A">
        <w:rPr>
          <w:color w:val="000000"/>
          <w:szCs w:val="28"/>
        </w:rPr>
        <w:t>.</w:t>
      </w:r>
    </w:p>
    <w:p w:rsidR="00434C8C" w:rsidRDefault="00434C8C" w:rsidP="00DA06FA">
      <w:pPr>
        <w:spacing w:after="0" w:line="240" w:lineRule="auto"/>
        <w:ind w:firstLine="709"/>
        <w:jc w:val="both"/>
        <w:rPr>
          <w:szCs w:val="28"/>
          <w:lang w:eastAsia="ru-RU"/>
        </w:rPr>
      </w:pPr>
    </w:p>
    <w:p w:rsidR="00434C8C" w:rsidRDefault="00434C8C" w:rsidP="00DA06FA">
      <w:pPr>
        <w:spacing w:after="0" w:line="240" w:lineRule="auto"/>
        <w:ind w:firstLine="709"/>
        <w:jc w:val="both"/>
        <w:rPr>
          <w:szCs w:val="28"/>
          <w:lang w:eastAsia="ru-RU"/>
        </w:rPr>
      </w:pPr>
      <w:r>
        <w:rPr>
          <w:szCs w:val="28"/>
          <w:lang w:eastAsia="ru-RU"/>
        </w:rPr>
        <w:t>25. Згідно із частиною восьмою ст. 12 проекту п</w:t>
      </w:r>
      <w:r w:rsidRPr="00E050F9">
        <w:t>орядок доступу до інформації з баз даних та реєстрів встановлюється Міністерством юстиції України разом із державними органами, які забезпечують їх ведення</w:t>
      </w:r>
      <w:r>
        <w:t xml:space="preserve">. </w:t>
      </w:r>
    </w:p>
    <w:p w:rsidR="00434C8C" w:rsidRPr="00432B04" w:rsidRDefault="00434C8C" w:rsidP="00DA06FA">
      <w:pPr>
        <w:spacing w:after="0" w:line="240" w:lineRule="auto"/>
        <w:ind w:firstLine="709"/>
        <w:jc w:val="both"/>
        <w:rPr>
          <w:szCs w:val="28"/>
        </w:rPr>
      </w:pPr>
      <w:r w:rsidRPr="00432B04">
        <w:rPr>
          <w:rFonts w:cs="Calibri"/>
          <w:szCs w:val="28"/>
        </w:rPr>
        <w:t xml:space="preserve">Варто зауважити, що передбачене </w:t>
      </w:r>
      <w:r>
        <w:rPr>
          <w:rFonts w:cs="Calibri"/>
          <w:szCs w:val="28"/>
        </w:rPr>
        <w:t xml:space="preserve">встановлення </w:t>
      </w:r>
      <w:r w:rsidRPr="00432B04">
        <w:rPr>
          <w:rFonts w:cs="Calibri"/>
          <w:szCs w:val="28"/>
        </w:rPr>
        <w:t xml:space="preserve">спільних нормативно-правових актів </w:t>
      </w:r>
      <w:r w:rsidRPr="00432B04">
        <w:rPr>
          <w:rFonts w:cs="Calibri"/>
        </w:rPr>
        <w:t xml:space="preserve">не враховує вимог статті 117 Конституції України, а також не узгоджується із Законом України «Про центральні органи виконавчої влади», відповідно до яких не передбачено прийняття центральними органами виконавчої влади спільних нормативно-правових актів. </w:t>
      </w:r>
    </w:p>
    <w:p w:rsidR="00434C8C" w:rsidRDefault="00434C8C" w:rsidP="00DA06FA">
      <w:pPr>
        <w:spacing w:after="0" w:line="240" w:lineRule="auto"/>
        <w:ind w:firstLine="709"/>
        <w:jc w:val="both"/>
        <w:rPr>
          <w:szCs w:val="28"/>
          <w:lang w:eastAsia="ru-RU"/>
        </w:rPr>
      </w:pPr>
      <w:r>
        <w:rPr>
          <w:szCs w:val="28"/>
          <w:lang w:eastAsia="ru-RU"/>
        </w:rPr>
        <w:t xml:space="preserve">Крім того звертаємо увагу, що </w:t>
      </w:r>
      <w:r w:rsidRPr="00311479">
        <w:t>Рішення</w:t>
      </w:r>
      <w:r>
        <w:t>м</w:t>
      </w:r>
      <w:r w:rsidRPr="00311479">
        <w:t xml:space="preserve"> Конституційного Суду України № 7-р/2018 від 11 жовтня 2018 року, положення Бюджетного кодексу України </w:t>
      </w:r>
      <w:r>
        <w:t xml:space="preserve">в частині доступу до державних реєстрів, визнані </w:t>
      </w:r>
      <w:r w:rsidRPr="00311479">
        <w:t>такими, що не відповідають Конституції України</w:t>
      </w:r>
      <w:r>
        <w:t>, з огляду на невизначеність кола повноважень органу влади.</w:t>
      </w:r>
    </w:p>
    <w:p w:rsidR="00434C8C" w:rsidRDefault="00434C8C" w:rsidP="00DA06FA">
      <w:pPr>
        <w:spacing w:after="0" w:line="240" w:lineRule="auto"/>
        <w:ind w:firstLine="709"/>
        <w:jc w:val="both"/>
        <w:rPr>
          <w:szCs w:val="28"/>
          <w:lang w:eastAsia="ru-RU"/>
        </w:rPr>
      </w:pPr>
    </w:p>
    <w:p w:rsidR="00434C8C" w:rsidRDefault="00434C8C" w:rsidP="00DA06FA">
      <w:pPr>
        <w:pStyle w:val="StyleZakonu"/>
        <w:spacing w:after="0" w:line="240" w:lineRule="auto"/>
        <w:ind w:firstLine="709"/>
        <w:rPr>
          <w:sz w:val="28"/>
          <w:szCs w:val="28"/>
          <w:bdr w:val="none" w:sz="0" w:space="0" w:color="auto" w:frame="1"/>
          <w:lang w:eastAsia="uk-UA"/>
        </w:rPr>
      </w:pPr>
      <w:r>
        <w:rPr>
          <w:sz w:val="28"/>
          <w:szCs w:val="28"/>
        </w:rPr>
        <w:t>26</w:t>
      </w:r>
      <w:r w:rsidRPr="00771C8E">
        <w:rPr>
          <w:sz w:val="28"/>
          <w:szCs w:val="28"/>
        </w:rPr>
        <w:t xml:space="preserve">. </w:t>
      </w:r>
      <w:r>
        <w:rPr>
          <w:sz w:val="28"/>
          <w:szCs w:val="28"/>
        </w:rPr>
        <w:t>Дискусійною, на наш погляд, є норма ст. 131 проекту, за якою д</w:t>
      </w:r>
      <w:r w:rsidRPr="00771C8E">
        <w:rPr>
          <w:sz w:val="28"/>
          <w:szCs w:val="28"/>
          <w:bdr w:val="none" w:sz="0" w:space="0" w:color="auto" w:frame="1"/>
          <w:lang w:eastAsia="uk-UA"/>
        </w:rPr>
        <w:t>о складу ліквідаційної маси не включається житло, яке є єдиним місцем проживання сім’ї боржника (квартира загальною площею не більше 60 квадратних метрів або житловою площею не більше 13.65 квадратних метрів на кожного члена сім’ї боржника, чи житловий</w:t>
      </w:r>
      <w:r w:rsidRPr="00771C8E">
        <w:rPr>
          <w:sz w:val="28"/>
          <w:szCs w:val="28"/>
        </w:rPr>
        <w:t xml:space="preserve"> </w:t>
      </w:r>
      <w:r w:rsidRPr="00771C8E">
        <w:rPr>
          <w:sz w:val="28"/>
          <w:szCs w:val="28"/>
          <w:bdr w:val="none" w:sz="0" w:space="0" w:color="auto" w:frame="1"/>
          <w:lang w:eastAsia="uk-UA"/>
        </w:rPr>
        <w:t>будинок, загальною площею не більше 120 квадратних метрів) та не є предметом забезпечення, а також інше майно боржника, на яке згідно з законодавчими актами України не може бути звернено стягнення.</w:t>
      </w:r>
      <w:r>
        <w:rPr>
          <w:sz w:val="28"/>
          <w:szCs w:val="28"/>
          <w:bdr w:val="none" w:sz="0" w:space="0" w:color="auto" w:frame="1"/>
          <w:lang w:eastAsia="uk-UA"/>
        </w:rPr>
        <w:t xml:space="preserve"> </w:t>
      </w:r>
    </w:p>
    <w:p w:rsidR="00434C8C" w:rsidRDefault="00434C8C" w:rsidP="00DA06FA">
      <w:pPr>
        <w:pStyle w:val="StyleZakonu"/>
        <w:spacing w:after="0" w:line="240" w:lineRule="auto"/>
        <w:ind w:firstLine="709"/>
        <w:rPr>
          <w:sz w:val="28"/>
          <w:szCs w:val="28"/>
          <w:bdr w:val="none" w:sz="0" w:space="0" w:color="auto" w:frame="1"/>
          <w:lang w:eastAsia="uk-UA"/>
        </w:rPr>
      </w:pPr>
      <w:r>
        <w:rPr>
          <w:sz w:val="28"/>
          <w:szCs w:val="28"/>
          <w:bdr w:val="none" w:sz="0" w:space="0" w:color="auto" w:frame="1"/>
          <w:lang w:eastAsia="uk-UA"/>
        </w:rPr>
        <w:t xml:space="preserve">Тобто, проектом передбачено, що до </w:t>
      </w:r>
      <w:r w:rsidRPr="00771C8E">
        <w:rPr>
          <w:sz w:val="28"/>
          <w:szCs w:val="28"/>
          <w:bdr w:val="none" w:sz="0" w:space="0" w:color="auto" w:frame="1"/>
          <w:lang w:eastAsia="uk-UA"/>
        </w:rPr>
        <w:t>ліквідаційної маси</w:t>
      </w:r>
      <w:r>
        <w:rPr>
          <w:sz w:val="28"/>
          <w:szCs w:val="28"/>
          <w:bdr w:val="none" w:sz="0" w:space="0" w:color="auto" w:frame="1"/>
          <w:lang w:eastAsia="uk-UA"/>
        </w:rPr>
        <w:t xml:space="preserve"> може бути </w:t>
      </w:r>
      <w:r w:rsidRPr="00771C8E">
        <w:rPr>
          <w:sz w:val="28"/>
          <w:szCs w:val="28"/>
          <w:bdr w:val="none" w:sz="0" w:space="0" w:color="auto" w:frame="1"/>
          <w:lang w:eastAsia="uk-UA"/>
        </w:rPr>
        <w:t>включ</w:t>
      </w:r>
      <w:r>
        <w:rPr>
          <w:sz w:val="28"/>
          <w:szCs w:val="28"/>
          <w:bdr w:val="none" w:sz="0" w:space="0" w:color="auto" w:frame="1"/>
          <w:lang w:eastAsia="uk-UA"/>
        </w:rPr>
        <w:t>ено</w:t>
      </w:r>
      <w:r w:rsidRPr="00771C8E">
        <w:rPr>
          <w:sz w:val="28"/>
          <w:szCs w:val="28"/>
          <w:bdr w:val="none" w:sz="0" w:space="0" w:color="auto" w:frame="1"/>
          <w:lang w:eastAsia="uk-UA"/>
        </w:rPr>
        <w:t xml:space="preserve"> житло, яке є єдиним місцем проживання сім’ї боржника</w:t>
      </w:r>
      <w:r>
        <w:rPr>
          <w:sz w:val="28"/>
          <w:szCs w:val="28"/>
          <w:bdr w:val="none" w:sz="0" w:space="0" w:color="auto" w:frame="1"/>
          <w:lang w:eastAsia="uk-UA"/>
        </w:rPr>
        <w:t xml:space="preserve">, а саме – </w:t>
      </w:r>
      <w:r w:rsidRPr="00771C8E">
        <w:rPr>
          <w:sz w:val="28"/>
          <w:szCs w:val="28"/>
          <w:bdr w:val="none" w:sz="0" w:space="0" w:color="auto" w:frame="1"/>
          <w:lang w:eastAsia="uk-UA"/>
        </w:rPr>
        <w:t>квартира загальною площею більше 60 квадратних метрів або житловою площею більше 13.65 квадратних метрів на кожного члена сім’ї боржника, чи житловий</w:t>
      </w:r>
      <w:r w:rsidRPr="00771C8E">
        <w:rPr>
          <w:sz w:val="28"/>
          <w:szCs w:val="28"/>
        </w:rPr>
        <w:t xml:space="preserve"> </w:t>
      </w:r>
      <w:r w:rsidRPr="00771C8E">
        <w:rPr>
          <w:sz w:val="28"/>
          <w:szCs w:val="28"/>
          <w:bdr w:val="none" w:sz="0" w:space="0" w:color="auto" w:frame="1"/>
          <w:lang w:eastAsia="uk-UA"/>
        </w:rPr>
        <w:t>будинок, загальною площею більше 120 квадратних метрів</w:t>
      </w:r>
      <w:r>
        <w:rPr>
          <w:sz w:val="28"/>
          <w:szCs w:val="28"/>
          <w:bdr w:val="none" w:sz="0" w:space="0" w:color="auto" w:frame="1"/>
          <w:lang w:eastAsia="uk-UA"/>
        </w:rPr>
        <w:t xml:space="preserve">. </w:t>
      </w:r>
    </w:p>
    <w:p w:rsidR="00434C8C" w:rsidRDefault="00434C8C" w:rsidP="00DA06FA">
      <w:pPr>
        <w:pStyle w:val="StyleZakonu"/>
        <w:spacing w:after="0" w:line="240" w:lineRule="auto"/>
        <w:ind w:firstLine="709"/>
        <w:rPr>
          <w:color w:val="000000"/>
          <w:sz w:val="28"/>
          <w:szCs w:val="28"/>
          <w:lang w:eastAsia="en-US"/>
        </w:rPr>
      </w:pPr>
      <w:r>
        <w:rPr>
          <w:sz w:val="28"/>
          <w:szCs w:val="28"/>
        </w:rPr>
        <w:t xml:space="preserve">Разом з тим, ст. 47 Конституції гарантується право на житло. </w:t>
      </w:r>
      <w:r w:rsidRPr="001A7609">
        <w:rPr>
          <w:color w:val="000000"/>
          <w:sz w:val="28"/>
          <w:szCs w:val="28"/>
          <w:lang w:eastAsia="en-US"/>
        </w:rPr>
        <w:t>Ніхто не може бути примусово позбавлений житла інакше як на підставі закону за рішенням суду.</w:t>
      </w:r>
      <w:r>
        <w:rPr>
          <w:color w:val="000000"/>
          <w:sz w:val="28"/>
          <w:szCs w:val="28"/>
          <w:lang w:eastAsia="en-US"/>
        </w:rPr>
        <w:t xml:space="preserve"> </w:t>
      </w:r>
    </w:p>
    <w:p w:rsidR="00434C8C" w:rsidRDefault="00434C8C" w:rsidP="00DA06FA">
      <w:pPr>
        <w:pStyle w:val="StyleZakonu"/>
        <w:spacing w:after="0" w:line="240" w:lineRule="auto"/>
        <w:ind w:firstLine="709"/>
        <w:rPr>
          <w:color w:val="000000"/>
          <w:sz w:val="28"/>
          <w:szCs w:val="28"/>
          <w:lang w:eastAsia="en-US"/>
        </w:rPr>
      </w:pPr>
      <w:r>
        <w:rPr>
          <w:color w:val="000000"/>
          <w:sz w:val="28"/>
          <w:szCs w:val="28"/>
          <w:lang w:eastAsia="en-US"/>
        </w:rPr>
        <w:t xml:space="preserve">Відтак, проект слід узгодити із вимогами Конституції України. </w:t>
      </w:r>
    </w:p>
    <w:p w:rsidR="00434C8C" w:rsidRDefault="00434C8C" w:rsidP="00DA06FA">
      <w:pPr>
        <w:pStyle w:val="StyleZakonu"/>
        <w:spacing w:after="0" w:line="240" w:lineRule="auto"/>
        <w:ind w:firstLine="709"/>
        <w:rPr>
          <w:color w:val="000000"/>
          <w:sz w:val="28"/>
          <w:szCs w:val="28"/>
          <w:lang w:eastAsia="en-US"/>
        </w:rPr>
      </w:pPr>
    </w:p>
    <w:p w:rsidR="00434C8C" w:rsidRPr="001A7609" w:rsidRDefault="00434C8C" w:rsidP="00DA06FA">
      <w:pPr>
        <w:pStyle w:val="NoSpacing"/>
        <w:ind w:firstLine="709"/>
        <w:jc w:val="both"/>
      </w:pPr>
      <w:r>
        <w:rPr>
          <w:color w:val="000000"/>
        </w:rPr>
        <w:t xml:space="preserve">27. </w:t>
      </w:r>
      <w:r w:rsidRPr="001A7609">
        <w:t>Абзацом другим частини третьої статей 14 і 85 проекту передбачено, що права, обов’язки, відповідальність помічника арбітражного керуючого визначаються цим Кодексом та трудовим договором (контрактом), укладеним між арбітражним керуючим та помічником.</w:t>
      </w:r>
    </w:p>
    <w:p w:rsidR="00434C8C" w:rsidRPr="001A7609" w:rsidRDefault="00434C8C" w:rsidP="00DA06FA">
      <w:pPr>
        <w:pStyle w:val="NoSpacing"/>
        <w:ind w:firstLine="709"/>
        <w:jc w:val="both"/>
      </w:pPr>
      <w:r>
        <w:t xml:space="preserve">Проте в тексті проекту відсутні норми щодо складу правопорушень, за які помічник арбітражного керуючого може бути притягнутий до відповідальності, а також видів такої відповідальності. </w:t>
      </w:r>
      <w:r w:rsidRPr="001A7609">
        <w:t>Відтак, проект передбачає можливість встановлення відповідальності помічника арбітражного керуючого в трудовому договорі (контракті), що не узгоджується із нормою пункту 22 статті 92 Конституції України.</w:t>
      </w:r>
    </w:p>
    <w:p w:rsidR="00434C8C" w:rsidRDefault="00434C8C" w:rsidP="00DA06FA">
      <w:pPr>
        <w:spacing w:after="0" w:line="240" w:lineRule="auto"/>
        <w:ind w:firstLine="709"/>
        <w:jc w:val="both"/>
        <w:rPr>
          <w:szCs w:val="28"/>
        </w:rPr>
      </w:pPr>
    </w:p>
    <w:p w:rsidR="00434C8C" w:rsidRPr="001A7609" w:rsidRDefault="00434C8C" w:rsidP="00DA06FA">
      <w:pPr>
        <w:spacing w:after="0" w:line="240" w:lineRule="auto"/>
        <w:ind w:firstLine="709"/>
        <w:jc w:val="both"/>
        <w:rPr>
          <w:szCs w:val="28"/>
        </w:rPr>
      </w:pPr>
      <w:r>
        <w:rPr>
          <w:szCs w:val="28"/>
        </w:rPr>
        <w:t xml:space="preserve">28. </w:t>
      </w:r>
      <w:r w:rsidRPr="001A7609">
        <w:rPr>
          <w:szCs w:val="28"/>
        </w:rPr>
        <w:t xml:space="preserve">Абзацом другим частини четвертої статті 14 проекту встановлено, що стаж роботи помічником арбітражного керуючого прирівнюється до строку стажування. </w:t>
      </w:r>
    </w:p>
    <w:p w:rsidR="00434C8C" w:rsidRPr="001A7609" w:rsidRDefault="00434C8C" w:rsidP="00DA06FA">
      <w:pPr>
        <w:spacing w:after="0" w:line="240" w:lineRule="auto"/>
        <w:ind w:firstLine="709"/>
        <w:jc w:val="both"/>
        <w:rPr>
          <w:szCs w:val="28"/>
        </w:rPr>
      </w:pPr>
      <w:r w:rsidRPr="001A7609">
        <w:rPr>
          <w:szCs w:val="28"/>
        </w:rPr>
        <w:t>На нашу думку, ця норма потребує доповнення словами «передбаченого частиною першою статті 11 цього Кодексу», оскільки стосується саме вимог щодо обов’язковості навчання або стажування</w:t>
      </w:r>
      <w:r>
        <w:rPr>
          <w:szCs w:val="28"/>
        </w:rPr>
        <w:t xml:space="preserve"> </w:t>
      </w:r>
      <w:r w:rsidRPr="001A7609">
        <w:rPr>
          <w:szCs w:val="28"/>
        </w:rPr>
        <w:t>особи, яка може бути арбітражним керуючим.</w:t>
      </w:r>
    </w:p>
    <w:p w:rsidR="00434C8C" w:rsidRPr="001A7609" w:rsidRDefault="00434C8C" w:rsidP="00DA06FA">
      <w:pPr>
        <w:pStyle w:val="StyleZakonu"/>
        <w:spacing w:after="0" w:line="240" w:lineRule="auto"/>
        <w:ind w:firstLine="709"/>
        <w:rPr>
          <w:sz w:val="28"/>
          <w:szCs w:val="28"/>
        </w:rPr>
      </w:pPr>
    </w:p>
    <w:p w:rsidR="00434C8C" w:rsidRPr="00311479" w:rsidRDefault="00434C8C" w:rsidP="00DA06FA">
      <w:pPr>
        <w:pStyle w:val="ParagraphStyle"/>
        <w:ind w:firstLine="709"/>
        <w:jc w:val="both"/>
        <w:rPr>
          <w:rFonts w:ascii="Times New Roman" w:hAnsi="Times New Roman" w:cs="Times New Roman"/>
          <w:sz w:val="28"/>
          <w:szCs w:val="28"/>
          <w:lang w:val="uk-UA"/>
        </w:rPr>
      </w:pPr>
      <w:r w:rsidRPr="001F2412">
        <w:rPr>
          <w:rFonts w:ascii="Times New Roman" w:hAnsi="Times New Roman" w:cs="Times New Roman"/>
          <w:sz w:val="28"/>
          <w:szCs w:val="28"/>
          <w:lang w:val="uk-UA" w:eastAsia="ru-RU"/>
        </w:rPr>
        <w:t>2</w:t>
      </w:r>
      <w:r>
        <w:rPr>
          <w:rFonts w:ascii="Times New Roman" w:hAnsi="Times New Roman" w:cs="Times New Roman"/>
          <w:sz w:val="28"/>
          <w:szCs w:val="28"/>
          <w:lang w:val="uk-UA" w:eastAsia="ru-RU"/>
        </w:rPr>
        <w:t>9</w:t>
      </w:r>
      <w:r w:rsidRPr="001F2412">
        <w:rPr>
          <w:rFonts w:ascii="Times New Roman" w:hAnsi="Times New Roman" w:cs="Times New Roman"/>
          <w:sz w:val="28"/>
          <w:szCs w:val="28"/>
          <w:lang w:val="uk-UA" w:eastAsia="ru-RU"/>
        </w:rPr>
        <w:t>.</w:t>
      </w:r>
      <w:r w:rsidRPr="00311479">
        <w:rPr>
          <w:rFonts w:ascii="Times New Roman" w:hAnsi="Times New Roman" w:cs="Times New Roman"/>
          <w:szCs w:val="28"/>
          <w:lang w:val="uk-UA" w:eastAsia="ru-RU"/>
        </w:rPr>
        <w:t xml:space="preserve"> </w:t>
      </w:r>
      <w:r w:rsidRPr="00311479">
        <w:rPr>
          <w:rFonts w:ascii="Times New Roman" w:hAnsi="Times New Roman" w:cs="Times New Roman"/>
          <w:sz w:val="28"/>
          <w:szCs w:val="28"/>
          <w:lang w:val="uk-UA"/>
        </w:rPr>
        <w:t>Пункт 4 частини першої статті 114 проекту, який передбачає</w:t>
      </w:r>
      <w:r w:rsidRPr="00311479">
        <w:rPr>
          <w:rFonts w:ascii="Times New Roman" w:hAnsi="Times New Roman" w:cs="Times New Roman"/>
          <w:lang w:val="uk-UA"/>
        </w:rPr>
        <w:t xml:space="preserve"> </w:t>
      </w:r>
      <w:r w:rsidRPr="00311479">
        <w:rPr>
          <w:rFonts w:ascii="Times New Roman" w:hAnsi="Times New Roman" w:cs="Times New Roman"/>
          <w:sz w:val="28"/>
          <w:szCs w:val="28"/>
          <w:lang w:val="uk-UA"/>
        </w:rPr>
        <w:t>право арбітражного керуючого «отримувати інформацію про рух коштів на рахунках боржника, відповідно до Закону України «Про банки і банківську діяльність», не узгоджується з законом про банки, який не містить положень щодо отримання арбітражним керуючим інформації, що містить банківську таємницю.</w:t>
      </w:r>
    </w:p>
    <w:p w:rsidR="00434C8C" w:rsidRPr="00311479" w:rsidRDefault="00434C8C" w:rsidP="00DA06FA">
      <w:pPr>
        <w:pStyle w:val="ParagraphStyle"/>
        <w:ind w:firstLine="709"/>
        <w:jc w:val="both"/>
        <w:rPr>
          <w:rFonts w:ascii="Times New Roman" w:hAnsi="Times New Roman" w:cs="Times New Roman"/>
          <w:sz w:val="28"/>
          <w:szCs w:val="28"/>
          <w:lang w:val="uk-UA"/>
        </w:rPr>
      </w:pPr>
    </w:p>
    <w:p w:rsidR="00434C8C" w:rsidRDefault="00434C8C" w:rsidP="00DA06FA">
      <w:pPr>
        <w:pStyle w:val="StyleZakonu"/>
        <w:spacing w:after="0" w:line="240" w:lineRule="auto"/>
        <w:ind w:firstLine="709"/>
        <w:rPr>
          <w:sz w:val="28"/>
        </w:rPr>
      </w:pPr>
      <w:r>
        <w:rPr>
          <w:sz w:val="28"/>
          <w:szCs w:val="28"/>
        </w:rPr>
        <w:t>30</w:t>
      </w:r>
      <w:r w:rsidRPr="00311479">
        <w:rPr>
          <w:sz w:val="28"/>
          <w:szCs w:val="28"/>
        </w:rPr>
        <w:t>. Положення частини сьомої статті 123 проекту передбачають, що с</w:t>
      </w:r>
      <w:r w:rsidRPr="00311479">
        <w:rPr>
          <w:sz w:val="28"/>
        </w:rPr>
        <w:t xml:space="preserve">уд приймає рішення про закриття провадження у справі про неплатоспроможність фізичної особи у разі «якщо боржник не має фінансових можливостей виплачувати заборгованість по кредиту в іноземній валюті, забезпеченому квартирою або житловим будинком, що є єдиним місцем проживання сім’ї боржника, на умовах, передбачених цим Кодексом». </w:t>
      </w:r>
    </w:p>
    <w:p w:rsidR="00434C8C" w:rsidRPr="00311479" w:rsidRDefault="00434C8C" w:rsidP="00DA06FA">
      <w:pPr>
        <w:pStyle w:val="StyleZakonu"/>
        <w:spacing w:after="0" w:line="240" w:lineRule="auto"/>
        <w:ind w:firstLine="709"/>
        <w:rPr>
          <w:sz w:val="28"/>
        </w:rPr>
      </w:pPr>
      <w:r w:rsidRPr="00311479">
        <w:rPr>
          <w:sz w:val="28"/>
        </w:rPr>
        <w:t xml:space="preserve">На нашу думку, ці норми мають дискримінаційний характер </w:t>
      </w:r>
      <w:r>
        <w:rPr>
          <w:sz w:val="28"/>
        </w:rPr>
        <w:t xml:space="preserve">стосовно </w:t>
      </w:r>
      <w:r w:rsidRPr="00311479">
        <w:rPr>
          <w:sz w:val="28"/>
        </w:rPr>
        <w:t>такого боржника, оскільки позбавляють його можливості</w:t>
      </w:r>
      <w:r>
        <w:rPr>
          <w:sz w:val="28"/>
        </w:rPr>
        <w:t xml:space="preserve"> </w:t>
      </w:r>
      <w:r w:rsidRPr="00311479">
        <w:rPr>
          <w:sz w:val="28"/>
        </w:rPr>
        <w:t>скористатися перевагами, які надає статус банкрута, зокрема отримати звільнення від боргів за недостатністю майна. Це не відповідає нормам статті 24 Конституції України щодо рівності прав громадян та неможливості встановлення</w:t>
      </w:r>
      <w:r>
        <w:rPr>
          <w:sz w:val="28"/>
        </w:rPr>
        <w:t xml:space="preserve"> </w:t>
      </w:r>
      <w:r w:rsidRPr="00311479">
        <w:rPr>
          <w:rStyle w:val="st42"/>
          <w:szCs w:val="28"/>
        </w:rPr>
        <w:t>привілеїв чи обмежень за будь-якими ознаками, в тому числі майнового стану (чи з підстав виникнення заборгованості).</w:t>
      </w:r>
    </w:p>
    <w:p w:rsidR="00434C8C" w:rsidRPr="00311479" w:rsidRDefault="00434C8C" w:rsidP="00DA06FA">
      <w:pPr>
        <w:pStyle w:val="ParagraphStyle"/>
        <w:ind w:firstLine="709"/>
        <w:jc w:val="both"/>
        <w:rPr>
          <w:rFonts w:ascii="Times New Roman" w:hAnsi="Times New Roman" w:cs="Times New Roman"/>
          <w:sz w:val="28"/>
          <w:szCs w:val="28"/>
          <w:lang w:val="uk-UA"/>
        </w:rPr>
      </w:pPr>
    </w:p>
    <w:p w:rsidR="00434C8C" w:rsidRPr="00311479" w:rsidRDefault="00434C8C" w:rsidP="00DA06FA">
      <w:pPr>
        <w:spacing w:after="0" w:line="240" w:lineRule="auto"/>
        <w:ind w:firstLine="709"/>
        <w:jc w:val="both"/>
        <w:rPr>
          <w:rStyle w:val="FontStyle"/>
          <w:sz w:val="28"/>
          <w:szCs w:val="28"/>
        </w:rPr>
      </w:pPr>
      <w:r>
        <w:rPr>
          <w:rStyle w:val="FontStyle"/>
          <w:sz w:val="28"/>
          <w:szCs w:val="28"/>
        </w:rPr>
        <w:t>31</w:t>
      </w:r>
      <w:r w:rsidRPr="00311479">
        <w:rPr>
          <w:rStyle w:val="FontStyle"/>
          <w:sz w:val="28"/>
          <w:szCs w:val="28"/>
        </w:rPr>
        <w:t xml:space="preserve">. </w:t>
      </w:r>
      <w:r w:rsidRPr="00311479">
        <w:rPr>
          <w:szCs w:val="28"/>
        </w:rPr>
        <w:t xml:space="preserve">Законопроекту бракує чіткості використання спеціальної банківської термінології, що не відповідає конституційному принципу верховенства права, складовою якого є правова визначеність, та може ускладнити практичне застосування закону. Зокрема, у законопроекті без належних пояснень використовуються словосполучення «спеціальний рахунок» (статті 50, 114), «окремий банківський рахунок» (стаття 133), «ліквідаційний рахунок» (стаття 61), хоча </w:t>
      </w:r>
      <w:r w:rsidRPr="00311479">
        <w:rPr>
          <w:rStyle w:val="FontStyle"/>
          <w:sz w:val="28"/>
          <w:szCs w:val="28"/>
        </w:rPr>
        <w:t>відповідно до статті 7 Закону України «Про платіжні системи та переказ коштів в Україні» банки</w:t>
      </w:r>
      <w:r>
        <w:rPr>
          <w:rStyle w:val="FontStyle"/>
          <w:sz w:val="28"/>
          <w:szCs w:val="28"/>
        </w:rPr>
        <w:t xml:space="preserve"> </w:t>
      </w:r>
      <w:r w:rsidRPr="00311479">
        <w:rPr>
          <w:rStyle w:val="FontStyle"/>
          <w:sz w:val="28"/>
          <w:szCs w:val="28"/>
        </w:rPr>
        <w:t>мають</w:t>
      </w:r>
      <w:r>
        <w:rPr>
          <w:rStyle w:val="FontStyle"/>
          <w:sz w:val="28"/>
          <w:szCs w:val="28"/>
        </w:rPr>
        <w:t xml:space="preserve"> </w:t>
      </w:r>
      <w:r w:rsidRPr="00311479">
        <w:rPr>
          <w:rStyle w:val="FontStyle"/>
          <w:sz w:val="28"/>
          <w:szCs w:val="28"/>
        </w:rPr>
        <w:t>право</w:t>
      </w:r>
      <w:r>
        <w:rPr>
          <w:rStyle w:val="FontStyle"/>
          <w:sz w:val="28"/>
          <w:szCs w:val="28"/>
        </w:rPr>
        <w:t xml:space="preserve"> </w:t>
      </w:r>
      <w:r w:rsidRPr="00311479">
        <w:rPr>
          <w:rStyle w:val="FontStyle"/>
          <w:sz w:val="28"/>
          <w:szCs w:val="28"/>
        </w:rPr>
        <w:t>відкривати</w:t>
      </w:r>
      <w:r>
        <w:rPr>
          <w:rStyle w:val="FontStyle"/>
          <w:sz w:val="28"/>
          <w:szCs w:val="28"/>
        </w:rPr>
        <w:t xml:space="preserve"> </w:t>
      </w:r>
      <w:r w:rsidRPr="00311479">
        <w:rPr>
          <w:rStyle w:val="FontStyle"/>
          <w:sz w:val="28"/>
          <w:szCs w:val="28"/>
        </w:rPr>
        <w:t>своїм</w:t>
      </w:r>
      <w:r>
        <w:rPr>
          <w:rStyle w:val="FontStyle"/>
          <w:sz w:val="28"/>
          <w:szCs w:val="28"/>
        </w:rPr>
        <w:t xml:space="preserve"> </w:t>
      </w:r>
      <w:r w:rsidRPr="00311479">
        <w:rPr>
          <w:rStyle w:val="FontStyle"/>
          <w:sz w:val="28"/>
          <w:szCs w:val="28"/>
        </w:rPr>
        <w:t xml:space="preserve">клієнтам лише вкладні (депозитні), поточні рахунки, рахунки умовного зберігання (ескроу) та кореспондентські рахунки. </w:t>
      </w:r>
    </w:p>
    <w:p w:rsidR="00434C8C" w:rsidRPr="00311479" w:rsidRDefault="00434C8C" w:rsidP="00DA06FA">
      <w:pPr>
        <w:pStyle w:val="ParagraphStyle"/>
        <w:ind w:firstLine="709"/>
        <w:jc w:val="both"/>
        <w:rPr>
          <w:rStyle w:val="FontStyle"/>
          <w:rFonts w:ascii="Times New Roman" w:hAnsi="Times New Roman" w:cs="Times New Roman"/>
          <w:sz w:val="28"/>
          <w:szCs w:val="28"/>
          <w:lang w:val="uk-UA"/>
        </w:rPr>
      </w:pPr>
      <w:r w:rsidRPr="00311479">
        <w:rPr>
          <w:rStyle w:val="FontStyle"/>
          <w:rFonts w:ascii="Times New Roman" w:hAnsi="Times New Roman" w:cs="Times New Roman"/>
          <w:sz w:val="28"/>
          <w:szCs w:val="28"/>
          <w:lang w:val="uk-UA"/>
        </w:rPr>
        <w:tab/>
      </w:r>
    </w:p>
    <w:p w:rsidR="00434C8C" w:rsidRPr="00311479" w:rsidRDefault="00434C8C" w:rsidP="00DA06FA">
      <w:pPr>
        <w:pStyle w:val="ParagraphStyle"/>
        <w:ind w:firstLine="709"/>
        <w:jc w:val="both"/>
        <w:rPr>
          <w:rStyle w:val="FontStyle"/>
          <w:rFonts w:ascii="Times New Roman" w:hAnsi="Times New Roman" w:cs="Times New Roman"/>
          <w:sz w:val="28"/>
          <w:szCs w:val="28"/>
          <w:lang w:val="uk-UA"/>
        </w:rPr>
      </w:pPr>
      <w:r>
        <w:rPr>
          <w:rStyle w:val="FontStyle"/>
          <w:rFonts w:ascii="Times New Roman" w:hAnsi="Times New Roman" w:cs="Times New Roman"/>
          <w:sz w:val="28"/>
          <w:szCs w:val="28"/>
          <w:lang w:val="uk-UA"/>
        </w:rPr>
        <w:t>32</w:t>
      </w:r>
      <w:r w:rsidRPr="00311479">
        <w:rPr>
          <w:rStyle w:val="FontStyle"/>
          <w:rFonts w:ascii="Times New Roman" w:hAnsi="Times New Roman" w:cs="Times New Roman"/>
          <w:sz w:val="28"/>
          <w:szCs w:val="28"/>
          <w:lang w:val="uk-UA"/>
        </w:rPr>
        <w:t>. Зміни, що вносяться до Закону України «Про фінансову реструктуризацію», дозволяють використання при проведенні фінансової реструктуризації окремих положень Кодексу України з питань банкрутства. Таким чином, створюються нерівні умови для боржників, які розпочали фінансову реструктуризацію відповідно до цього закону і завершили її до набрання чинності Кодексом, і боржників, які її не завершили. Це не відповідає закріпленому у статті 13 Конституції України принципу рівності суб’єктів господарювання.</w:t>
      </w:r>
    </w:p>
    <w:p w:rsidR="00434C8C" w:rsidRDefault="00434C8C" w:rsidP="00DA06FA">
      <w:pPr>
        <w:pStyle w:val="ParagraphStyle"/>
        <w:ind w:firstLine="709"/>
        <w:jc w:val="both"/>
        <w:rPr>
          <w:rStyle w:val="FontStyle"/>
          <w:rFonts w:ascii="Times New Roman" w:hAnsi="Times New Roman" w:cs="Times New Roman"/>
          <w:sz w:val="28"/>
          <w:szCs w:val="28"/>
          <w:lang w:val="uk-UA"/>
        </w:rPr>
      </w:pPr>
    </w:p>
    <w:p w:rsidR="00434C8C" w:rsidRPr="00311479" w:rsidRDefault="00434C8C" w:rsidP="00DA06FA">
      <w:pPr>
        <w:pStyle w:val="ParagraphStyle"/>
        <w:ind w:firstLine="709"/>
        <w:jc w:val="both"/>
        <w:rPr>
          <w:rStyle w:val="FontStyle"/>
          <w:rFonts w:ascii="Times New Roman" w:hAnsi="Times New Roman" w:cs="Times New Roman"/>
          <w:sz w:val="28"/>
          <w:szCs w:val="28"/>
          <w:lang w:val="uk-UA"/>
        </w:rPr>
      </w:pPr>
      <w:r>
        <w:rPr>
          <w:rStyle w:val="FontStyle"/>
          <w:rFonts w:ascii="Times New Roman" w:hAnsi="Times New Roman" w:cs="Times New Roman"/>
          <w:sz w:val="28"/>
          <w:szCs w:val="28"/>
          <w:lang w:val="uk-UA"/>
        </w:rPr>
        <w:t>33</w:t>
      </w:r>
      <w:r w:rsidRPr="00311479">
        <w:rPr>
          <w:rStyle w:val="FontStyle"/>
          <w:rFonts w:ascii="Times New Roman" w:hAnsi="Times New Roman" w:cs="Times New Roman"/>
          <w:sz w:val="28"/>
          <w:szCs w:val="28"/>
          <w:lang w:val="uk-UA"/>
        </w:rPr>
        <w:t xml:space="preserve">. Пункт </w:t>
      </w:r>
      <w:r w:rsidRPr="00311479">
        <w:rPr>
          <w:rStyle w:val="FontStyle"/>
          <w:rFonts w:ascii="Times New Roman" w:hAnsi="Times New Roman" w:cs="Times New Roman"/>
          <w:sz w:val="28"/>
          <w:szCs w:val="28"/>
          <w:lang w:val="en-US"/>
        </w:rPr>
        <w:t>VI</w:t>
      </w:r>
      <w:r w:rsidRPr="00311479">
        <w:rPr>
          <w:rStyle w:val="FontStyle"/>
          <w:rFonts w:ascii="Times New Roman" w:hAnsi="Times New Roman" w:cs="Times New Roman"/>
          <w:sz w:val="28"/>
          <w:szCs w:val="28"/>
          <w:lang w:val="uk-UA"/>
        </w:rPr>
        <w:t xml:space="preserve"> розділу «Прикінцеві та перехідні положення» </w:t>
      </w:r>
      <w:r>
        <w:rPr>
          <w:rStyle w:val="FontStyle"/>
          <w:rFonts w:ascii="Times New Roman" w:hAnsi="Times New Roman" w:cs="Times New Roman"/>
          <w:sz w:val="28"/>
          <w:szCs w:val="28"/>
          <w:lang w:val="uk-UA"/>
        </w:rPr>
        <w:t>проекту</w:t>
      </w:r>
      <w:r w:rsidRPr="00311479">
        <w:rPr>
          <w:rStyle w:val="FontStyle"/>
          <w:rFonts w:ascii="Times New Roman" w:hAnsi="Times New Roman" w:cs="Times New Roman"/>
          <w:sz w:val="28"/>
          <w:szCs w:val="28"/>
          <w:lang w:val="uk-UA"/>
        </w:rPr>
        <w:t xml:space="preserve">, у якому зроблено спробу врегулювати питання реструктуризації заборгованості фізичних осіб за кредитами в іноземній валюті, не містить завершених правових механізмів, необхідних для проведення такої реструктуризації. Положення цього пункту викладено з суттєвими порушеннями принципу правової визначеності, не узгоджується з чинним законодавством та з правової точки зору є неприйнятними. </w:t>
      </w:r>
    </w:p>
    <w:p w:rsidR="00434C8C" w:rsidRPr="00311479" w:rsidRDefault="00434C8C" w:rsidP="00DA06FA">
      <w:pPr>
        <w:pStyle w:val="ParagraphStyle"/>
        <w:ind w:firstLine="709"/>
        <w:jc w:val="both"/>
        <w:rPr>
          <w:rStyle w:val="FontStyle"/>
          <w:rFonts w:ascii="Times New Roman" w:hAnsi="Times New Roman" w:cs="Times New Roman"/>
          <w:sz w:val="28"/>
          <w:szCs w:val="28"/>
          <w:lang w:val="uk-UA"/>
        </w:rPr>
      </w:pPr>
      <w:r w:rsidRPr="00311479">
        <w:rPr>
          <w:rStyle w:val="FontStyle"/>
          <w:rFonts w:ascii="Times New Roman" w:hAnsi="Times New Roman" w:cs="Times New Roman"/>
          <w:sz w:val="28"/>
          <w:szCs w:val="28"/>
          <w:lang w:val="uk-UA"/>
        </w:rPr>
        <w:t>Перш за все, не визначено, передбачається здійснення реструктуризації заборгованості відповідно до встановлених «особливостей» в межах процедури відновлення платоспроможності боржника відповідно до нового Кодексу чи поза межами цієї процедури, а також чи обов’язковим є її проведення. Не встановлено також співвідношення норм</w:t>
      </w:r>
      <w:r>
        <w:rPr>
          <w:rStyle w:val="FontStyle"/>
          <w:rFonts w:ascii="Times New Roman" w:hAnsi="Times New Roman" w:cs="Times New Roman"/>
          <w:sz w:val="28"/>
          <w:szCs w:val="28"/>
          <w:lang w:val="uk-UA"/>
        </w:rPr>
        <w:t xml:space="preserve"> </w:t>
      </w:r>
      <w:r w:rsidRPr="00311479">
        <w:rPr>
          <w:rStyle w:val="FontStyle"/>
          <w:rFonts w:ascii="Times New Roman" w:hAnsi="Times New Roman" w:cs="Times New Roman"/>
          <w:sz w:val="28"/>
          <w:szCs w:val="28"/>
          <w:lang w:val="uk-UA"/>
        </w:rPr>
        <w:t xml:space="preserve">Кодексу </w:t>
      </w:r>
      <w:r>
        <w:rPr>
          <w:rStyle w:val="FontStyle"/>
          <w:rFonts w:ascii="Times New Roman" w:hAnsi="Times New Roman" w:cs="Times New Roman"/>
          <w:sz w:val="28"/>
          <w:szCs w:val="28"/>
          <w:lang w:val="uk-UA"/>
        </w:rPr>
        <w:t xml:space="preserve">та положень </w:t>
      </w:r>
      <w:r w:rsidRPr="00311479">
        <w:rPr>
          <w:rStyle w:val="FontStyle"/>
          <w:rFonts w:ascii="Times New Roman" w:hAnsi="Times New Roman" w:cs="Times New Roman"/>
          <w:sz w:val="28"/>
          <w:szCs w:val="28"/>
          <w:lang w:val="uk-UA"/>
        </w:rPr>
        <w:t xml:space="preserve">пункту </w:t>
      </w:r>
      <w:r w:rsidRPr="00311479">
        <w:rPr>
          <w:rStyle w:val="FontStyle"/>
          <w:rFonts w:ascii="Times New Roman" w:hAnsi="Times New Roman" w:cs="Times New Roman"/>
          <w:sz w:val="28"/>
          <w:szCs w:val="28"/>
          <w:lang w:val="en-US"/>
        </w:rPr>
        <w:t>VI</w:t>
      </w:r>
      <w:r w:rsidRPr="00311479">
        <w:rPr>
          <w:rStyle w:val="FontStyle"/>
          <w:rFonts w:ascii="Times New Roman" w:hAnsi="Times New Roman" w:cs="Times New Roman"/>
          <w:sz w:val="28"/>
          <w:szCs w:val="28"/>
          <w:lang w:val="uk-UA"/>
        </w:rPr>
        <w:t>, що встановлюють «особливості реструктуризації заборгованості», що дає підстави для довільних тлумачень правових норм учасниками правовідносин.</w:t>
      </w:r>
    </w:p>
    <w:p w:rsidR="00434C8C" w:rsidRPr="00311479" w:rsidRDefault="00434C8C" w:rsidP="00DA06FA">
      <w:pPr>
        <w:pStyle w:val="ParagraphStyle"/>
        <w:ind w:firstLine="709"/>
        <w:jc w:val="both"/>
        <w:rPr>
          <w:rStyle w:val="FontStyle"/>
          <w:rFonts w:ascii="Times New Roman" w:hAnsi="Times New Roman" w:cs="Times New Roman"/>
          <w:sz w:val="28"/>
          <w:szCs w:val="28"/>
          <w:lang w:val="uk-UA"/>
        </w:rPr>
      </w:pPr>
      <w:r w:rsidRPr="00311479">
        <w:rPr>
          <w:rStyle w:val="FontStyle"/>
          <w:rFonts w:ascii="Times New Roman" w:hAnsi="Times New Roman" w:cs="Times New Roman"/>
          <w:sz w:val="28"/>
          <w:szCs w:val="28"/>
          <w:lang w:val="uk-UA"/>
        </w:rPr>
        <w:t xml:space="preserve">Замість коректних спеціальних термінів, визначення яких надані у законодавчих актах, у </w:t>
      </w:r>
      <w:r>
        <w:rPr>
          <w:rStyle w:val="FontStyle"/>
          <w:rFonts w:ascii="Times New Roman" w:hAnsi="Times New Roman" w:cs="Times New Roman"/>
          <w:sz w:val="28"/>
          <w:szCs w:val="28"/>
          <w:lang w:val="uk-UA"/>
        </w:rPr>
        <w:t xml:space="preserve">цьому </w:t>
      </w:r>
      <w:r w:rsidRPr="00311479">
        <w:rPr>
          <w:rStyle w:val="FontStyle"/>
          <w:rFonts w:ascii="Times New Roman" w:hAnsi="Times New Roman" w:cs="Times New Roman"/>
          <w:sz w:val="28"/>
          <w:szCs w:val="28"/>
          <w:lang w:val="uk-UA"/>
        </w:rPr>
        <w:t>пункті використовується професійний сленг та мовні звороти з незрозумілим або неконкретним значенням</w:t>
      </w:r>
      <w:r>
        <w:rPr>
          <w:rStyle w:val="FontStyle"/>
          <w:rFonts w:ascii="Times New Roman" w:hAnsi="Times New Roman" w:cs="Times New Roman"/>
          <w:sz w:val="28"/>
          <w:szCs w:val="28"/>
          <w:lang w:val="uk-UA"/>
        </w:rPr>
        <w:t xml:space="preserve"> </w:t>
      </w:r>
      <w:r w:rsidRPr="00311479">
        <w:rPr>
          <w:rStyle w:val="FontStyle"/>
          <w:rFonts w:ascii="Times New Roman" w:hAnsi="Times New Roman" w:cs="Times New Roman"/>
          <w:sz w:val="28"/>
          <w:szCs w:val="28"/>
          <w:lang w:val="uk-UA"/>
        </w:rPr>
        <w:t>(«іпотечні кредити», «єдине місце проживання сім’ї боржника», «пропорційно до частини тіла валютного кредиту, який був погашений», «відсоткова ставка по такому плану реструктуризації», «український індекс ставок за дванадцятимісячними депозитами», «вимагати від боржника повного та точного відображення фінансового стану» т</w:t>
      </w:r>
      <w:r>
        <w:rPr>
          <w:rStyle w:val="FontStyle"/>
          <w:rFonts w:ascii="Times New Roman" w:hAnsi="Times New Roman" w:cs="Times New Roman"/>
          <w:sz w:val="28"/>
          <w:szCs w:val="28"/>
          <w:lang w:val="uk-UA"/>
        </w:rPr>
        <w:t>ощо</w:t>
      </w:r>
      <w:r w:rsidRPr="00311479">
        <w:rPr>
          <w:rStyle w:val="FontStyle"/>
          <w:rFonts w:ascii="Times New Roman" w:hAnsi="Times New Roman" w:cs="Times New Roman"/>
          <w:sz w:val="28"/>
          <w:szCs w:val="28"/>
          <w:lang w:val="uk-UA"/>
        </w:rPr>
        <w:t xml:space="preserve">). Неможливо однозначно встановити, як обраховується «розмір вимог забезпеченого кредитора, які підлягають погашенню відповідно до цих особливостей», що може значно ускладнити застосування правових норм на практиці. </w:t>
      </w:r>
    </w:p>
    <w:p w:rsidR="00434C8C" w:rsidRPr="00311479" w:rsidRDefault="00434C8C" w:rsidP="00DA06FA">
      <w:pPr>
        <w:spacing w:after="0" w:line="240" w:lineRule="auto"/>
        <w:ind w:firstLine="709"/>
        <w:jc w:val="both"/>
        <w:rPr>
          <w:color w:val="000000"/>
          <w:szCs w:val="28"/>
        </w:rPr>
      </w:pPr>
      <w:r w:rsidRPr="00311479">
        <w:rPr>
          <w:szCs w:val="28"/>
        </w:rPr>
        <w:t>Викладення у такий спосіб законодавчих норм не відповідає конституційним приписам щодо верховенства права та визначення України правовою державою (статті 1 та 8 Конституції України), однією з основних умов реалізації яких є правова визначеність.</w:t>
      </w:r>
      <w:r>
        <w:rPr>
          <w:szCs w:val="28"/>
        </w:rPr>
        <w:t xml:space="preserve"> </w:t>
      </w:r>
      <w:r w:rsidRPr="00311479">
        <w:rPr>
          <w:color w:val="000000"/>
          <w:szCs w:val="28"/>
        </w:rPr>
        <w:t xml:space="preserve">Конституційний Суд України у своїх рішеннях неодноразово наголошував, що визначальними елементами верховенства права є принципи правової визначеності, ясності і недвозначності правової норми (абзац другий підпункту 5.4 пункту 5 мотивувальної частини Рішення Конституційного Суду України від 22.09.2005 №5, від 29.06.2010 №17-рп, від 11.10.2011 №10-рп.). </w:t>
      </w:r>
      <w:r>
        <w:rPr>
          <w:color w:val="000000"/>
          <w:szCs w:val="28"/>
        </w:rPr>
        <w:t xml:space="preserve">Недотримання </w:t>
      </w:r>
      <w:r w:rsidRPr="00311479">
        <w:rPr>
          <w:color w:val="000000"/>
          <w:szCs w:val="28"/>
        </w:rPr>
        <w:t>цих вимог дає підстави для довільних тлумачень законодавчих норм, ускладню</w:t>
      </w:r>
      <w:r>
        <w:rPr>
          <w:color w:val="000000"/>
          <w:szCs w:val="28"/>
        </w:rPr>
        <w:t>є</w:t>
      </w:r>
      <w:r w:rsidRPr="00311479">
        <w:rPr>
          <w:color w:val="000000"/>
          <w:szCs w:val="28"/>
        </w:rPr>
        <w:t xml:space="preserve"> їх правильне застосування,</w:t>
      </w:r>
      <w:r>
        <w:rPr>
          <w:color w:val="000000"/>
          <w:szCs w:val="28"/>
        </w:rPr>
        <w:t xml:space="preserve"> </w:t>
      </w:r>
      <w:r w:rsidRPr="00311479">
        <w:rPr>
          <w:color w:val="000000"/>
          <w:szCs w:val="28"/>
        </w:rPr>
        <w:t>а також створю</w:t>
      </w:r>
      <w:r>
        <w:rPr>
          <w:color w:val="000000"/>
          <w:szCs w:val="28"/>
        </w:rPr>
        <w:t>є</w:t>
      </w:r>
      <w:r w:rsidRPr="00311479">
        <w:rPr>
          <w:color w:val="000000"/>
          <w:szCs w:val="28"/>
        </w:rPr>
        <w:t xml:space="preserve"> підґрунтя для порушення прав учасників правовідносин. </w:t>
      </w:r>
    </w:p>
    <w:p w:rsidR="00434C8C" w:rsidRPr="00311479" w:rsidRDefault="00434C8C" w:rsidP="00DA06FA">
      <w:pPr>
        <w:pStyle w:val="ParagraphStyle"/>
        <w:ind w:firstLine="709"/>
        <w:jc w:val="both"/>
        <w:rPr>
          <w:rStyle w:val="FontStyle"/>
          <w:rFonts w:ascii="Times New Roman" w:hAnsi="Times New Roman" w:cs="Times New Roman"/>
          <w:sz w:val="28"/>
          <w:szCs w:val="28"/>
          <w:u w:val="single"/>
          <w:lang w:val="uk-UA"/>
        </w:rPr>
      </w:pPr>
      <w:r w:rsidRPr="00311479">
        <w:rPr>
          <w:rStyle w:val="FontStyle"/>
          <w:rFonts w:ascii="Times New Roman" w:hAnsi="Times New Roman" w:cs="Times New Roman"/>
          <w:sz w:val="28"/>
          <w:szCs w:val="28"/>
          <w:lang w:val="uk-UA"/>
        </w:rPr>
        <w:t>Крім того, згідно з абзацом першим цього пункту «</w:t>
      </w:r>
      <w:r w:rsidRPr="00311479">
        <w:rPr>
          <w:rFonts w:ascii="Times New Roman" w:hAnsi="Times New Roman" w:cs="Times New Roman"/>
          <w:sz w:val="28"/>
          <w:szCs w:val="28"/>
          <w:lang w:val="uk-UA"/>
        </w:rPr>
        <w:t>З моменту набрання чинності цим Кодексом втрачає чинність Закон України «Про мораторій на стягнення майна громадян України, наданого як забезпечення кредитів в іноземній валюті».</w:t>
      </w:r>
      <w:r>
        <w:rPr>
          <w:rFonts w:ascii="Times New Roman" w:hAnsi="Times New Roman" w:cs="Times New Roman"/>
          <w:sz w:val="28"/>
          <w:szCs w:val="28"/>
          <w:lang w:val="uk-UA"/>
        </w:rPr>
        <w:t xml:space="preserve"> Водночас</w:t>
      </w:r>
      <w:r w:rsidRPr="00311479">
        <w:rPr>
          <w:rFonts w:ascii="Times New Roman" w:hAnsi="Times New Roman" w:cs="Times New Roman"/>
          <w:sz w:val="28"/>
          <w:szCs w:val="28"/>
          <w:lang w:val="uk-UA"/>
        </w:rPr>
        <w:t xml:space="preserve"> стаття 3 самого Закону України «Про мораторій на стягнення майна громадян України, наданого як забезпечення кредитів в іноземній валюті» </w:t>
      </w:r>
      <w:r w:rsidRPr="00311479">
        <w:rPr>
          <w:rFonts w:ascii="Times New Roman" w:hAnsi="Times New Roman" w:cs="Times New Roman"/>
          <w:sz w:val="28"/>
          <w:szCs w:val="28"/>
          <w:u w:val="single"/>
          <w:lang w:val="uk-UA"/>
        </w:rPr>
        <w:t>містить особливі умови для втрати ним чинності</w:t>
      </w:r>
      <w:r w:rsidRPr="00311479">
        <w:rPr>
          <w:rFonts w:ascii="Times New Roman" w:hAnsi="Times New Roman" w:cs="Times New Roman"/>
          <w:sz w:val="28"/>
          <w:szCs w:val="28"/>
          <w:lang w:val="uk-UA"/>
        </w:rPr>
        <w:t xml:space="preserve">: </w:t>
      </w:r>
      <w:r w:rsidRPr="005A05AA">
        <w:rPr>
          <w:rFonts w:ascii="Times New Roman" w:hAnsi="Times New Roman" w:cs="Times New Roman"/>
          <w:sz w:val="28"/>
          <w:szCs w:val="28"/>
          <w:lang w:val="uk-UA"/>
        </w:rPr>
        <w:t>«</w:t>
      </w:r>
      <w:r w:rsidRPr="005A05AA">
        <w:rPr>
          <w:rStyle w:val="st42"/>
          <w:rFonts w:cs="Times New Roman"/>
          <w:szCs w:val="28"/>
          <w:lang w:val="uk-UA"/>
        </w:rPr>
        <w:t>Цей Закон набирає чинності з дня його опублікування та втрачає чинність з дня набрання чинності законом, який врегульовує питання особливостей погашення основної суми заборгованості, вираженої в іноземній валюті, порядок погашення (урахування) курсової різниці, що виникає у бухгалтерському та/або податковому обліку кредиторів та позичальників, а також порядок списання пені та штрафів, які нараховуються (були нараховані) на таку основну суму заборгованості». Особливості реструктуризації фінансової заборгованості</w:t>
      </w:r>
      <w:r w:rsidRPr="00311479">
        <w:rPr>
          <w:rStyle w:val="st42"/>
          <w:rFonts w:cs="Times New Roman"/>
          <w:szCs w:val="28"/>
          <w:lang w:val="uk-UA"/>
        </w:rPr>
        <w:t>, визначені у</w:t>
      </w:r>
      <w:r w:rsidRPr="00311479">
        <w:rPr>
          <w:rStyle w:val="FontStyle"/>
          <w:rFonts w:ascii="Times New Roman" w:hAnsi="Times New Roman" w:cs="Times New Roman"/>
          <w:sz w:val="28"/>
          <w:szCs w:val="28"/>
          <w:lang w:val="uk-UA"/>
        </w:rPr>
        <w:t xml:space="preserve"> пункті </w:t>
      </w:r>
      <w:r w:rsidRPr="00311479">
        <w:rPr>
          <w:rStyle w:val="FontStyle"/>
          <w:rFonts w:ascii="Times New Roman" w:hAnsi="Times New Roman" w:cs="Times New Roman"/>
          <w:sz w:val="28"/>
          <w:szCs w:val="28"/>
          <w:lang w:val="en-US"/>
        </w:rPr>
        <w:t>VI</w:t>
      </w:r>
      <w:r w:rsidRPr="00311479">
        <w:rPr>
          <w:rStyle w:val="FontStyle"/>
          <w:rFonts w:ascii="Times New Roman" w:hAnsi="Times New Roman" w:cs="Times New Roman"/>
          <w:sz w:val="28"/>
          <w:szCs w:val="28"/>
          <w:lang w:val="uk-UA"/>
        </w:rPr>
        <w:t xml:space="preserve"> розділу «Прикінцеві та перехідні положення» Кодексу, </w:t>
      </w:r>
      <w:r w:rsidRPr="00311479">
        <w:rPr>
          <w:rStyle w:val="FontStyle"/>
          <w:rFonts w:ascii="Times New Roman" w:hAnsi="Times New Roman" w:cs="Times New Roman"/>
          <w:sz w:val="28"/>
          <w:szCs w:val="28"/>
          <w:u w:val="single"/>
          <w:lang w:val="uk-UA"/>
        </w:rPr>
        <w:t>не відповідають цим вимогам.</w:t>
      </w:r>
    </w:p>
    <w:p w:rsidR="00434C8C" w:rsidRPr="00311479" w:rsidRDefault="00434C8C" w:rsidP="00DA06FA">
      <w:pPr>
        <w:pStyle w:val="ParagraphStyle"/>
        <w:ind w:firstLine="709"/>
        <w:jc w:val="both"/>
        <w:rPr>
          <w:rFonts w:ascii="Times New Roman" w:hAnsi="Times New Roman" w:cs="Times New Roman"/>
          <w:sz w:val="28"/>
          <w:szCs w:val="28"/>
          <w:lang w:val="uk-UA"/>
        </w:rPr>
      </w:pPr>
    </w:p>
    <w:p w:rsidR="00434C8C" w:rsidRPr="00E050F9" w:rsidRDefault="00434C8C" w:rsidP="00DA06FA">
      <w:pPr>
        <w:spacing w:after="0" w:line="240" w:lineRule="auto"/>
        <w:ind w:firstLine="709"/>
        <w:jc w:val="both"/>
      </w:pPr>
      <w:r>
        <w:rPr>
          <w:szCs w:val="28"/>
          <w:lang w:eastAsia="ru-RU"/>
        </w:rPr>
        <w:t>34</w:t>
      </w:r>
      <w:r w:rsidRPr="005A05AA">
        <w:rPr>
          <w:szCs w:val="28"/>
          <w:lang w:eastAsia="ru-RU"/>
        </w:rPr>
        <w:t>. Всупереч вимогам</w:t>
      </w:r>
      <w:r w:rsidRPr="00432B04">
        <w:rPr>
          <w:szCs w:val="28"/>
          <w:lang w:eastAsia="ru-RU"/>
        </w:rPr>
        <w:t xml:space="preserve"> щодо якості законів </w:t>
      </w:r>
      <w:r>
        <w:rPr>
          <w:szCs w:val="28"/>
          <w:lang w:eastAsia="ru-RU"/>
        </w:rPr>
        <w:t>у</w:t>
      </w:r>
      <w:r w:rsidRPr="00432B04">
        <w:rPr>
          <w:szCs w:val="28"/>
          <w:lang w:eastAsia="ru-RU"/>
        </w:rPr>
        <w:t xml:space="preserve"> контексті верховенства права (стаття 8 Конституції), зокрема його елементу «юридична визначеність», котрий вимагає, щоб норми були чіткими і точними та спрямованими на забезпечення того, щоб ситуації та правовідносини залишалися перед</w:t>
      </w:r>
      <w:r>
        <w:rPr>
          <w:szCs w:val="28"/>
          <w:lang w:eastAsia="ru-RU"/>
        </w:rPr>
        <w:t>бачуваними, викладено частину третю статті 11 проекту, за якою «у</w:t>
      </w:r>
      <w:r w:rsidRPr="00811E7C">
        <w:t xml:space="preserve">сі поточні арбітражні керуючі повинні відповідати вимогам цього Кодексу, коли </w:t>
      </w:r>
      <w:r w:rsidRPr="005A05AA">
        <w:rPr>
          <w:u w:val="single"/>
        </w:rPr>
        <w:t>адміністративна структура для ліцензування та нагляду буде створена</w:t>
      </w:r>
      <w:r>
        <w:t xml:space="preserve">». Звертаємо увагу, що з положень проекту не зрозуміло, про яку адміністративну структуру для ліцензування та нагляду йдеться. </w:t>
      </w:r>
    </w:p>
    <w:p w:rsidR="00434C8C" w:rsidRDefault="00434C8C" w:rsidP="00DA06FA">
      <w:pPr>
        <w:spacing w:after="0" w:line="240" w:lineRule="auto"/>
        <w:ind w:firstLine="709"/>
        <w:jc w:val="both"/>
        <w:rPr>
          <w:szCs w:val="28"/>
          <w:lang w:eastAsia="ru-RU"/>
        </w:rPr>
      </w:pPr>
      <w:r>
        <w:rPr>
          <w:szCs w:val="28"/>
          <w:lang w:eastAsia="ru-RU"/>
        </w:rPr>
        <w:t xml:space="preserve">Крім того, всупереч ст. 8 Конституції викладено й інші норми проекту. </w:t>
      </w:r>
    </w:p>
    <w:p w:rsidR="00434C8C" w:rsidRDefault="00434C8C" w:rsidP="00DA06FA">
      <w:pPr>
        <w:spacing w:after="0" w:line="240" w:lineRule="auto"/>
        <w:ind w:firstLine="709"/>
        <w:jc w:val="both"/>
      </w:pPr>
      <w:r>
        <w:rPr>
          <w:szCs w:val="28"/>
          <w:lang w:eastAsia="ru-RU"/>
        </w:rPr>
        <w:t>Так, наприклад, частиною третьою статті 29 проекту встановлено, що «а</w:t>
      </w:r>
      <w:r w:rsidRPr="00E050F9">
        <w:t xml:space="preserve">рбітражний керуючий зобов'язаний зупинити свою діяльність з моменту внесення інформації про тимчасове зупинення права на здійснення діяльності арбітражного керуючого до Єдиного реєстру арбітражних керуючих, </w:t>
      </w:r>
      <w:r w:rsidRPr="00D43222">
        <w:rPr>
          <w:u w:val="single"/>
        </w:rPr>
        <w:t>про що повідомити господарський суд</w:t>
      </w:r>
      <w:r w:rsidRPr="00E050F9">
        <w:t xml:space="preserve">, в провадженні якого перебуває справа про </w:t>
      </w:r>
      <w:r>
        <w:t xml:space="preserve">банкрутство». Однак проектом не визначено форму та строки такого повідомлення. </w:t>
      </w:r>
    </w:p>
    <w:p w:rsidR="00434C8C" w:rsidRDefault="00434C8C" w:rsidP="00DA06FA">
      <w:pPr>
        <w:spacing w:after="0" w:line="240" w:lineRule="auto"/>
        <w:ind w:firstLine="709"/>
        <w:jc w:val="both"/>
      </w:pPr>
      <w:r>
        <w:rPr>
          <w:szCs w:val="28"/>
          <w:lang w:eastAsia="ru-RU"/>
        </w:rPr>
        <w:t>Статтею 12 проекту передбачено, що д</w:t>
      </w:r>
      <w:r w:rsidRPr="00E050F9">
        <w:t xml:space="preserve">о інформації про фінансовий стан боржника та хід провадження у справі про </w:t>
      </w:r>
      <w:r>
        <w:t>банкрутство</w:t>
      </w:r>
      <w:r w:rsidRPr="00E050F9">
        <w:t xml:space="preserve"> належить інформація про</w:t>
      </w:r>
      <w:r>
        <w:t xml:space="preserve"> </w:t>
      </w:r>
      <w:r w:rsidRPr="003A28B1">
        <w:rPr>
          <w:u w:val="single"/>
        </w:rPr>
        <w:t>реєстр вимог кредиторів</w:t>
      </w:r>
      <w:r>
        <w:t>. Частиною сьомою ст. 41 проекту встановлено, що д</w:t>
      </w:r>
      <w:r w:rsidRPr="00E050F9">
        <w:t xml:space="preserve">ля одночасного погашення всіх вимог кредиторів арбітражний керуючий зобов’язаний надати особі, яка виявила намір погасити вимоги кредиторів </w:t>
      </w:r>
      <w:r w:rsidRPr="003A28B1">
        <w:rPr>
          <w:u w:val="single"/>
        </w:rPr>
        <w:t>реєстр вимог кредиторів</w:t>
      </w:r>
      <w:r w:rsidRPr="00E050F9">
        <w:t>.</w:t>
      </w:r>
      <w:r>
        <w:t xml:space="preserve"> За статтею 44 проекту розпорядник майна зобов’язаний </w:t>
      </w:r>
      <w:r w:rsidRPr="003A28B1">
        <w:rPr>
          <w:u w:val="single"/>
        </w:rPr>
        <w:t>вести реєстр вимог кредиторів</w:t>
      </w:r>
      <w:r>
        <w:t xml:space="preserve">. </w:t>
      </w:r>
      <w:r w:rsidRPr="00E050F9">
        <w:t xml:space="preserve">До звіту керуючого санацією додаються </w:t>
      </w:r>
      <w:r w:rsidRPr="003A28B1">
        <w:rPr>
          <w:u w:val="single"/>
        </w:rPr>
        <w:t xml:space="preserve">реєстр вимог кредиторів </w:t>
      </w:r>
      <w:r>
        <w:t xml:space="preserve">(ст. 57). </w:t>
      </w:r>
      <w:r w:rsidRPr="00E050F9">
        <w:t>Ліквідатор з дня свого призначення</w:t>
      </w:r>
      <w:r>
        <w:t xml:space="preserve"> </w:t>
      </w:r>
      <w:r w:rsidRPr="003A28B1">
        <w:rPr>
          <w:u w:val="single"/>
        </w:rPr>
        <w:t>веде реєстр вимог кредиторів</w:t>
      </w:r>
      <w:r>
        <w:t xml:space="preserve"> (ст. 61). За ст. 65 проекту п</w:t>
      </w:r>
      <w:r w:rsidRPr="00E050F9">
        <w:t>ісля завершення всіх розрахунків з кредиторами ліквідатор подає до господарського суду звіт та ліквідаційний баланс, до якого додаються</w:t>
      </w:r>
      <w:r>
        <w:t xml:space="preserve"> </w:t>
      </w:r>
      <w:r w:rsidRPr="003A28B1">
        <w:rPr>
          <w:u w:val="single"/>
        </w:rPr>
        <w:t>реєстр вимог кредиторів</w:t>
      </w:r>
      <w:r w:rsidRPr="00E050F9">
        <w:t xml:space="preserve"> з даними про розміри погашених вимог кредиторів</w:t>
      </w:r>
      <w:r>
        <w:t xml:space="preserve">. Однак проектом не встановлено форму та вимоги до ведення реєстру вимог кредиторів. </w:t>
      </w:r>
    </w:p>
    <w:p w:rsidR="00434C8C" w:rsidRDefault="00434C8C" w:rsidP="00DA06FA">
      <w:pPr>
        <w:spacing w:after="0" w:line="240" w:lineRule="auto"/>
        <w:ind w:firstLine="709"/>
        <w:jc w:val="both"/>
      </w:pPr>
      <w:r>
        <w:t xml:space="preserve">У частині першій статті 93 проекту міститься посилання на «спеціальне законодавство», яким може бути </w:t>
      </w:r>
      <w:r w:rsidRPr="00391346">
        <w:rPr>
          <w:szCs w:val="28"/>
        </w:rPr>
        <w:t>встановлено окрему процедуру банкрутства відповідного професійного учасника фондового ринку</w:t>
      </w:r>
      <w:r>
        <w:rPr>
          <w:szCs w:val="28"/>
        </w:rPr>
        <w:t>. У зв’язку з цим зазначимо, що, по-перше, не визначено, що саме мається на увазі під «спеціальним законодавством» та не враховано, що відповідно до пункту 8 частини першої статті 92 Конституції України правові засади підприємництва можуть бути врегульовані виключно на законодавчому рівні. По-друге, частина перша має бути узгоджена з частиною другою цієї ж статті проекту, яка передбачає, що «н</w:t>
      </w:r>
      <w:r w:rsidRPr="00E050F9">
        <w:t>е врегульовані цією статтею особливості процедури банкрутства професійних учасників фондового ринку</w:t>
      </w:r>
      <w:r>
        <w:t xml:space="preserve"> … у</w:t>
      </w:r>
      <w:r w:rsidRPr="00E050F9">
        <w:t>становлюються Національною комісією з цінних паперів та фондового ринку за погодженням з державним органом з питань банкрутства</w:t>
      </w:r>
      <w:r>
        <w:t>»</w:t>
      </w:r>
      <w:r w:rsidRPr="00E050F9">
        <w:t>.</w:t>
      </w:r>
      <w:r>
        <w:t xml:space="preserve"> По-третє, за таких формулювань, які допускають врегулювання особливостей процедур банкрутства підзаконними нормативними актами, ставиться під сумнів верховенство закону як нормативного акта вищого рівня.</w:t>
      </w:r>
    </w:p>
    <w:p w:rsidR="00434C8C" w:rsidRDefault="00434C8C" w:rsidP="00DA06FA">
      <w:pPr>
        <w:spacing w:after="0" w:line="240" w:lineRule="auto"/>
        <w:ind w:firstLine="709"/>
        <w:jc w:val="both"/>
      </w:pPr>
      <w:r>
        <w:rPr>
          <w:szCs w:val="28"/>
          <w:lang w:eastAsia="ru-RU"/>
        </w:rPr>
        <w:t>Також потребують уточнення ще й такі правові конструкції, як: «</w:t>
      </w:r>
      <w:r w:rsidRPr="00E050F9">
        <w:t xml:space="preserve">задоволення вимог окремого кредитора </w:t>
      </w:r>
      <w:r w:rsidRPr="00FD6B4E">
        <w:rPr>
          <w:u w:val="single"/>
        </w:rPr>
        <w:t>негайно</w:t>
      </w:r>
      <w:r>
        <w:t>» (статті 5, 52), «</w:t>
      </w:r>
      <w:r w:rsidRPr="00FD6B4E">
        <w:rPr>
          <w:u w:val="single"/>
        </w:rPr>
        <w:t>негайно</w:t>
      </w:r>
      <w:r w:rsidRPr="00E050F9">
        <w:t xml:space="preserve"> повідомити про це державний орган з питань банкрутства</w:t>
      </w:r>
      <w:r>
        <w:t>» (ст. 13), «а</w:t>
      </w:r>
      <w:r w:rsidRPr="00E050F9">
        <w:t xml:space="preserve">рбітражний керуючий </w:t>
      </w:r>
      <w:r w:rsidRPr="00FD6B4E">
        <w:rPr>
          <w:u w:val="single"/>
        </w:rPr>
        <w:t>негайно</w:t>
      </w:r>
      <w:r w:rsidRPr="00E050F9">
        <w:t xml:space="preserve"> оприлюднює </w:t>
      </w:r>
      <w:r>
        <w:t>в</w:t>
      </w:r>
      <w:r w:rsidRPr="00E050F9">
        <w:t xml:space="preserve"> </w:t>
      </w:r>
      <w:r>
        <w:t>електронній торговій системі</w:t>
      </w:r>
      <w:r w:rsidRPr="00E050F9">
        <w:t xml:space="preserve"> інформацію про покупця</w:t>
      </w:r>
      <w:r>
        <w:t>» (ст. 81), «</w:t>
      </w:r>
      <w:r w:rsidRPr="00E050F9">
        <w:t xml:space="preserve">заява підлягає </w:t>
      </w:r>
      <w:r w:rsidRPr="00FD6B4E">
        <w:rPr>
          <w:u w:val="single"/>
        </w:rPr>
        <w:t>негайному</w:t>
      </w:r>
      <w:r w:rsidRPr="00E050F9">
        <w:t xml:space="preserve"> оприлюдненню</w:t>
      </w:r>
      <w:r>
        <w:t>» (ст. 82), «</w:t>
      </w:r>
      <w:r w:rsidRPr="00FD6B4E">
        <w:rPr>
          <w:u w:val="single"/>
        </w:rPr>
        <w:t>негайно</w:t>
      </w:r>
      <w:r w:rsidRPr="00E050F9">
        <w:t xml:space="preserve"> після завершення аукціону електронною торговою системою формується протокол про проведення аукціону</w:t>
      </w:r>
      <w:r>
        <w:t>» (ст. 83), «ім’я» боржника (статті 5, 12, 34 тощо), «</w:t>
      </w:r>
      <w:r w:rsidRPr="00E050F9">
        <w:t xml:space="preserve">боржником були надані недостовірні дані, які є </w:t>
      </w:r>
      <w:r w:rsidRPr="00323FB3">
        <w:rPr>
          <w:u w:val="single"/>
        </w:rPr>
        <w:t>суттєвими</w:t>
      </w:r>
      <w:r w:rsidRPr="00E050F9">
        <w:t xml:space="preserve"> для визначення успішності плану санації</w:t>
      </w:r>
      <w:r>
        <w:t>» (ст. 5), «</w:t>
      </w:r>
      <w:r w:rsidRPr="00E050F9">
        <w:t xml:space="preserve">господарський суд може припинити процедуру санації у разі порушення плану санації за наявності </w:t>
      </w:r>
      <w:r w:rsidRPr="00323FB3">
        <w:rPr>
          <w:u w:val="single"/>
        </w:rPr>
        <w:t>підстав вважати</w:t>
      </w:r>
      <w:r w:rsidRPr="00E050F9">
        <w:t>, що такий план санації не буде виконаний</w:t>
      </w:r>
      <w:r>
        <w:t>» (ст. 5), «</w:t>
      </w:r>
      <w:r w:rsidRPr="00CD59BB">
        <w:rPr>
          <w:u w:val="single"/>
        </w:rPr>
        <w:t>вбачається</w:t>
      </w:r>
      <w:r>
        <w:t xml:space="preserve"> необхідність проведення додаткового контролю з боку державного органу з питань банкрутства» (ст. 20), «залучення </w:t>
      </w:r>
      <w:r w:rsidRPr="001F092B">
        <w:rPr>
          <w:u w:val="single"/>
        </w:rPr>
        <w:t>найбільш</w:t>
      </w:r>
      <w:r>
        <w:t xml:space="preserve"> </w:t>
      </w:r>
      <w:r w:rsidRPr="001F092B">
        <w:rPr>
          <w:u w:val="single"/>
        </w:rPr>
        <w:t>досвідчених і висококваліфікованих</w:t>
      </w:r>
      <w:r>
        <w:t xml:space="preserve"> арбітражних керуючих» (ст. 20), «а</w:t>
      </w:r>
      <w:r w:rsidRPr="00D43222">
        <w:rPr>
          <w:szCs w:val="28"/>
        </w:rPr>
        <w:t xml:space="preserve">рбітражний керуючий зобов'язаний </w:t>
      </w:r>
      <w:r w:rsidRPr="00D43222">
        <w:rPr>
          <w:szCs w:val="28"/>
          <w:u w:val="single"/>
        </w:rPr>
        <w:t>завчасно</w:t>
      </w:r>
      <w:r w:rsidRPr="00D43222">
        <w:rPr>
          <w:szCs w:val="28"/>
        </w:rPr>
        <w:t xml:space="preserve"> повідомляти</w:t>
      </w:r>
      <w:r>
        <w:rPr>
          <w:szCs w:val="28"/>
        </w:rPr>
        <w:t>» (ст. 28), «</w:t>
      </w:r>
      <w:r w:rsidRPr="00E050F9">
        <w:t xml:space="preserve">забезпечує </w:t>
      </w:r>
      <w:r w:rsidRPr="00B47421">
        <w:rPr>
          <w:u w:val="single"/>
        </w:rPr>
        <w:t>престижність</w:t>
      </w:r>
      <w:r w:rsidRPr="00E050F9">
        <w:t xml:space="preserve"> професії арбітражних керуючих</w:t>
      </w:r>
      <w:r>
        <w:t xml:space="preserve">» (ст. 33), «велика кількість кредиторів» (ст. 39), «суд </w:t>
      </w:r>
      <w:r w:rsidRPr="00E050F9">
        <w:t xml:space="preserve">в ухвалі про відкриття провадження у справі про </w:t>
      </w:r>
      <w:r>
        <w:t>банкрутство</w:t>
      </w:r>
      <w:r w:rsidRPr="00E050F9">
        <w:t xml:space="preserve"> </w:t>
      </w:r>
      <w:r w:rsidRPr="00B47421">
        <w:rPr>
          <w:u w:val="single"/>
        </w:rPr>
        <w:t>може</w:t>
      </w:r>
      <w:r w:rsidRPr="00E050F9">
        <w:t xml:space="preserve"> зобов'язати боржника провести аудит. Якщо у боржника немає для цього коштів, господарський суд </w:t>
      </w:r>
      <w:r w:rsidRPr="00B47421">
        <w:rPr>
          <w:u w:val="single"/>
        </w:rPr>
        <w:t>може</w:t>
      </w:r>
      <w:r w:rsidRPr="00E050F9">
        <w:t xml:space="preserve"> призначити проведення аудиту за рахунок кредитора (кредиторів) лише за згодою останнього (останніх)</w:t>
      </w:r>
      <w:r>
        <w:t>» (ст. 39), «</w:t>
      </w:r>
      <w:r w:rsidRPr="003A28B1">
        <w:rPr>
          <w:u w:val="single"/>
        </w:rPr>
        <w:t>нерентабельне</w:t>
      </w:r>
      <w:r w:rsidRPr="00E050F9">
        <w:t xml:space="preserve"> виробництв</w:t>
      </w:r>
      <w:r>
        <w:t>о» (ст. 51), «</w:t>
      </w:r>
      <w:r w:rsidRPr="003A28B1">
        <w:rPr>
          <w:u w:val="single"/>
        </w:rPr>
        <w:t>заважати</w:t>
      </w:r>
      <w:r>
        <w:t xml:space="preserve"> веденню провадження» (ст. 101), «діяти </w:t>
      </w:r>
      <w:r w:rsidRPr="003A28B1">
        <w:rPr>
          <w:u w:val="single"/>
        </w:rPr>
        <w:t>сумлінно</w:t>
      </w:r>
      <w:r>
        <w:t xml:space="preserve"> і </w:t>
      </w:r>
      <w:r w:rsidRPr="003A28B1">
        <w:rPr>
          <w:u w:val="single"/>
        </w:rPr>
        <w:t>розумно</w:t>
      </w:r>
      <w:r>
        <w:t>» (ст. 99), «</w:t>
      </w:r>
      <w:r w:rsidRPr="003A28B1">
        <w:rPr>
          <w:u w:val="single"/>
        </w:rPr>
        <w:t>відмовився</w:t>
      </w:r>
      <w:r w:rsidRPr="00E050F9">
        <w:t xml:space="preserve"> співпрацювати з господарським судом</w:t>
      </w:r>
      <w:r>
        <w:t xml:space="preserve">» (ст. 97) тощо. </w:t>
      </w:r>
    </w:p>
    <w:p w:rsidR="00434C8C" w:rsidRDefault="00434C8C" w:rsidP="00DA06FA">
      <w:pPr>
        <w:spacing w:after="0" w:line="240" w:lineRule="auto"/>
        <w:ind w:firstLine="709"/>
        <w:jc w:val="both"/>
      </w:pPr>
    </w:p>
    <w:p w:rsidR="00434C8C" w:rsidRDefault="00434C8C" w:rsidP="00DA06FA">
      <w:pPr>
        <w:spacing w:after="0" w:line="240" w:lineRule="auto"/>
        <w:ind w:firstLine="709"/>
        <w:jc w:val="both"/>
      </w:pPr>
      <w:r>
        <w:t xml:space="preserve">35. Положення проекту щодо використання терміна «законодавство іноземної держави» потребує узгодження із нормами Закону України «Про міжнародне приватне право», в яких йдеться про «право іноземної держави» (ст. ст. 6 та 8 цього Закону). </w:t>
      </w:r>
    </w:p>
    <w:p w:rsidR="00434C8C" w:rsidRPr="00432B04" w:rsidRDefault="00434C8C" w:rsidP="00DA06FA">
      <w:pPr>
        <w:spacing w:after="0" w:line="240" w:lineRule="auto"/>
        <w:ind w:firstLine="709"/>
        <w:jc w:val="both"/>
        <w:rPr>
          <w:szCs w:val="28"/>
          <w:lang w:eastAsia="ru-RU"/>
        </w:rPr>
      </w:pPr>
      <w:r>
        <w:t xml:space="preserve"> </w:t>
      </w:r>
    </w:p>
    <w:p w:rsidR="00434C8C" w:rsidRPr="0010060E" w:rsidRDefault="00434C8C" w:rsidP="00DA06FA">
      <w:pPr>
        <w:spacing w:after="0" w:line="240" w:lineRule="auto"/>
        <w:ind w:firstLine="709"/>
        <w:jc w:val="both"/>
        <w:rPr>
          <w:color w:val="000000"/>
          <w:szCs w:val="28"/>
        </w:rPr>
      </w:pPr>
      <w:r>
        <w:rPr>
          <w:color w:val="000000"/>
          <w:szCs w:val="28"/>
        </w:rPr>
        <w:t xml:space="preserve">36. Всупереч ст. 92 Конституції України, за якою виключно законом України визнаються </w:t>
      </w:r>
      <w:r w:rsidRPr="0010060E">
        <w:rPr>
          <w:color w:val="000000"/>
          <w:szCs w:val="28"/>
        </w:rPr>
        <w:t>засади цивільно-правової відповідальності; діяння, які є злочинами, адміністративними або дисциплінарними правопорушенн</w:t>
      </w:r>
      <w:r>
        <w:rPr>
          <w:color w:val="000000"/>
          <w:szCs w:val="28"/>
        </w:rPr>
        <w:t xml:space="preserve">ями, та відповідальність за них, статтею 51 проекту передбачено, що відповідальність має міститься в плані санації. Це зауваження стосується і </w:t>
      </w:r>
      <w:r>
        <w:t>частини</w:t>
      </w:r>
      <w:r w:rsidRPr="00DF0A70">
        <w:t xml:space="preserve"> четверт</w:t>
      </w:r>
      <w:r>
        <w:t>ої</w:t>
      </w:r>
      <w:r w:rsidRPr="00DF0A70">
        <w:t xml:space="preserve"> статті 44</w:t>
      </w:r>
      <w:r>
        <w:t xml:space="preserve"> </w:t>
      </w:r>
      <w:r w:rsidRPr="00DF0A70">
        <w:t>проекту</w:t>
      </w:r>
      <w:r>
        <w:t>, в якій</w:t>
      </w:r>
      <w:r w:rsidRPr="00DF0A70">
        <w:t xml:space="preserve"> йдеться про «відповідальність … відпо</w:t>
      </w:r>
      <w:r>
        <w:t>відно до законодавства України».</w:t>
      </w:r>
    </w:p>
    <w:p w:rsidR="00434C8C"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pPr>
      <w:r>
        <w:rPr>
          <w:color w:val="000000"/>
          <w:szCs w:val="28"/>
        </w:rPr>
        <w:t xml:space="preserve">37. </w:t>
      </w:r>
      <w:r>
        <w:t xml:space="preserve">Вимогам щодо правової визначеності та необхідності одноманітного викладення правових норм аналогічного змісту не відповідають також інші положення проекту, зокрема, стосовно відповідальності професійних учасників процедур, пов’язаних з відновленням платоспроможності боржника або визнання його банкрутом. </w:t>
      </w:r>
    </w:p>
    <w:p w:rsidR="00434C8C" w:rsidRDefault="00434C8C" w:rsidP="00DA06FA">
      <w:pPr>
        <w:pStyle w:val="StyleZakonu"/>
        <w:spacing w:after="0" w:line="240" w:lineRule="auto"/>
        <w:ind w:firstLine="709"/>
        <w:rPr>
          <w:sz w:val="28"/>
          <w:szCs w:val="22"/>
          <w:lang w:eastAsia="en-US"/>
        </w:rPr>
      </w:pPr>
      <w:r w:rsidRPr="00DF0A70">
        <w:rPr>
          <w:sz w:val="28"/>
          <w:szCs w:val="22"/>
          <w:lang w:eastAsia="en-US"/>
        </w:rPr>
        <w:t xml:space="preserve">Так, арбітражні керуючі несуть відповідальність «за свої дії та заподіяну третім особам шкоду» (частина перша статті 21), розпорядник майна «несе відповідальність за невиконання або неналежне виконання своїх повноважень» (частина четверта статті 44), а стосовно ліквідатора оскарженню підлягають «дії (бездіяльність)» (частина шоста статті 61). </w:t>
      </w:r>
    </w:p>
    <w:p w:rsidR="00434C8C" w:rsidRDefault="00434C8C" w:rsidP="00DA06FA">
      <w:pPr>
        <w:pStyle w:val="HTMLPreformatted"/>
        <w:shd w:val="clear" w:color="auto" w:fill="FFFFFF"/>
        <w:ind w:firstLine="709"/>
        <w:jc w:val="both"/>
        <w:rPr>
          <w:rFonts w:ascii="Times New Roman" w:hAnsi="Times New Roman"/>
          <w:sz w:val="28"/>
          <w:szCs w:val="22"/>
        </w:rPr>
      </w:pPr>
      <w:r w:rsidRPr="00745D44">
        <w:rPr>
          <w:rFonts w:ascii="Times New Roman" w:hAnsi="Times New Roman"/>
          <w:sz w:val="28"/>
          <w:szCs w:val="22"/>
        </w:rPr>
        <w:t>Статтею 74 законопроекту передбачен</w:t>
      </w:r>
      <w:r>
        <w:rPr>
          <w:rFonts w:ascii="Times New Roman" w:hAnsi="Times New Roman"/>
          <w:sz w:val="28"/>
          <w:szCs w:val="22"/>
        </w:rPr>
        <w:t>о, що «порушники»</w:t>
      </w:r>
      <w:r w:rsidRPr="00745D44">
        <w:rPr>
          <w:rFonts w:ascii="Times New Roman" w:hAnsi="Times New Roman"/>
          <w:sz w:val="28"/>
          <w:szCs w:val="22"/>
        </w:rPr>
        <w:t xml:space="preserve"> порядк</w:t>
      </w:r>
      <w:r>
        <w:rPr>
          <w:rFonts w:ascii="Times New Roman" w:hAnsi="Times New Roman"/>
          <w:sz w:val="28"/>
          <w:szCs w:val="22"/>
        </w:rPr>
        <w:t>у</w:t>
      </w:r>
      <w:r w:rsidRPr="00745D44">
        <w:rPr>
          <w:rFonts w:ascii="Times New Roman" w:hAnsi="Times New Roman"/>
          <w:sz w:val="28"/>
          <w:szCs w:val="22"/>
        </w:rPr>
        <w:t xml:space="preserve"> підготовки та проведення аукціону</w:t>
      </w:r>
      <w:r>
        <w:rPr>
          <w:rFonts w:ascii="Times New Roman" w:hAnsi="Times New Roman"/>
          <w:sz w:val="28"/>
          <w:szCs w:val="22"/>
        </w:rPr>
        <w:t xml:space="preserve"> несуть відповідальність у вигляді накладення штрафу. При цьому не встановлено конкретного суб'єкта правопорушення; </w:t>
      </w:r>
      <w:r w:rsidRPr="000D1A72">
        <w:rPr>
          <w:rFonts w:ascii="Times New Roman" w:hAnsi="Times New Roman"/>
          <w:sz w:val="28"/>
          <w:szCs w:val="22"/>
        </w:rPr>
        <w:t xml:space="preserve">орган, який </w:t>
      </w:r>
      <w:r>
        <w:rPr>
          <w:rFonts w:ascii="Times New Roman" w:hAnsi="Times New Roman"/>
          <w:sz w:val="28"/>
          <w:szCs w:val="22"/>
        </w:rPr>
        <w:t xml:space="preserve">накладає стягнення; </w:t>
      </w:r>
      <w:r w:rsidRPr="000D1A72">
        <w:rPr>
          <w:rFonts w:ascii="Times New Roman" w:hAnsi="Times New Roman"/>
          <w:sz w:val="28"/>
          <w:szCs w:val="22"/>
        </w:rPr>
        <w:t>орган,</w:t>
      </w:r>
      <w:r>
        <w:rPr>
          <w:rFonts w:ascii="Times New Roman" w:hAnsi="Times New Roman"/>
          <w:sz w:val="28"/>
          <w:szCs w:val="22"/>
        </w:rPr>
        <w:t xml:space="preserve"> до якого оскаржується рішення та порядок оскарження; </w:t>
      </w:r>
      <w:r w:rsidRPr="000D1A72">
        <w:rPr>
          <w:rFonts w:ascii="Times New Roman" w:hAnsi="Times New Roman"/>
          <w:sz w:val="28"/>
          <w:szCs w:val="22"/>
        </w:rPr>
        <w:t>строки</w:t>
      </w:r>
      <w:r>
        <w:rPr>
          <w:rFonts w:ascii="Times New Roman" w:hAnsi="Times New Roman"/>
          <w:sz w:val="28"/>
          <w:szCs w:val="22"/>
        </w:rPr>
        <w:t xml:space="preserve"> пр</w:t>
      </w:r>
      <w:r w:rsidRPr="000D1A72">
        <w:rPr>
          <w:rFonts w:ascii="Times New Roman" w:hAnsi="Times New Roman"/>
          <w:sz w:val="28"/>
          <w:szCs w:val="22"/>
        </w:rPr>
        <w:t>итягнення</w:t>
      </w:r>
      <w:r>
        <w:rPr>
          <w:rFonts w:ascii="Times New Roman" w:hAnsi="Times New Roman"/>
          <w:sz w:val="28"/>
          <w:szCs w:val="22"/>
        </w:rPr>
        <w:t xml:space="preserve"> </w:t>
      </w:r>
      <w:r w:rsidRPr="000D1A72">
        <w:rPr>
          <w:rFonts w:ascii="Times New Roman" w:hAnsi="Times New Roman"/>
          <w:sz w:val="28"/>
          <w:szCs w:val="22"/>
        </w:rPr>
        <w:t>до</w:t>
      </w:r>
      <w:r>
        <w:rPr>
          <w:rFonts w:ascii="Times New Roman" w:hAnsi="Times New Roman"/>
          <w:sz w:val="28"/>
          <w:szCs w:val="22"/>
        </w:rPr>
        <w:t xml:space="preserve"> відповідальності</w:t>
      </w:r>
      <w:r w:rsidRPr="000D1A72">
        <w:rPr>
          <w:rFonts w:ascii="Times New Roman" w:hAnsi="Times New Roman"/>
          <w:sz w:val="28"/>
          <w:szCs w:val="22"/>
        </w:rPr>
        <w:t xml:space="preserve"> тощо. </w:t>
      </w:r>
    </w:p>
    <w:p w:rsidR="00434C8C" w:rsidRPr="000368CF" w:rsidRDefault="00434C8C" w:rsidP="00DA06FA">
      <w:pPr>
        <w:pStyle w:val="HTMLPreformatted"/>
        <w:shd w:val="clear" w:color="auto" w:fill="FFFFFF"/>
        <w:ind w:firstLine="709"/>
        <w:jc w:val="both"/>
        <w:rPr>
          <w:rFonts w:ascii="Times New Roman" w:hAnsi="Times New Roman"/>
          <w:color w:val="292B2C"/>
          <w:sz w:val="28"/>
          <w:szCs w:val="28"/>
          <w:lang w:eastAsia="uk-UA"/>
        </w:rPr>
      </w:pPr>
      <w:r>
        <w:rPr>
          <w:rFonts w:ascii="Times New Roman" w:hAnsi="Times New Roman"/>
          <w:sz w:val="28"/>
          <w:szCs w:val="22"/>
        </w:rPr>
        <w:t xml:space="preserve">Водночас Конституційний Суд України у своєму Рішенні від </w:t>
      </w:r>
      <w:r w:rsidRPr="000D1A72">
        <w:rPr>
          <w:rFonts w:ascii="Times New Roman" w:hAnsi="Times New Roman"/>
          <w:color w:val="292B2C"/>
          <w:sz w:val="28"/>
          <w:szCs w:val="28"/>
          <w:lang w:eastAsia="uk-UA"/>
        </w:rPr>
        <w:t xml:space="preserve">30 травня 2001 року </w:t>
      </w:r>
      <w:r>
        <w:rPr>
          <w:rFonts w:ascii="Times New Roman" w:hAnsi="Times New Roman"/>
          <w:color w:val="292B2C"/>
          <w:sz w:val="28"/>
          <w:szCs w:val="28"/>
          <w:lang w:eastAsia="uk-UA"/>
        </w:rPr>
        <w:t xml:space="preserve">№ </w:t>
      </w:r>
      <w:r w:rsidRPr="000D1A72">
        <w:rPr>
          <w:rFonts w:ascii="Times New Roman" w:hAnsi="Times New Roman"/>
          <w:color w:val="292B2C"/>
          <w:sz w:val="28"/>
          <w:szCs w:val="28"/>
          <w:lang w:eastAsia="uk-UA"/>
        </w:rPr>
        <w:t xml:space="preserve">7-рп/2001 </w:t>
      </w:r>
      <w:r>
        <w:rPr>
          <w:rFonts w:ascii="Times New Roman" w:hAnsi="Times New Roman"/>
          <w:color w:val="292B2C"/>
          <w:sz w:val="28"/>
          <w:szCs w:val="28"/>
          <w:lang w:eastAsia="uk-UA"/>
        </w:rPr>
        <w:t>чітко вказав, що пр</w:t>
      </w:r>
      <w:r w:rsidRPr="00745D44">
        <w:rPr>
          <w:rFonts w:ascii="Times New Roman" w:hAnsi="Times New Roman"/>
          <w:sz w:val="28"/>
          <w:szCs w:val="22"/>
        </w:rPr>
        <w:t>итягнення до юр</w:t>
      </w:r>
      <w:r>
        <w:rPr>
          <w:rFonts w:ascii="Times New Roman" w:hAnsi="Times New Roman"/>
          <w:sz w:val="28"/>
          <w:szCs w:val="22"/>
        </w:rPr>
        <w:t xml:space="preserve">идичної відповідальності </w:t>
      </w:r>
      <w:r w:rsidRPr="00745D44">
        <w:rPr>
          <w:rFonts w:ascii="Times New Roman" w:hAnsi="Times New Roman"/>
          <w:sz w:val="28"/>
          <w:szCs w:val="22"/>
        </w:rPr>
        <w:t>має здійснюватися у певному порядку, на підставі</w:t>
      </w:r>
      <w:r>
        <w:rPr>
          <w:rFonts w:ascii="Times New Roman" w:hAnsi="Times New Roman"/>
          <w:sz w:val="28"/>
          <w:szCs w:val="22"/>
        </w:rPr>
        <w:t xml:space="preserve"> </w:t>
      </w:r>
      <w:r w:rsidRPr="00745D44">
        <w:rPr>
          <w:rFonts w:ascii="Times New Roman" w:hAnsi="Times New Roman"/>
          <w:sz w:val="28"/>
          <w:szCs w:val="22"/>
        </w:rPr>
        <w:t>процесуальних</w:t>
      </w:r>
      <w:r>
        <w:rPr>
          <w:rFonts w:ascii="Times New Roman" w:hAnsi="Times New Roman"/>
          <w:sz w:val="28"/>
          <w:szCs w:val="22"/>
        </w:rPr>
        <w:t xml:space="preserve"> </w:t>
      </w:r>
      <w:r w:rsidRPr="00745D44">
        <w:rPr>
          <w:rFonts w:ascii="Times New Roman" w:hAnsi="Times New Roman"/>
          <w:sz w:val="28"/>
          <w:szCs w:val="22"/>
        </w:rPr>
        <w:t>норм, що регламентують провадження у</w:t>
      </w:r>
      <w:r>
        <w:rPr>
          <w:rFonts w:ascii="Times New Roman" w:hAnsi="Times New Roman"/>
          <w:sz w:val="28"/>
          <w:szCs w:val="22"/>
        </w:rPr>
        <w:t xml:space="preserve"> </w:t>
      </w:r>
      <w:r w:rsidRPr="00745D44">
        <w:rPr>
          <w:rFonts w:ascii="Times New Roman" w:hAnsi="Times New Roman"/>
          <w:sz w:val="28"/>
          <w:szCs w:val="22"/>
        </w:rPr>
        <w:t>справі</w:t>
      </w:r>
      <w:r>
        <w:rPr>
          <w:rFonts w:ascii="Times New Roman" w:hAnsi="Times New Roman"/>
          <w:sz w:val="28"/>
          <w:szCs w:val="22"/>
        </w:rPr>
        <w:t xml:space="preserve"> </w:t>
      </w:r>
      <w:r w:rsidRPr="00745D44">
        <w:rPr>
          <w:rFonts w:ascii="Times New Roman" w:hAnsi="Times New Roman"/>
          <w:sz w:val="28"/>
          <w:szCs w:val="22"/>
        </w:rPr>
        <w:t>про</w:t>
      </w:r>
      <w:r>
        <w:rPr>
          <w:rFonts w:ascii="Times New Roman" w:hAnsi="Times New Roman"/>
          <w:sz w:val="28"/>
          <w:szCs w:val="22"/>
        </w:rPr>
        <w:t xml:space="preserve"> </w:t>
      </w:r>
      <w:r w:rsidRPr="00745D44">
        <w:rPr>
          <w:rFonts w:ascii="Times New Roman" w:hAnsi="Times New Roman"/>
          <w:sz w:val="28"/>
          <w:szCs w:val="22"/>
        </w:rPr>
        <w:t>порушення</w:t>
      </w:r>
      <w:r>
        <w:rPr>
          <w:rFonts w:ascii="Times New Roman" w:hAnsi="Times New Roman"/>
          <w:sz w:val="28"/>
          <w:szCs w:val="22"/>
        </w:rPr>
        <w:t xml:space="preserve"> </w:t>
      </w:r>
      <w:r w:rsidRPr="00745D44">
        <w:rPr>
          <w:rFonts w:ascii="Times New Roman" w:hAnsi="Times New Roman"/>
          <w:sz w:val="28"/>
          <w:szCs w:val="22"/>
        </w:rPr>
        <w:t>юридичними особами норм законодавства.</w:t>
      </w:r>
      <w:r>
        <w:rPr>
          <w:rFonts w:ascii="Times New Roman" w:hAnsi="Times New Roman"/>
          <w:sz w:val="28"/>
          <w:szCs w:val="22"/>
        </w:rPr>
        <w:t xml:space="preserve"> Відсутність відповідного порядку та процедур свідчить про недостатнє правове регулювання, </w:t>
      </w:r>
      <w:r w:rsidRPr="000368CF">
        <w:rPr>
          <w:rFonts w:ascii="Times New Roman" w:hAnsi="Times New Roman"/>
          <w:color w:val="292B2C"/>
          <w:sz w:val="28"/>
          <w:szCs w:val="28"/>
          <w:lang w:eastAsia="uk-UA"/>
        </w:rPr>
        <w:t>що не відповідає</w:t>
      </w:r>
      <w:r>
        <w:rPr>
          <w:rFonts w:ascii="Times New Roman" w:hAnsi="Times New Roman"/>
          <w:color w:val="292B2C"/>
          <w:sz w:val="28"/>
          <w:szCs w:val="28"/>
          <w:lang w:eastAsia="uk-UA"/>
        </w:rPr>
        <w:t xml:space="preserve"> </w:t>
      </w:r>
      <w:r w:rsidRPr="000368CF">
        <w:rPr>
          <w:rFonts w:ascii="Times New Roman" w:hAnsi="Times New Roman"/>
          <w:color w:val="292B2C"/>
          <w:sz w:val="28"/>
          <w:szCs w:val="28"/>
          <w:lang w:eastAsia="uk-UA"/>
        </w:rPr>
        <w:t xml:space="preserve">конституційному визначенню України як правової держави. </w:t>
      </w:r>
    </w:p>
    <w:p w:rsidR="00434C8C" w:rsidRDefault="00434C8C" w:rsidP="00DA06FA">
      <w:pPr>
        <w:spacing w:after="0" w:line="240" w:lineRule="auto"/>
        <w:ind w:firstLine="709"/>
        <w:jc w:val="both"/>
        <w:rPr>
          <w:color w:val="000000"/>
          <w:szCs w:val="28"/>
        </w:rPr>
      </w:pPr>
    </w:p>
    <w:p w:rsidR="00434C8C" w:rsidRDefault="00434C8C" w:rsidP="00DA06FA">
      <w:pPr>
        <w:spacing w:after="0" w:line="240" w:lineRule="auto"/>
        <w:ind w:firstLine="709"/>
        <w:jc w:val="both"/>
        <w:rPr>
          <w:szCs w:val="28"/>
          <w:lang w:val="ru-RU"/>
        </w:rPr>
      </w:pPr>
      <w:r w:rsidRPr="00FA40B8">
        <w:rPr>
          <w:color w:val="000000"/>
          <w:szCs w:val="28"/>
        </w:rPr>
        <w:t>3</w:t>
      </w:r>
      <w:r>
        <w:rPr>
          <w:color w:val="000000"/>
          <w:szCs w:val="28"/>
        </w:rPr>
        <w:t>8</w:t>
      </w:r>
      <w:r w:rsidRPr="00FA40B8">
        <w:rPr>
          <w:color w:val="000000"/>
          <w:szCs w:val="28"/>
        </w:rPr>
        <w:t>.</w:t>
      </w:r>
      <w:r>
        <w:rPr>
          <w:color w:val="000000"/>
          <w:szCs w:val="28"/>
        </w:rPr>
        <w:t xml:space="preserve"> </w:t>
      </w:r>
      <w:r w:rsidRPr="00C069D5">
        <w:rPr>
          <w:szCs w:val="28"/>
        </w:rPr>
        <w:t>Статтею 3 проекту передбачається віднести до відання державного органу з питань банкрутства здійснення інших передбачених законодавством повноважень, що, як вбачається, не враховує вимог ст</w:t>
      </w:r>
      <w:r>
        <w:rPr>
          <w:szCs w:val="28"/>
        </w:rPr>
        <w:t>.</w:t>
      </w:r>
      <w:r w:rsidRPr="00C069D5">
        <w:rPr>
          <w:szCs w:val="28"/>
        </w:rPr>
        <w:t xml:space="preserve"> 19 Конституції України щодо визначення способу здійснення повноважень органами державної</w:t>
      </w:r>
      <w:r>
        <w:rPr>
          <w:szCs w:val="28"/>
        </w:rPr>
        <w:t xml:space="preserve"> </w:t>
      </w:r>
      <w:r w:rsidRPr="00C069D5">
        <w:rPr>
          <w:szCs w:val="28"/>
        </w:rPr>
        <w:t>влади та органами місцевого самоврядування, їх посадовими особами виключно Конституцією та законами України</w:t>
      </w:r>
      <w:r w:rsidRPr="00C069D5">
        <w:rPr>
          <w:szCs w:val="28"/>
          <w:lang w:val="ru-RU"/>
        </w:rPr>
        <w:t>.</w:t>
      </w:r>
    </w:p>
    <w:p w:rsidR="00434C8C" w:rsidRDefault="00434C8C" w:rsidP="00DA06FA">
      <w:pPr>
        <w:pStyle w:val="StyleZakonu"/>
        <w:spacing w:after="0" w:line="240" w:lineRule="auto"/>
        <w:ind w:firstLine="709"/>
        <w:rPr>
          <w:sz w:val="28"/>
          <w:szCs w:val="28"/>
          <w:lang w:val="ru-RU"/>
        </w:rPr>
      </w:pPr>
    </w:p>
    <w:p w:rsidR="00434C8C" w:rsidRDefault="00434C8C" w:rsidP="00DA06FA">
      <w:pPr>
        <w:pStyle w:val="StyleZakonu"/>
        <w:spacing w:after="0" w:line="240" w:lineRule="auto"/>
        <w:ind w:firstLine="709"/>
        <w:rPr>
          <w:sz w:val="28"/>
          <w:szCs w:val="28"/>
        </w:rPr>
      </w:pPr>
      <w:r>
        <w:rPr>
          <w:sz w:val="28"/>
          <w:szCs w:val="28"/>
          <w:lang w:val="ru-RU"/>
        </w:rPr>
        <w:t xml:space="preserve">39. </w:t>
      </w:r>
      <w:r w:rsidRPr="003F4DFA">
        <w:rPr>
          <w:sz w:val="28"/>
          <w:szCs w:val="28"/>
        </w:rPr>
        <w:t xml:space="preserve">Частиною четвертою </w:t>
      </w:r>
      <w:r>
        <w:rPr>
          <w:sz w:val="28"/>
          <w:szCs w:val="28"/>
        </w:rPr>
        <w:t xml:space="preserve">статті </w:t>
      </w:r>
      <w:r w:rsidRPr="003F4DFA">
        <w:rPr>
          <w:sz w:val="28"/>
          <w:szCs w:val="28"/>
        </w:rPr>
        <w:t>24 проекту передбач</w:t>
      </w:r>
      <w:r>
        <w:rPr>
          <w:sz w:val="28"/>
          <w:szCs w:val="28"/>
        </w:rPr>
        <w:t>ено</w:t>
      </w:r>
      <w:r w:rsidRPr="003F4DFA">
        <w:rPr>
          <w:sz w:val="28"/>
          <w:szCs w:val="28"/>
        </w:rPr>
        <w:t>, що порядок і умови страхування професійних ризиків арбітражного керуючого встановлюються законом</w:t>
      </w:r>
      <w:r>
        <w:rPr>
          <w:sz w:val="28"/>
          <w:szCs w:val="28"/>
        </w:rPr>
        <w:t>, чим реалізація зазначеної норми проекту, на наш погляд, ставиться у залежність від набрання чинності відповідним законом у майбутньому</w:t>
      </w:r>
      <w:r w:rsidRPr="003F4DFA">
        <w:rPr>
          <w:sz w:val="28"/>
          <w:szCs w:val="28"/>
        </w:rPr>
        <w:t>.</w:t>
      </w:r>
    </w:p>
    <w:p w:rsidR="00434C8C" w:rsidRPr="00FA40B8" w:rsidRDefault="00434C8C" w:rsidP="00DA06FA">
      <w:pPr>
        <w:pStyle w:val="ParagraphStyle"/>
        <w:ind w:firstLine="709"/>
        <w:jc w:val="both"/>
        <w:rPr>
          <w:rFonts w:ascii="Times New Roman" w:hAnsi="Times New Roman" w:cs="Times New Roman"/>
          <w:sz w:val="28"/>
          <w:szCs w:val="28"/>
          <w:lang w:val="uk-UA"/>
        </w:rPr>
      </w:pPr>
      <w:r w:rsidRPr="00FA40B8">
        <w:rPr>
          <w:rFonts w:ascii="Times New Roman" w:hAnsi="Times New Roman" w:cs="Times New Roman"/>
          <w:sz w:val="28"/>
          <w:szCs w:val="28"/>
          <w:lang w:val="uk-UA"/>
        </w:rPr>
        <w:t xml:space="preserve">Натепер згідно </w:t>
      </w:r>
      <w:r>
        <w:rPr>
          <w:rFonts w:ascii="Times New Roman" w:hAnsi="Times New Roman" w:cs="Times New Roman"/>
          <w:sz w:val="28"/>
          <w:szCs w:val="28"/>
          <w:lang w:val="uk-UA"/>
        </w:rPr>
        <w:t>і</w:t>
      </w:r>
      <w:r w:rsidRPr="00FA40B8">
        <w:rPr>
          <w:rFonts w:ascii="Times New Roman" w:hAnsi="Times New Roman" w:cs="Times New Roman"/>
          <w:sz w:val="28"/>
          <w:szCs w:val="28"/>
          <w:lang w:val="uk-UA"/>
        </w:rPr>
        <w:t xml:space="preserve">з чинним Законом «Про страхування» (частина четверта </w:t>
      </w:r>
      <w:r>
        <w:rPr>
          <w:rFonts w:ascii="Times New Roman" w:hAnsi="Times New Roman" w:cs="Times New Roman"/>
          <w:sz w:val="28"/>
          <w:szCs w:val="28"/>
          <w:lang w:val="uk-UA"/>
        </w:rPr>
        <w:t xml:space="preserve">статті </w:t>
      </w:r>
      <w:r w:rsidRPr="00FA40B8">
        <w:rPr>
          <w:rFonts w:ascii="Times New Roman" w:hAnsi="Times New Roman" w:cs="Times New Roman"/>
          <w:sz w:val="28"/>
          <w:szCs w:val="28"/>
          <w:lang w:val="uk-UA"/>
        </w:rPr>
        <w:t xml:space="preserve">6) </w:t>
      </w:r>
      <w:r w:rsidRPr="00FA40B8">
        <w:rPr>
          <w:rStyle w:val="FontStyle"/>
          <w:rFonts w:ascii="Times New Roman" w:hAnsi="Times New Roman" w:cs="Times New Roman"/>
          <w:sz w:val="28"/>
          <w:szCs w:val="28"/>
          <w:lang w:val="uk-UA"/>
        </w:rPr>
        <w:t xml:space="preserve">страхування цивільно-правової відповідальності арбітражного керуючого за шкоду, яку може бути завдано у зв’язку з виконанням його обов’язків, належить до видів добровільного страхування, відтак загальні умови і порядок здійснення добровільного страхування мали б визначатися правилами страхування, що встановлюються страховиком самостійно (частина перша статті 6 чинного Закону). Оскільки порядок і правила проведення страхування визначаються Кабінетом Міністрів України лише для видів обов’язкового страхування, тому, на нашу думку, за потреби зазначений вид страхування </w:t>
      </w:r>
      <w:r w:rsidRPr="00FA40B8">
        <w:rPr>
          <w:rFonts w:ascii="Times New Roman" w:hAnsi="Times New Roman" w:cs="Times New Roman"/>
          <w:sz w:val="28"/>
          <w:szCs w:val="28"/>
          <w:lang w:val="uk-UA"/>
        </w:rPr>
        <w:t>професійних ризиків арбітражного керуючого мав би належати до видів обов’язкового страхування та регулюватися в порядку, затвердженому Урядом України.</w:t>
      </w:r>
    </w:p>
    <w:p w:rsidR="00434C8C" w:rsidRDefault="00434C8C" w:rsidP="00DA06FA">
      <w:pPr>
        <w:pStyle w:val="StyleZakonu"/>
        <w:spacing w:after="0" w:line="240" w:lineRule="auto"/>
        <w:ind w:firstLine="709"/>
        <w:rPr>
          <w:sz w:val="28"/>
        </w:rPr>
      </w:pPr>
    </w:p>
    <w:p w:rsidR="00434C8C" w:rsidRPr="008F51DB" w:rsidRDefault="00434C8C" w:rsidP="00DA06FA">
      <w:pPr>
        <w:pStyle w:val="StyleZakonu"/>
        <w:spacing w:after="0" w:line="240" w:lineRule="auto"/>
        <w:ind w:firstLine="709"/>
        <w:rPr>
          <w:b/>
          <w:sz w:val="28"/>
          <w:szCs w:val="28"/>
        </w:rPr>
      </w:pPr>
      <w:r>
        <w:rPr>
          <w:sz w:val="28"/>
        </w:rPr>
        <w:t xml:space="preserve">40. </w:t>
      </w:r>
      <w:r w:rsidRPr="001B2DF0">
        <w:rPr>
          <w:sz w:val="28"/>
          <w:szCs w:val="28"/>
        </w:rPr>
        <w:t xml:space="preserve">Вважаємо дискусійними та такими, що потребують доопрацювання, зміни, що передбачається внести </w:t>
      </w:r>
      <w:r>
        <w:rPr>
          <w:sz w:val="28"/>
          <w:szCs w:val="28"/>
        </w:rPr>
        <w:t>до частини восьмої статті 4¹ «</w:t>
      </w:r>
      <w:r w:rsidRPr="001B2DF0">
        <w:rPr>
          <w:sz w:val="28"/>
          <w:szCs w:val="28"/>
        </w:rPr>
        <w:t>Про дозвільну систему у сфері господарської діяльності</w:t>
      </w:r>
      <w:r>
        <w:rPr>
          <w:sz w:val="28"/>
          <w:szCs w:val="28"/>
        </w:rPr>
        <w:t>»</w:t>
      </w:r>
      <w:r w:rsidRPr="001B2DF0">
        <w:rPr>
          <w:sz w:val="28"/>
          <w:szCs w:val="28"/>
        </w:rPr>
        <w:t xml:space="preserve"> щодо можливості подальшого провадження певних дій щодо здійснення господарської діяльності або видів господарської діяльності на підставі виданого раніше такому товариству документа дозвільного характеру у разі зміни власника всього майна боржника у вигляді цілісного майнового комплексу, відповідно до затвердженого судом плану санації, без переоформлення документів дозвільного характеру.</w:t>
      </w:r>
      <w:r>
        <w:rPr>
          <w:sz w:val="28"/>
          <w:szCs w:val="28"/>
        </w:rPr>
        <w:t xml:space="preserve"> </w:t>
      </w:r>
      <w:r w:rsidRPr="001B2DF0">
        <w:rPr>
          <w:sz w:val="28"/>
          <w:szCs w:val="28"/>
        </w:rPr>
        <w:t xml:space="preserve">Адже у деяких випадках </w:t>
      </w:r>
      <w:r>
        <w:rPr>
          <w:sz w:val="28"/>
          <w:szCs w:val="28"/>
        </w:rPr>
        <w:t xml:space="preserve">видачі </w:t>
      </w:r>
      <w:r w:rsidRPr="001B2DF0">
        <w:rPr>
          <w:sz w:val="28"/>
          <w:szCs w:val="28"/>
        </w:rPr>
        <w:t xml:space="preserve">документів дозвільного характеру законодавець закріплює </w:t>
      </w:r>
      <w:r w:rsidRPr="001B2DF0">
        <w:rPr>
          <w:rStyle w:val="st42"/>
          <w:szCs w:val="28"/>
        </w:rPr>
        <w:t>право на провадження певних дій щодо здійснення господарської діяльності або видів господарської діяльності за певним суб’єктом господарювання, якому надано такий документ дозвільного характеру. Так, відповідно до частини четвертої ст</w:t>
      </w:r>
      <w:r>
        <w:rPr>
          <w:rStyle w:val="st42"/>
          <w:szCs w:val="28"/>
        </w:rPr>
        <w:t>.</w:t>
      </w:r>
      <w:r w:rsidRPr="001B2DF0">
        <w:rPr>
          <w:rStyle w:val="st42"/>
          <w:szCs w:val="28"/>
        </w:rPr>
        <w:t xml:space="preserve"> 16 Кодексу України про надра </w:t>
      </w:r>
      <w:r>
        <w:rPr>
          <w:sz w:val="28"/>
          <w:szCs w:val="28"/>
        </w:rPr>
        <w:t>«у</w:t>
      </w:r>
      <w:r w:rsidRPr="001B2DF0">
        <w:rPr>
          <w:rStyle w:val="st42"/>
          <w:szCs w:val="28"/>
        </w:rPr>
        <w:t xml:space="preserve"> разі виконання окремих видів робіт, пов'язаних з користуванням надрами, особами, не зазначеними у спеціальному дозволі, відповідальність за виконання умов, передбачених спеціальними дозволами, несе суб'єкт, </w:t>
      </w:r>
      <w:r w:rsidRPr="008F51DB">
        <w:rPr>
          <w:rStyle w:val="st42"/>
          <w:b/>
          <w:szCs w:val="28"/>
        </w:rPr>
        <w:t>що отримав спеціальний дозвіл»</w:t>
      </w:r>
      <w:r w:rsidRPr="008F51DB">
        <w:rPr>
          <w:b/>
          <w:sz w:val="28"/>
          <w:szCs w:val="28"/>
        </w:rPr>
        <w:t>.</w:t>
      </w:r>
    </w:p>
    <w:p w:rsidR="00434C8C" w:rsidRPr="00207CCD" w:rsidRDefault="00434C8C" w:rsidP="00DA06FA">
      <w:pPr>
        <w:pStyle w:val="StyleZakonu"/>
        <w:spacing w:after="0" w:line="240" w:lineRule="auto"/>
        <w:ind w:firstLine="709"/>
        <w:rPr>
          <w:sz w:val="28"/>
          <w:szCs w:val="28"/>
        </w:rPr>
      </w:pPr>
      <w:r w:rsidRPr="00207CCD">
        <w:rPr>
          <w:sz w:val="28"/>
          <w:szCs w:val="28"/>
        </w:rPr>
        <w:t>Так само потребують додаткового аналізу зміни, що передбачається внести до частини сьомої статті 15 Закону Укра</w:t>
      </w:r>
      <w:r>
        <w:rPr>
          <w:sz w:val="28"/>
          <w:szCs w:val="28"/>
        </w:rPr>
        <w:t>їни «</w:t>
      </w:r>
      <w:r w:rsidRPr="00207CCD">
        <w:rPr>
          <w:sz w:val="28"/>
          <w:szCs w:val="28"/>
        </w:rPr>
        <w:t>Про ліцензування видів господарської діяльності</w:t>
      </w:r>
      <w:r>
        <w:rPr>
          <w:sz w:val="28"/>
          <w:szCs w:val="28"/>
        </w:rPr>
        <w:t>»</w:t>
      </w:r>
      <w:r w:rsidRPr="00207CCD">
        <w:rPr>
          <w:sz w:val="28"/>
          <w:szCs w:val="28"/>
        </w:rPr>
        <w:t xml:space="preserve">, щодо можливості подальшого здійснення господарської діяльності або видів господарської діяльності на підставі виданої раніше певному товариству відповідної чинної ліцензії у разі зміни власника усього майна боржника у вигляді цілісного майнового комплексу, відповідно до затвердженого судом плану санації. Адже ліцензійні умови – це </w:t>
      </w:r>
      <w:r w:rsidRPr="00207CCD">
        <w:rPr>
          <w:rStyle w:val="st42"/>
          <w:szCs w:val="28"/>
        </w:rPr>
        <w:t xml:space="preserve">перелік вимог, </w:t>
      </w:r>
      <w:r w:rsidRPr="008F51DB">
        <w:rPr>
          <w:rStyle w:val="st42"/>
          <w:b/>
          <w:szCs w:val="28"/>
        </w:rPr>
        <w:t>обов’язкових для виконання ліцензіатом</w:t>
      </w:r>
      <w:r w:rsidRPr="00207CCD">
        <w:rPr>
          <w:rStyle w:val="st42"/>
          <w:szCs w:val="28"/>
        </w:rPr>
        <w:t>, тоді як зміна власника майна боржника нерозривно пов’язана з кадровими вимогами до ліцензіата, невиконання яких новим власником може стати підставою для анулювання ліцензії.</w:t>
      </w:r>
    </w:p>
    <w:p w:rsidR="00434C8C" w:rsidRDefault="00434C8C" w:rsidP="00DA06FA">
      <w:pPr>
        <w:spacing w:after="0" w:line="240" w:lineRule="auto"/>
        <w:ind w:firstLine="709"/>
        <w:jc w:val="both"/>
        <w:rPr>
          <w:color w:val="000000"/>
          <w:szCs w:val="28"/>
        </w:rPr>
      </w:pPr>
      <w:r>
        <w:rPr>
          <w:color w:val="000000"/>
          <w:szCs w:val="28"/>
        </w:rPr>
        <w:t>Це саме стосується змін до Закону України «Про оренду землі».</w:t>
      </w:r>
    </w:p>
    <w:p w:rsidR="00434C8C" w:rsidRDefault="00434C8C" w:rsidP="00DA06FA">
      <w:pPr>
        <w:spacing w:after="0" w:line="240" w:lineRule="auto"/>
        <w:ind w:firstLine="709"/>
        <w:jc w:val="both"/>
        <w:rPr>
          <w:color w:val="000000"/>
          <w:szCs w:val="28"/>
        </w:rPr>
      </w:pPr>
    </w:p>
    <w:p w:rsidR="00434C8C" w:rsidRPr="008F51DB" w:rsidRDefault="00434C8C" w:rsidP="00DA06FA">
      <w:pPr>
        <w:pStyle w:val="NoSpacing"/>
        <w:ind w:firstLine="709"/>
        <w:jc w:val="both"/>
        <w:rPr>
          <w:b/>
        </w:rPr>
      </w:pPr>
      <w:r w:rsidRPr="008F51DB">
        <w:rPr>
          <w:b/>
        </w:rPr>
        <w:t>Проект має суттєві техніко</w:t>
      </w:r>
      <w:r>
        <w:rPr>
          <w:b/>
        </w:rPr>
        <w:t>-</w:t>
      </w:r>
      <w:r w:rsidRPr="008F51DB">
        <w:rPr>
          <w:b/>
        </w:rPr>
        <w:t>юридичні недоліки.</w:t>
      </w:r>
    </w:p>
    <w:p w:rsidR="00434C8C" w:rsidRPr="00311479" w:rsidRDefault="00434C8C" w:rsidP="00DA06FA">
      <w:pPr>
        <w:pStyle w:val="NoSpacing"/>
        <w:ind w:firstLine="709"/>
        <w:jc w:val="both"/>
      </w:pPr>
    </w:p>
    <w:p w:rsidR="00434C8C" w:rsidRPr="00311479" w:rsidRDefault="00434C8C" w:rsidP="00DA06FA">
      <w:pPr>
        <w:pStyle w:val="NoSpacing"/>
        <w:ind w:firstLine="709"/>
        <w:jc w:val="both"/>
      </w:pPr>
      <w:r>
        <w:t>Звертаємо увагу, що с</w:t>
      </w:r>
      <w:r w:rsidRPr="00311479">
        <w:t xml:space="preserve">труктура законопроекту залежить від його обсягу і змісту. Великі законопроекти поділяються на розділи (глави), нумерація яких є наскрізною відповідно до порядкового номера. </w:t>
      </w:r>
      <w:r>
        <w:t>Цей п</w:t>
      </w:r>
      <w:r w:rsidRPr="00311479">
        <w:t xml:space="preserve">роект побудований на зразок структури Цивільного кодексу України, який складається з шести </w:t>
      </w:r>
      <w:r>
        <w:t>книг та відокремлених розділів у</w:t>
      </w:r>
      <w:r w:rsidRPr="00311479">
        <w:t xml:space="preserve"> кожній з них. Але така структура Цивільного кодексу України зумовлена наявністю </w:t>
      </w:r>
      <w:r>
        <w:t>у</w:t>
      </w:r>
      <w:r w:rsidRPr="00311479">
        <w:t xml:space="preserve"> ньому 1308 статей.</w:t>
      </w:r>
      <w:r>
        <w:t xml:space="preserve"> Вважаємо, що </w:t>
      </w:r>
      <w:r w:rsidRPr="00311479">
        <w:t>проект Кодексу України з процедур банкрутства має громіздку структуру, а саме: містить чотири книги та відокремлені розділи і складається всього з 137 статей. Незрозумілим є нумерація всіх розділів «Прикінцевих та перехідних» положень, що потребує суттєвого доопрацювання.</w:t>
      </w:r>
    </w:p>
    <w:p w:rsidR="00434C8C" w:rsidRPr="00311479" w:rsidRDefault="00434C8C" w:rsidP="00DA06FA">
      <w:pPr>
        <w:pStyle w:val="NoSpacing"/>
        <w:ind w:firstLine="709"/>
        <w:jc w:val="both"/>
      </w:pPr>
      <w:r>
        <w:t>У</w:t>
      </w:r>
      <w:r w:rsidRPr="00311479">
        <w:t xml:space="preserve"> першому читанні передбачалис</w:t>
      </w:r>
      <w:r>
        <w:t>я</w:t>
      </w:r>
      <w:r w:rsidRPr="00311479">
        <w:t xml:space="preserve"> зміни до Цивільного процесуального кодексу України, які були виключені, але </w:t>
      </w:r>
      <w:r>
        <w:t xml:space="preserve">в проекті </w:t>
      </w:r>
      <w:r w:rsidRPr="00311479">
        <w:t>залишилось посилання на цей Кодекс.</w:t>
      </w:r>
      <w:r>
        <w:t xml:space="preserve"> Незрозумілими є також зміни до частини</w:t>
      </w:r>
      <w:r w:rsidRPr="00311479">
        <w:t xml:space="preserve"> перш</w:t>
      </w:r>
      <w:r>
        <w:t>ої</w:t>
      </w:r>
      <w:r w:rsidRPr="00311479">
        <w:t xml:space="preserve"> статті 62 Закону України «Про банки і банківську діяльність»</w:t>
      </w:r>
      <w:r>
        <w:t xml:space="preserve">, оскільки вони відсутні. </w:t>
      </w:r>
    </w:p>
    <w:p w:rsidR="00434C8C" w:rsidRDefault="00434C8C" w:rsidP="00DA06FA">
      <w:pPr>
        <w:pStyle w:val="NoSpacing"/>
        <w:ind w:firstLine="709"/>
        <w:jc w:val="both"/>
      </w:pPr>
      <w:r>
        <w:rPr>
          <w:bCs/>
          <w:lang w:eastAsia="ru-RU"/>
        </w:rPr>
        <w:t>Частина п’ята ст. 21 проекту, за якою «п</w:t>
      </w:r>
      <w:r w:rsidRPr="00B72119">
        <w:t>ро накладення на арбітражного керуючого дисциплінарного стягнення вноситься запис в Єдиний реєстр арбітражних керуючих України</w:t>
      </w:r>
      <w:r>
        <w:t>» дублює частину четверту статті 23 проекту, за якою «п</w:t>
      </w:r>
      <w:r w:rsidRPr="00E050F9">
        <w:t>ро накладення на арбітражного керуючого дисциплінарного стягнення робиться запис в Єдиному реєстрі арбітражних керуючих України</w:t>
      </w:r>
      <w:r>
        <w:t xml:space="preserve">». </w:t>
      </w:r>
    </w:p>
    <w:p w:rsidR="00434C8C" w:rsidRDefault="00434C8C" w:rsidP="00DA06FA">
      <w:pPr>
        <w:pStyle w:val="NoSpacing"/>
        <w:ind w:firstLine="709"/>
        <w:jc w:val="both"/>
      </w:pPr>
      <w:r>
        <w:t xml:space="preserve">Зазначені вади при підготовці мали б бути усунуті на підставі зауважень редакційного підрозділу, які не надані народним депутатам України на порушення вимог статті 117 Регламенту Верховної Ради України. </w:t>
      </w:r>
    </w:p>
    <w:p w:rsidR="00434C8C" w:rsidRDefault="00434C8C" w:rsidP="00DA06FA">
      <w:pPr>
        <w:pStyle w:val="NoSpacing"/>
        <w:ind w:firstLine="709"/>
        <w:jc w:val="both"/>
      </w:pPr>
    </w:p>
    <w:p w:rsidR="00434C8C" w:rsidRPr="00DE7A26" w:rsidRDefault="00434C8C" w:rsidP="00DA06FA">
      <w:pPr>
        <w:pStyle w:val="NoSpacing"/>
        <w:ind w:firstLine="709"/>
        <w:jc w:val="both"/>
        <w:rPr>
          <w:bCs/>
          <w:lang w:eastAsia="ru-RU"/>
        </w:rPr>
      </w:pPr>
      <w:r>
        <w:t xml:space="preserve">Проект містить також внутрішні неузгодженості. Зокрема, в назві ст. 28 проекту йдеться про </w:t>
      </w:r>
      <w:r w:rsidRPr="00D43222">
        <w:t>усунення</w:t>
      </w:r>
      <w:r>
        <w:t xml:space="preserve"> арбітражного керуючого, тоді як у частині четвертій цієї статті – про </w:t>
      </w:r>
      <w:r w:rsidRPr="00D43222">
        <w:t>відсторонення</w:t>
      </w:r>
      <w:r>
        <w:t xml:space="preserve"> арбітражного керуючого. </w:t>
      </w:r>
    </w:p>
    <w:p w:rsidR="00434C8C" w:rsidRDefault="00434C8C" w:rsidP="00DA06FA">
      <w:pPr>
        <w:pStyle w:val="NoSpacing"/>
        <w:ind w:firstLine="709"/>
        <w:jc w:val="both"/>
        <w:rPr>
          <w:lang w:eastAsia="ru-RU"/>
        </w:rPr>
      </w:pPr>
    </w:p>
    <w:p w:rsidR="00434C8C" w:rsidRPr="00311479" w:rsidRDefault="00434C8C" w:rsidP="00DA06FA">
      <w:pPr>
        <w:pStyle w:val="NoSpacing"/>
        <w:ind w:firstLine="709"/>
        <w:jc w:val="both"/>
        <w:rPr>
          <w:lang w:eastAsia="ru-RU"/>
        </w:rPr>
      </w:pPr>
      <w:r w:rsidRPr="00311479">
        <w:rPr>
          <w:lang w:eastAsia="ru-RU"/>
        </w:rPr>
        <w:t xml:space="preserve">У розділі ІІІ </w:t>
      </w:r>
      <w:r>
        <w:rPr>
          <w:lang w:eastAsia="ru-RU"/>
        </w:rPr>
        <w:t xml:space="preserve">проекту </w:t>
      </w:r>
      <w:r w:rsidRPr="00311479">
        <w:rPr>
          <w:lang w:eastAsia="ru-RU"/>
        </w:rPr>
        <w:t>зазначено, що «у</w:t>
      </w:r>
      <w:r w:rsidRPr="00311479">
        <w:rPr>
          <w:szCs w:val="20"/>
          <w:shd w:val="clear" w:color="auto" w:fill="FFFFFF"/>
          <w:lang w:eastAsia="ru-RU"/>
        </w:rPr>
        <w:t xml:space="preserve"> текстах всіх нормативно-правових актів слова «Закон України «Про відновлення платоспроможності боржника або визнання його банкрутом» у всіх відмінках і числах замінити відповідно словами «Кодекс України з процедур банкрутства» у відповідному відмінку і числі». Незрозуміло, про які нормативно-правові акти йдеться</w:t>
      </w:r>
      <w:r>
        <w:rPr>
          <w:szCs w:val="20"/>
          <w:shd w:val="clear" w:color="auto" w:fill="FFFFFF"/>
          <w:lang w:eastAsia="ru-RU"/>
        </w:rPr>
        <w:t>, наприклад, – у всі чинних законах чи на порушення статті 85 Конституції України у підзаконних актах</w:t>
      </w:r>
      <w:r w:rsidRPr="00311479">
        <w:rPr>
          <w:szCs w:val="20"/>
          <w:shd w:val="clear" w:color="auto" w:fill="FFFFFF"/>
          <w:lang w:eastAsia="ru-RU"/>
        </w:rPr>
        <w:t>.</w:t>
      </w:r>
    </w:p>
    <w:p w:rsidR="00434C8C" w:rsidRPr="00311479" w:rsidRDefault="00434C8C" w:rsidP="00DA06FA">
      <w:pPr>
        <w:pStyle w:val="NoSpacing"/>
        <w:ind w:firstLine="709"/>
        <w:jc w:val="both"/>
      </w:pPr>
      <w:r w:rsidRPr="00311479">
        <w:t xml:space="preserve">Розділ </w:t>
      </w:r>
      <w:r w:rsidRPr="00311479">
        <w:rPr>
          <w:lang w:val="ru-RU"/>
        </w:rPr>
        <w:t>IV</w:t>
      </w:r>
      <w:r w:rsidRPr="00311479">
        <w:t xml:space="preserve"> передбачає великий блок заміни слів </w:t>
      </w:r>
      <w:r>
        <w:t>у</w:t>
      </w:r>
      <w:r w:rsidRPr="00311479">
        <w:t xml:space="preserve"> законах України «Про виконавче провадження», «Про судовий збір» та «Про іпотеку». При цьому дуже важко буде відслідкувати правильність внесення змін до цих законів.</w:t>
      </w:r>
    </w:p>
    <w:p w:rsidR="00434C8C" w:rsidRDefault="00434C8C" w:rsidP="00DA06FA">
      <w:pPr>
        <w:pStyle w:val="NoSpacing"/>
        <w:ind w:firstLine="709"/>
        <w:jc w:val="both"/>
      </w:pPr>
      <w:r>
        <w:t>Потребують</w:t>
      </w:r>
      <w:r w:rsidRPr="00311479">
        <w:t xml:space="preserve"> структуризації також перехідні норми Кодексу.</w:t>
      </w:r>
      <w:r>
        <w:t xml:space="preserve"> </w:t>
      </w:r>
    </w:p>
    <w:p w:rsidR="00434C8C" w:rsidRPr="00311479" w:rsidRDefault="00434C8C" w:rsidP="00DA06FA">
      <w:pPr>
        <w:pStyle w:val="NoSpacing"/>
        <w:ind w:firstLine="709"/>
        <w:jc w:val="both"/>
      </w:pPr>
      <w:r>
        <w:t xml:space="preserve">Зазначені та інші вади проекту можуть бути усунені під час виконання вимог статті 102 Регламенту Верховної Ради України щодо обов’язковості розгляду кодексів у трьох читаннях. </w:t>
      </w:r>
    </w:p>
    <w:p w:rsidR="00434C8C" w:rsidRPr="00311479" w:rsidRDefault="00434C8C" w:rsidP="00DA06FA">
      <w:pPr>
        <w:pStyle w:val="NoSpacing"/>
        <w:ind w:firstLine="709"/>
        <w:jc w:val="both"/>
      </w:pPr>
      <w:r w:rsidRPr="00311479">
        <w:t xml:space="preserve">З огляду на наведене та зважаючи на Рішення Конституційного Суду України № 7-р/2018 від 11 жовтня 2018 року, за яким окремі положення Бюджетного кодексу України </w:t>
      </w:r>
      <w:r>
        <w:t xml:space="preserve">є </w:t>
      </w:r>
      <w:r w:rsidRPr="00311479">
        <w:t>такими, що не відповідають Конституції України</w:t>
      </w:r>
      <w:r>
        <w:t>,</w:t>
      </w:r>
      <w:r w:rsidRPr="00311479">
        <w:t xml:space="preserve"> в тому числі з підстав юридичної невизначеності</w:t>
      </w:r>
      <w:r>
        <w:t xml:space="preserve"> та якості закону,</w:t>
      </w:r>
      <w:r w:rsidRPr="00311479">
        <w:t xml:space="preserve"> вважаємо, що у разі прийняття проекту Кодексу як закону – він може стати предметом розгляду у Конституційному Суді України.</w:t>
      </w:r>
    </w:p>
    <w:p w:rsidR="00434C8C" w:rsidRDefault="00434C8C" w:rsidP="00DA06FA">
      <w:pPr>
        <w:spacing w:after="0" w:line="240" w:lineRule="auto"/>
        <w:ind w:firstLine="709"/>
        <w:jc w:val="both"/>
        <w:rPr>
          <w:b/>
          <w:bCs/>
          <w:szCs w:val="28"/>
          <w:lang w:eastAsia="ru-RU"/>
        </w:rPr>
      </w:pPr>
    </w:p>
    <w:p w:rsidR="00434C8C" w:rsidRDefault="00434C8C" w:rsidP="00DA06FA">
      <w:pPr>
        <w:spacing w:after="0" w:line="240" w:lineRule="auto"/>
        <w:ind w:firstLine="709"/>
        <w:jc w:val="both"/>
        <w:rPr>
          <w:b/>
          <w:bCs/>
          <w:szCs w:val="28"/>
          <w:lang w:eastAsia="ru-RU"/>
        </w:rPr>
      </w:pPr>
      <w:r>
        <w:rPr>
          <w:b/>
          <w:bCs/>
          <w:szCs w:val="28"/>
          <w:lang w:eastAsia="ru-RU"/>
        </w:rPr>
        <w:t xml:space="preserve">Узагальнюючий висновок: </w:t>
      </w:r>
      <w:r w:rsidRPr="00231575">
        <w:rPr>
          <w:bCs/>
          <w:szCs w:val="28"/>
          <w:lang w:eastAsia="ru-RU"/>
        </w:rPr>
        <w:t xml:space="preserve">проект </w:t>
      </w:r>
      <w:r>
        <w:rPr>
          <w:bCs/>
          <w:szCs w:val="28"/>
          <w:lang w:eastAsia="ru-RU"/>
        </w:rPr>
        <w:t>потребує розгляду у повторному другому читанні.</w:t>
      </w:r>
    </w:p>
    <w:p w:rsidR="00434C8C" w:rsidRPr="00DE7A26" w:rsidRDefault="00434C8C" w:rsidP="00DA06FA">
      <w:pPr>
        <w:spacing w:after="0" w:line="240" w:lineRule="auto"/>
        <w:ind w:firstLine="709"/>
        <w:jc w:val="both"/>
        <w:rPr>
          <w:b/>
          <w:bCs/>
          <w:szCs w:val="28"/>
          <w:lang w:eastAsia="ru-RU"/>
        </w:rPr>
      </w:pPr>
    </w:p>
    <w:p w:rsidR="00434C8C" w:rsidRDefault="00434C8C" w:rsidP="00DA06FA">
      <w:pPr>
        <w:spacing w:after="0" w:line="240" w:lineRule="auto"/>
        <w:jc w:val="both"/>
        <w:rPr>
          <w:b/>
          <w:bCs/>
          <w:szCs w:val="28"/>
          <w:lang w:eastAsia="ru-RU"/>
        </w:rPr>
      </w:pPr>
    </w:p>
    <w:p w:rsidR="00434C8C" w:rsidRPr="00DE7A26" w:rsidRDefault="00434C8C" w:rsidP="00DA06FA">
      <w:pPr>
        <w:spacing w:after="0" w:line="240" w:lineRule="auto"/>
        <w:jc w:val="both"/>
        <w:rPr>
          <w:b/>
          <w:bCs/>
          <w:szCs w:val="28"/>
          <w:lang w:eastAsia="ru-RU"/>
        </w:rPr>
      </w:pPr>
      <w:r w:rsidRPr="00DE7A26">
        <w:rPr>
          <w:b/>
          <w:bCs/>
          <w:szCs w:val="28"/>
          <w:lang w:eastAsia="ru-RU"/>
        </w:rPr>
        <w:t xml:space="preserve">Заступник </w:t>
      </w:r>
      <w:r>
        <w:rPr>
          <w:b/>
          <w:bCs/>
          <w:szCs w:val="28"/>
          <w:lang w:eastAsia="ru-RU"/>
        </w:rPr>
        <w:t>к</w:t>
      </w:r>
      <w:r w:rsidRPr="00DE7A26">
        <w:rPr>
          <w:b/>
          <w:bCs/>
          <w:szCs w:val="28"/>
          <w:lang w:eastAsia="ru-RU"/>
        </w:rPr>
        <w:t>ерівника</w:t>
      </w:r>
    </w:p>
    <w:p w:rsidR="00434C8C" w:rsidRPr="00DE7A26" w:rsidRDefault="00434C8C" w:rsidP="00DA06FA">
      <w:pPr>
        <w:spacing w:after="0" w:line="240" w:lineRule="auto"/>
        <w:jc w:val="both"/>
        <w:rPr>
          <w:szCs w:val="28"/>
          <w:lang w:eastAsia="ru-RU"/>
        </w:rPr>
      </w:pPr>
      <w:r w:rsidRPr="00DE7A26">
        <w:rPr>
          <w:b/>
          <w:bCs/>
          <w:szCs w:val="28"/>
          <w:lang w:eastAsia="ru-RU"/>
        </w:rPr>
        <w:t xml:space="preserve">Головного управління </w:t>
      </w:r>
      <w:r w:rsidRPr="00DE7A26">
        <w:rPr>
          <w:b/>
          <w:bCs/>
          <w:szCs w:val="28"/>
          <w:lang w:eastAsia="ru-RU"/>
        </w:rPr>
        <w:tab/>
      </w:r>
      <w:r w:rsidRPr="00DE7A26">
        <w:rPr>
          <w:b/>
          <w:bCs/>
          <w:szCs w:val="28"/>
          <w:lang w:eastAsia="ru-RU"/>
        </w:rPr>
        <w:tab/>
      </w:r>
      <w:r w:rsidRPr="00DE7A26">
        <w:rPr>
          <w:b/>
          <w:bCs/>
          <w:szCs w:val="28"/>
          <w:lang w:eastAsia="ru-RU"/>
        </w:rPr>
        <w:tab/>
      </w:r>
      <w:r w:rsidRPr="00DE7A26">
        <w:rPr>
          <w:b/>
          <w:bCs/>
          <w:szCs w:val="28"/>
          <w:lang w:eastAsia="ru-RU"/>
        </w:rPr>
        <w:tab/>
      </w:r>
      <w:r>
        <w:rPr>
          <w:b/>
          <w:bCs/>
          <w:szCs w:val="28"/>
          <w:lang w:eastAsia="ru-RU"/>
        </w:rPr>
        <w:tab/>
      </w:r>
      <w:r>
        <w:rPr>
          <w:b/>
          <w:bCs/>
          <w:szCs w:val="28"/>
          <w:lang w:eastAsia="ru-RU"/>
        </w:rPr>
        <w:tab/>
      </w:r>
      <w:r w:rsidRPr="00DE7A26">
        <w:rPr>
          <w:b/>
          <w:bCs/>
          <w:szCs w:val="28"/>
          <w:lang w:eastAsia="ru-RU"/>
        </w:rPr>
        <w:t>В.М</w:t>
      </w:r>
      <w:r>
        <w:rPr>
          <w:b/>
          <w:bCs/>
          <w:szCs w:val="28"/>
          <w:lang w:eastAsia="ru-RU"/>
        </w:rPr>
        <w:t>ілованов</w:t>
      </w:r>
    </w:p>
    <w:p w:rsidR="00434C8C" w:rsidRDefault="00434C8C" w:rsidP="00DA06FA">
      <w:pPr>
        <w:spacing w:after="0" w:line="240" w:lineRule="auto"/>
        <w:ind w:firstLine="709"/>
      </w:pPr>
    </w:p>
    <w:sectPr w:rsidR="00434C8C" w:rsidSect="00DA06FA">
      <w:footerReference w:type="default" r:id="rId6"/>
      <w:pgSz w:w="11906" w:h="16838"/>
      <w:pgMar w:top="1134" w:right="851" w:bottom="1134" w:left="1588"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4C8C" w:rsidRDefault="00434C8C" w:rsidP="00311479">
      <w:pPr>
        <w:spacing w:after="0" w:line="240" w:lineRule="auto"/>
      </w:pPr>
      <w:r>
        <w:separator/>
      </w:r>
    </w:p>
  </w:endnote>
  <w:endnote w:type="continuationSeparator" w:id="0">
    <w:p w:rsidR="00434C8C" w:rsidRDefault="00434C8C" w:rsidP="003114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0000000000000000000"/>
    <w:charset w:val="CC"/>
    <w:family w:val="swiss"/>
    <w:notTrueType/>
    <w:pitch w:val="variable"/>
    <w:sig w:usb0="00000203" w:usb1="00000000" w:usb2="00000000" w:usb3="00000000" w:csb0="00000005" w:csb1="00000000"/>
  </w:font>
  <w:font w:name="Courier New">
    <w:panose1 w:val="02070309020205020404"/>
    <w:charset w:val="CC"/>
    <w:family w:val="modern"/>
    <w:pitch w:val="fixed"/>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C8C" w:rsidRDefault="00434C8C">
    <w:pPr>
      <w:pStyle w:val="Footer"/>
      <w:jc w:val="right"/>
    </w:pPr>
    <w:fldSimple w:instr="PAGE   \* MERGEFORMAT">
      <w:r>
        <w:rPr>
          <w:noProof/>
        </w:rPr>
        <w:t>17</w:t>
      </w:r>
    </w:fldSimple>
  </w:p>
  <w:p w:rsidR="00434C8C" w:rsidRDefault="00434C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4C8C" w:rsidRDefault="00434C8C" w:rsidP="00311479">
      <w:pPr>
        <w:spacing w:after="0" w:line="240" w:lineRule="auto"/>
      </w:pPr>
      <w:r>
        <w:separator/>
      </w:r>
    </w:p>
  </w:footnote>
  <w:footnote w:type="continuationSeparator" w:id="0">
    <w:p w:rsidR="00434C8C" w:rsidRDefault="00434C8C" w:rsidP="0031147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6EEA"/>
    <w:rsid w:val="00016EEA"/>
    <w:rsid w:val="00025F18"/>
    <w:rsid w:val="000368CF"/>
    <w:rsid w:val="000C7C87"/>
    <w:rsid w:val="000D01D1"/>
    <w:rsid w:val="000D1A72"/>
    <w:rsid w:val="000E4CEF"/>
    <w:rsid w:val="000F05A3"/>
    <w:rsid w:val="0010060E"/>
    <w:rsid w:val="00140E33"/>
    <w:rsid w:val="001428E9"/>
    <w:rsid w:val="00154D1B"/>
    <w:rsid w:val="00196118"/>
    <w:rsid w:val="001A7609"/>
    <w:rsid w:val="001B2DF0"/>
    <w:rsid w:val="001C0C3E"/>
    <w:rsid w:val="001C66AA"/>
    <w:rsid w:val="001D4B69"/>
    <w:rsid w:val="001F092B"/>
    <w:rsid w:val="001F2412"/>
    <w:rsid w:val="00207CCD"/>
    <w:rsid w:val="00231575"/>
    <w:rsid w:val="0028645A"/>
    <w:rsid w:val="00311479"/>
    <w:rsid w:val="00323FB3"/>
    <w:rsid w:val="00391346"/>
    <w:rsid w:val="003A28B1"/>
    <w:rsid w:val="003B5085"/>
    <w:rsid w:val="003D166A"/>
    <w:rsid w:val="003F1EAC"/>
    <w:rsid w:val="003F4DFA"/>
    <w:rsid w:val="0040513F"/>
    <w:rsid w:val="00432B04"/>
    <w:rsid w:val="00434C8C"/>
    <w:rsid w:val="00436AA1"/>
    <w:rsid w:val="00437FFB"/>
    <w:rsid w:val="0052403B"/>
    <w:rsid w:val="005655E3"/>
    <w:rsid w:val="00567F1B"/>
    <w:rsid w:val="00593901"/>
    <w:rsid w:val="005A05AA"/>
    <w:rsid w:val="00624EE7"/>
    <w:rsid w:val="00642ED7"/>
    <w:rsid w:val="0064799E"/>
    <w:rsid w:val="006567F9"/>
    <w:rsid w:val="006B00FF"/>
    <w:rsid w:val="006E350D"/>
    <w:rsid w:val="00704A2E"/>
    <w:rsid w:val="00711026"/>
    <w:rsid w:val="00745D44"/>
    <w:rsid w:val="00751696"/>
    <w:rsid w:val="00763A05"/>
    <w:rsid w:val="00771C8E"/>
    <w:rsid w:val="00790EF8"/>
    <w:rsid w:val="007B401C"/>
    <w:rsid w:val="007E77C5"/>
    <w:rsid w:val="007F301D"/>
    <w:rsid w:val="007F63E3"/>
    <w:rsid w:val="00811E7C"/>
    <w:rsid w:val="008147F6"/>
    <w:rsid w:val="00835FCA"/>
    <w:rsid w:val="00854818"/>
    <w:rsid w:val="0086120F"/>
    <w:rsid w:val="008A5537"/>
    <w:rsid w:val="008B0D0E"/>
    <w:rsid w:val="008F51DB"/>
    <w:rsid w:val="009034C6"/>
    <w:rsid w:val="00903E11"/>
    <w:rsid w:val="009269D3"/>
    <w:rsid w:val="00953712"/>
    <w:rsid w:val="009A290F"/>
    <w:rsid w:val="00A07DB8"/>
    <w:rsid w:val="00A26B48"/>
    <w:rsid w:val="00AE7EC4"/>
    <w:rsid w:val="00B47421"/>
    <w:rsid w:val="00B5420C"/>
    <w:rsid w:val="00B60FCA"/>
    <w:rsid w:val="00B64374"/>
    <w:rsid w:val="00B72119"/>
    <w:rsid w:val="00B7263B"/>
    <w:rsid w:val="00B8375C"/>
    <w:rsid w:val="00BA4971"/>
    <w:rsid w:val="00BE6A46"/>
    <w:rsid w:val="00C069D5"/>
    <w:rsid w:val="00C97C9F"/>
    <w:rsid w:val="00CD59BB"/>
    <w:rsid w:val="00CD68E7"/>
    <w:rsid w:val="00D330BE"/>
    <w:rsid w:val="00D43222"/>
    <w:rsid w:val="00D44CC7"/>
    <w:rsid w:val="00D93522"/>
    <w:rsid w:val="00D94CD7"/>
    <w:rsid w:val="00D952E0"/>
    <w:rsid w:val="00DA06FA"/>
    <w:rsid w:val="00DC0A29"/>
    <w:rsid w:val="00DD693E"/>
    <w:rsid w:val="00DE7A26"/>
    <w:rsid w:val="00DF0A70"/>
    <w:rsid w:val="00DF5F07"/>
    <w:rsid w:val="00E050F9"/>
    <w:rsid w:val="00E13F52"/>
    <w:rsid w:val="00E4243C"/>
    <w:rsid w:val="00E654E3"/>
    <w:rsid w:val="00E71720"/>
    <w:rsid w:val="00ED59D0"/>
    <w:rsid w:val="00F1195A"/>
    <w:rsid w:val="00F14C6A"/>
    <w:rsid w:val="00F25686"/>
    <w:rsid w:val="00F35EB7"/>
    <w:rsid w:val="00F411ED"/>
    <w:rsid w:val="00F87B31"/>
    <w:rsid w:val="00FA40B8"/>
    <w:rsid w:val="00FD6B4E"/>
    <w:rsid w:val="00FF0C9B"/>
    <w:rsid w:val="00FF35AF"/>
    <w:rsid w:val="00FF587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Calibri"/>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EEA"/>
    <w:pPr>
      <w:spacing w:after="160" w:line="259" w:lineRule="auto"/>
    </w:pPr>
    <w:rPr>
      <w:rFonts w:cs="Times New Roman"/>
      <w:sz w:val="28"/>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42">
    <w:name w:val="st42"/>
    <w:uiPriority w:val="99"/>
    <w:rsid w:val="00016EEA"/>
    <w:rPr>
      <w:rFonts w:ascii="Times New Roman" w:hAnsi="Times New Roman"/>
      <w:color w:val="000000"/>
      <w:sz w:val="28"/>
    </w:rPr>
  </w:style>
  <w:style w:type="paragraph" w:styleId="NoSpacing">
    <w:name w:val="No Spacing"/>
    <w:uiPriority w:val="99"/>
    <w:qFormat/>
    <w:rsid w:val="00016EEA"/>
    <w:rPr>
      <w:rFonts w:cs="Times New Roman"/>
      <w:sz w:val="28"/>
      <w:lang w:val="uk-UA"/>
    </w:rPr>
  </w:style>
  <w:style w:type="paragraph" w:customStyle="1" w:styleId="StyleZakonu">
    <w:name w:val="StyleZakonu"/>
    <w:basedOn w:val="Normal"/>
    <w:uiPriority w:val="99"/>
    <w:rsid w:val="007E77C5"/>
    <w:pPr>
      <w:spacing w:after="60" w:line="220" w:lineRule="exact"/>
      <w:ind w:firstLine="284"/>
      <w:jc w:val="both"/>
    </w:pPr>
    <w:rPr>
      <w:rFonts w:eastAsia="Times New Roman"/>
      <w:sz w:val="20"/>
      <w:szCs w:val="20"/>
      <w:lang w:eastAsia="ru-RU"/>
    </w:rPr>
  </w:style>
  <w:style w:type="character" w:customStyle="1" w:styleId="st96">
    <w:name w:val="st96"/>
    <w:uiPriority w:val="99"/>
    <w:rsid w:val="00953712"/>
    <w:rPr>
      <w:rFonts w:ascii="Times New Roman" w:hAnsi="Times New Roman"/>
      <w:color w:val="0000FF"/>
    </w:rPr>
  </w:style>
  <w:style w:type="character" w:styleId="CommentReference">
    <w:name w:val="annotation reference"/>
    <w:basedOn w:val="DefaultParagraphFont"/>
    <w:uiPriority w:val="99"/>
    <w:semiHidden/>
    <w:rsid w:val="00D94CD7"/>
    <w:rPr>
      <w:rFonts w:cs="Times New Roman"/>
      <w:sz w:val="16"/>
      <w:szCs w:val="16"/>
    </w:rPr>
  </w:style>
  <w:style w:type="paragraph" w:styleId="CommentText">
    <w:name w:val="annotation text"/>
    <w:basedOn w:val="Normal"/>
    <w:link w:val="CommentTextChar"/>
    <w:uiPriority w:val="99"/>
    <w:semiHidden/>
    <w:rsid w:val="00D94CD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94CD7"/>
    <w:rPr>
      <w:rFonts w:cs="Times New Roman"/>
      <w:sz w:val="20"/>
      <w:szCs w:val="20"/>
    </w:rPr>
  </w:style>
  <w:style w:type="paragraph" w:styleId="CommentSubject">
    <w:name w:val="annotation subject"/>
    <w:basedOn w:val="CommentText"/>
    <w:next w:val="CommentText"/>
    <w:link w:val="CommentSubjectChar"/>
    <w:uiPriority w:val="99"/>
    <w:semiHidden/>
    <w:rsid w:val="00D94CD7"/>
    <w:rPr>
      <w:b/>
      <w:bCs/>
    </w:rPr>
  </w:style>
  <w:style w:type="character" w:customStyle="1" w:styleId="CommentSubjectChar">
    <w:name w:val="Comment Subject Char"/>
    <w:basedOn w:val="CommentTextChar"/>
    <w:link w:val="CommentSubject"/>
    <w:uiPriority w:val="99"/>
    <w:semiHidden/>
    <w:locked/>
    <w:rsid w:val="00D94CD7"/>
    <w:rPr>
      <w:b/>
      <w:bCs/>
    </w:rPr>
  </w:style>
  <w:style w:type="paragraph" w:styleId="BalloonText">
    <w:name w:val="Balloon Text"/>
    <w:basedOn w:val="Normal"/>
    <w:link w:val="BalloonTextChar"/>
    <w:uiPriority w:val="99"/>
    <w:semiHidden/>
    <w:rsid w:val="00D94C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94CD7"/>
    <w:rPr>
      <w:rFonts w:ascii="Segoe UI" w:hAnsi="Segoe UI" w:cs="Segoe UI"/>
      <w:sz w:val="18"/>
      <w:szCs w:val="18"/>
    </w:rPr>
  </w:style>
  <w:style w:type="paragraph" w:customStyle="1" w:styleId="ParagraphStyle">
    <w:name w:val="Paragraph Style"/>
    <w:uiPriority w:val="99"/>
    <w:rsid w:val="00311479"/>
    <w:pPr>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311479"/>
    <w:rPr>
      <w:color w:val="000000"/>
      <w:sz w:val="36"/>
    </w:rPr>
  </w:style>
  <w:style w:type="paragraph" w:styleId="Header">
    <w:name w:val="header"/>
    <w:basedOn w:val="Normal"/>
    <w:link w:val="HeaderChar"/>
    <w:uiPriority w:val="99"/>
    <w:rsid w:val="00311479"/>
    <w:pPr>
      <w:tabs>
        <w:tab w:val="center" w:pos="4819"/>
        <w:tab w:val="right" w:pos="9639"/>
      </w:tabs>
      <w:spacing w:after="0" w:line="240" w:lineRule="auto"/>
    </w:pPr>
  </w:style>
  <w:style w:type="character" w:customStyle="1" w:styleId="HeaderChar">
    <w:name w:val="Header Char"/>
    <w:basedOn w:val="DefaultParagraphFont"/>
    <w:link w:val="Header"/>
    <w:uiPriority w:val="99"/>
    <w:locked/>
    <w:rsid w:val="00311479"/>
    <w:rPr>
      <w:rFonts w:cs="Times New Roman"/>
    </w:rPr>
  </w:style>
  <w:style w:type="paragraph" w:styleId="Footer">
    <w:name w:val="footer"/>
    <w:basedOn w:val="Normal"/>
    <w:link w:val="FooterChar"/>
    <w:uiPriority w:val="99"/>
    <w:rsid w:val="00311479"/>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311479"/>
    <w:rPr>
      <w:rFonts w:cs="Times New Roman"/>
    </w:rPr>
  </w:style>
  <w:style w:type="paragraph" w:styleId="HTMLPreformatted">
    <w:name w:val="HTML Preformatted"/>
    <w:basedOn w:val="Normal"/>
    <w:link w:val="HTMLPreformattedChar"/>
    <w:uiPriority w:val="99"/>
    <w:rsid w:val="00FA40B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locked/>
    <w:rsid w:val="00FA40B8"/>
    <w:rPr>
      <w:rFonts w:ascii="Consolas" w:hAnsi="Consolas" w:cs="Times New Roman"/>
      <w:sz w:val="20"/>
      <w:szCs w:val="20"/>
    </w:rPr>
  </w:style>
  <w:style w:type="paragraph" w:styleId="ListParagraph">
    <w:name w:val="List Paragraph"/>
    <w:basedOn w:val="Normal"/>
    <w:uiPriority w:val="99"/>
    <w:qFormat/>
    <w:rsid w:val="00F25686"/>
    <w:pPr>
      <w:ind w:left="720"/>
      <w:contextualSpacing/>
    </w:pPr>
  </w:style>
  <w:style w:type="character" w:customStyle="1" w:styleId="rvts0">
    <w:name w:val="rvts0"/>
    <w:basedOn w:val="DefaultParagraphFont"/>
    <w:uiPriority w:val="99"/>
    <w:rsid w:val="00AE7EC4"/>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17</Pages>
  <Words>6471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OSCE</cp:lastModifiedBy>
  <cp:revision>9</cp:revision>
  <cp:lastPrinted>2018-10-17T07:34:00Z</cp:lastPrinted>
  <dcterms:created xsi:type="dcterms:W3CDTF">2018-10-17T07:37:00Z</dcterms:created>
  <dcterms:modified xsi:type="dcterms:W3CDTF">2018-10-17T09:16:00Z</dcterms:modified>
</cp:coreProperties>
</file>