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7A4D" w:rsidRPr="00E119FB" w:rsidRDefault="00F87A4D" w:rsidP="008F156B">
      <w:pPr>
        <w:spacing w:after="0" w:line="240" w:lineRule="auto"/>
        <w:jc w:val="center"/>
        <w:rPr>
          <w:rFonts w:ascii="Times New Roman" w:hAnsi="Times New Roman"/>
          <w:b/>
          <w:bCs/>
          <w:sz w:val="28"/>
          <w:szCs w:val="28"/>
          <w:lang w:val="uk-UA"/>
        </w:rPr>
      </w:pPr>
      <w:r w:rsidRPr="00E119FB">
        <w:rPr>
          <w:rFonts w:ascii="Times New Roman" w:hAnsi="Times New Roman"/>
          <w:b/>
          <w:bCs/>
          <w:sz w:val="28"/>
          <w:szCs w:val="28"/>
          <w:lang w:val="uk-UA"/>
        </w:rPr>
        <w:t>ПОРІВНЯЛЬНА ТАБЛИЦЯ</w:t>
      </w:r>
    </w:p>
    <w:p w:rsidR="00F87A4D" w:rsidRPr="00482F55" w:rsidRDefault="00F87A4D" w:rsidP="00DF1C36">
      <w:pPr>
        <w:spacing w:after="0" w:line="240" w:lineRule="auto"/>
        <w:jc w:val="center"/>
        <w:rPr>
          <w:rFonts w:ascii="Times New Roman" w:hAnsi="Times New Roman"/>
          <w:sz w:val="28"/>
          <w:szCs w:val="28"/>
          <w:lang w:val="uk-UA" w:eastAsia="uk-UA"/>
        </w:rPr>
      </w:pPr>
      <w:r w:rsidRPr="00E119FB">
        <w:rPr>
          <w:rFonts w:ascii="Times New Roman" w:hAnsi="Times New Roman"/>
          <w:b/>
          <w:bCs/>
          <w:color w:val="000000"/>
          <w:sz w:val="28"/>
          <w:szCs w:val="28"/>
          <w:lang w:val="uk-UA" w:eastAsia="ru-RU"/>
        </w:rPr>
        <w:t xml:space="preserve">до проекту Закону України </w:t>
      </w:r>
      <w:r w:rsidRPr="00E119FB">
        <w:rPr>
          <w:rFonts w:ascii="Times New Roman" w:hAnsi="Times New Roman"/>
          <w:b/>
          <w:sz w:val="28"/>
          <w:szCs w:val="28"/>
          <w:lang w:val="uk-UA" w:eastAsia="uk-UA"/>
        </w:rPr>
        <w:t xml:space="preserve"> </w:t>
      </w:r>
      <w:r w:rsidRPr="00482F55">
        <w:rPr>
          <w:rFonts w:ascii="Times New Roman" w:hAnsi="Times New Roman"/>
          <w:sz w:val="28"/>
          <w:szCs w:val="28"/>
          <w:lang w:val="uk-UA" w:eastAsia="uk-UA"/>
        </w:rPr>
        <w:t>«Про внесення зміни до</w:t>
      </w:r>
      <w:r w:rsidRPr="00482F55">
        <w:rPr>
          <w:rFonts w:ascii="Times New Roman" w:hAnsi="Times New Roman"/>
          <w:sz w:val="28"/>
          <w:szCs w:val="28"/>
          <w:lang w:eastAsia="uk-UA"/>
        </w:rPr>
        <w:t xml:space="preserve"> пункту 33,</w:t>
      </w:r>
      <w:r w:rsidRPr="00482F55">
        <w:rPr>
          <w:rFonts w:ascii="Times New Roman" w:hAnsi="Times New Roman"/>
          <w:sz w:val="28"/>
          <w:szCs w:val="28"/>
          <w:lang w:val="uk-UA" w:eastAsia="uk-UA"/>
        </w:rPr>
        <w:t xml:space="preserve"> розділу VI «Прикінцеві та перехідні положення» Бюджетного кодексу»</w:t>
      </w:r>
    </w:p>
    <w:p w:rsidR="00F87A4D" w:rsidRPr="00CD610F" w:rsidRDefault="00F87A4D" w:rsidP="008F156B">
      <w:pPr>
        <w:spacing w:after="0" w:line="240" w:lineRule="auto"/>
        <w:jc w:val="center"/>
        <w:rPr>
          <w:rFonts w:ascii="Times New Roman" w:hAnsi="Times New Roman"/>
          <w:b/>
          <w:sz w:val="28"/>
          <w:szCs w:val="28"/>
          <w:lang w:val="uk-UA" w:eastAsia="uk-UA"/>
        </w:rPr>
      </w:pPr>
    </w:p>
    <w:p w:rsidR="00F87A4D" w:rsidRPr="008344DF" w:rsidRDefault="00F87A4D" w:rsidP="008F156B">
      <w:pPr>
        <w:spacing w:after="0" w:line="240" w:lineRule="auto"/>
        <w:jc w:val="center"/>
        <w:rPr>
          <w:rFonts w:ascii="Times New Roman" w:hAnsi="Times New Roman"/>
          <w:b/>
          <w:bCs/>
          <w:sz w:val="24"/>
          <w:szCs w:val="24"/>
          <w:lang w:val="uk-UA"/>
        </w:rPr>
      </w:pPr>
    </w:p>
    <w:tbl>
      <w:tblPr>
        <w:tblW w:w="14312"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7088"/>
        <w:gridCol w:w="68"/>
        <w:gridCol w:w="7156"/>
      </w:tblGrid>
      <w:tr w:rsidR="00F87A4D" w:rsidRPr="009A4E47" w:rsidTr="007F0649">
        <w:trPr>
          <w:trHeight w:val="315"/>
        </w:trPr>
        <w:tc>
          <w:tcPr>
            <w:tcW w:w="7088" w:type="dxa"/>
            <w:tcMar>
              <w:top w:w="30" w:type="dxa"/>
              <w:left w:w="45" w:type="dxa"/>
              <w:bottom w:w="30" w:type="dxa"/>
              <w:right w:w="45" w:type="dxa"/>
            </w:tcMar>
          </w:tcPr>
          <w:p w:rsidR="00F87A4D" w:rsidRPr="008344DF" w:rsidRDefault="00F87A4D" w:rsidP="007F0649">
            <w:pPr>
              <w:spacing w:after="0" w:line="240" w:lineRule="auto"/>
              <w:jc w:val="center"/>
              <w:rPr>
                <w:rFonts w:ascii="Times New Roman" w:hAnsi="Times New Roman"/>
                <w:b/>
                <w:bCs/>
                <w:sz w:val="28"/>
                <w:szCs w:val="28"/>
                <w:lang w:val="uk-UA" w:eastAsia="ru-RU"/>
              </w:rPr>
            </w:pPr>
            <w:r w:rsidRPr="008344DF">
              <w:rPr>
                <w:rFonts w:ascii="Times New Roman" w:hAnsi="Times New Roman"/>
                <w:b/>
                <w:color w:val="000000"/>
                <w:sz w:val="28"/>
                <w:szCs w:val="28"/>
                <w:lang w:val="uk-UA"/>
              </w:rPr>
              <w:t>Зміст положення (норми) чинного законодавства</w:t>
            </w:r>
          </w:p>
        </w:tc>
        <w:tc>
          <w:tcPr>
            <w:tcW w:w="7224" w:type="dxa"/>
            <w:gridSpan w:val="2"/>
            <w:tcMar>
              <w:top w:w="30" w:type="dxa"/>
              <w:left w:w="45" w:type="dxa"/>
              <w:bottom w:w="30" w:type="dxa"/>
              <w:right w:w="45" w:type="dxa"/>
            </w:tcMar>
          </w:tcPr>
          <w:p w:rsidR="00F87A4D" w:rsidRPr="008344DF" w:rsidRDefault="00F87A4D" w:rsidP="007F0649">
            <w:pPr>
              <w:spacing w:after="0" w:line="240" w:lineRule="auto"/>
              <w:jc w:val="center"/>
              <w:rPr>
                <w:rFonts w:ascii="Times New Roman" w:hAnsi="Times New Roman"/>
                <w:b/>
                <w:bCs/>
                <w:sz w:val="28"/>
                <w:szCs w:val="28"/>
                <w:lang w:val="uk-UA" w:eastAsia="ru-RU"/>
              </w:rPr>
            </w:pPr>
            <w:r w:rsidRPr="008344DF">
              <w:rPr>
                <w:rFonts w:ascii="Times New Roman" w:hAnsi="Times New Roman"/>
                <w:b/>
                <w:sz w:val="28"/>
                <w:szCs w:val="28"/>
                <w:lang w:val="uk-UA"/>
              </w:rPr>
              <w:t>Зміст відповідного положення (норми) проекту акта</w:t>
            </w:r>
          </w:p>
        </w:tc>
      </w:tr>
      <w:tr w:rsidR="00F87A4D" w:rsidRPr="009A4E47" w:rsidTr="007F0649">
        <w:trPr>
          <w:trHeight w:val="315"/>
        </w:trPr>
        <w:tc>
          <w:tcPr>
            <w:tcW w:w="14312" w:type="dxa"/>
            <w:gridSpan w:val="3"/>
            <w:tcMar>
              <w:top w:w="30" w:type="dxa"/>
              <w:left w:w="45" w:type="dxa"/>
              <w:bottom w:w="30" w:type="dxa"/>
              <w:right w:w="45" w:type="dxa"/>
            </w:tcMar>
          </w:tcPr>
          <w:p w:rsidR="00F87A4D" w:rsidRPr="008344DF" w:rsidRDefault="00F87A4D" w:rsidP="007F0649">
            <w:pPr>
              <w:spacing w:after="0" w:line="240" w:lineRule="auto"/>
              <w:jc w:val="center"/>
              <w:rPr>
                <w:rFonts w:ascii="Times New Roman" w:hAnsi="Times New Roman"/>
                <w:b/>
                <w:bCs/>
                <w:sz w:val="28"/>
                <w:szCs w:val="28"/>
                <w:lang w:val="uk-UA" w:eastAsia="ru-RU"/>
              </w:rPr>
            </w:pPr>
          </w:p>
          <w:p w:rsidR="00F87A4D" w:rsidRDefault="00F87A4D" w:rsidP="007F0649">
            <w:pPr>
              <w:spacing w:after="0" w:line="240" w:lineRule="auto"/>
              <w:jc w:val="center"/>
              <w:rPr>
                <w:rFonts w:ascii="Times New Roman" w:hAnsi="Times New Roman"/>
                <w:b/>
                <w:sz w:val="28"/>
                <w:szCs w:val="28"/>
                <w:lang w:val="uk-UA" w:eastAsia="uk-UA"/>
              </w:rPr>
            </w:pPr>
            <w:r w:rsidRPr="00CD610F">
              <w:rPr>
                <w:rFonts w:ascii="Times New Roman" w:hAnsi="Times New Roman"/>
                <w:b/>
                <w:sz w:val="28"/>
                <w:szCs w:val="28"/>
                <w:lang w:val="uk-UA" w:eastAsia="uk-UA"/>
              </w:rPr>
              <w:t>Бюджетн</w:t>
            </w:r>
            <w:r>
              <w:rPr>
                <w:rFonts w:ascii="Times New Roman" w:hAnsi="Times New Roman"/>
                <w:b/>
                <w:sz w:val="28"/>
                <w:szCs w:val="28"/>
                <w:lang w:val="uk-UA" w:eastAsia="uk-UA"/>
              </w:rPr>
              <w:t>ий</w:t>
            </w:r>
            <w:r w:rsidRPr="00CD610F">
              <w:rPr>
                <w:rFonts w:ascii="Times New Roman" w:hAnsi="Times New Roman"/>
                <w:b/>
                <w:sz w:val="28"/>
                <w:szCs w:val="28"/>
                <w:lang w:val="uk-UA" w:eastAsia="uk-UA"/>
              </w:rPr>
              <w:t xml:space="preserve"> кодекс України</w:t>
            </w:r>
          </w:p>
          <w:p w:rsidR="00F87A4D" w:rsidRPr="008344DF" w:rsidRDefault="00F87A4D" w:rsidP="007F0649">
            <w:pPr>
              <w:spacing w:after="0" w:line="240" w:lineRule="auto"/>
              <w:jc w:val="center"/>
              <w:rPr>
                <w:rFonts w:ascii="Times New Roman" w:hAnsi="Times New Roman"/>
                <w:b/>
                <w:bCs/>
                <w:sz w:val="28"/>
                <w:szCs w:val="28"/>
                <w:lang w:val="uk-UA" w:eastAsia="ru-RU"/>
              </w:rPr>
            </w:pPr>
          </w:p>
        </w:tc>
      </w:tr>
      <w:tr w:rsidR="00F87A4D" w:rsidRPr="009A4E47" w:rsidTr="007F0649">
        <w:trPr>
          <w:trHeight w:val="315"/>
        </w:trPr>
        <w:tc>
          <w:tcPr>
            <w:tcW w:w="7156" w:type="dxa"/>
            <w:gridSpan w:val="2"/>
            <w:tcMar>
              <w:top w:w="30" w:type="dxa"/>
              <w:left w:w="45" w:type="dxa"/>
              <w:bottom w:w="30" w:type="dxa"/>
              <w:right w:w="45" w:type="dxa"/>
            </w:tcMar>
            <w:vAlign w:val="bottom"/>
          </w:tcPr>
          <w:p w:rsidR="00F87A4D" w:rsidRPr="009A4E47" w:rsidRDefault="00F87A4D" w:rsidP="007F0649">
            <w:pPr>
              <w:pStyle w:val="HTMLPreformatted"/>
              <w:shd w:val="clear" w:color="auto" w:fill="FFFFFF"/>
              <w:rPr>
                <w:rStyle w:val="rvts15"/>
                <w:rFonts w:ascii="Times New Roman" w:hAnsi="Times New Roman"/>
                <w:b/>
                <w:bCs/>
                <w:color w:val="000000"/>
                <w:sz w:val="28"/>
                <w:szCs w:val="28"/>
                <w:bdr w:val="none" w:sz="0" w:space="0" w:color="auto" w:frame="1"/>
                <w:shd w:val="clear" w:color="auto" w:fill="FFFFFF"/>
                <w:lang w:val="uk-UA"/>
              </w:rPr>
            </w:pPr>
            <w:bookmarkStart w:id="0" w:name="o106"/>
            <w:bookmarkStart w:id="1" w:name="o108"/>
            <w:bookmarkStart w:id="2" w:name="o112"/>
            <w:bookmarkStart w:id="3" w:name="o116"/>
            <w:bookmarkStart w:id="4" w:name="o118"/>
            <w:bookmarkEnd w:id="0"/>
            <w:bookmarkEnd w:id="1"/>
            <w:bookmarkEnd w:id="2"/>
            <w:bookmarkEnd w:id="3"/>
            <w:bookmarkEnd w:id="4"/>
            <w:r w:rsidRPr="009A4E47">
              <w:rPr>
                <w:rStyle w:val="rvts15"/>
                <w:rFonts w:ascii="Times New Roman" w:hAnsi="Times New Roman"/>
                <w:b/>
                <w:bCs/>
                <w:color w:val="000000"/>
                <w:sz w:val="28"/>
                <w:szCs w:val="28"/>
                <w:bdr w:val="none" w:sz="0" w:space="0" w:color="auto" w:frame="1"/>
                <w:shd w:val="clear" w:color="auto" w:fill="FFFFFF"/>
                <w:lang w:val="uk-UA"/>
              </w:rPr>
              <w:t xml:space="preserve">Розділ VI. ПРИКІНЦЕВІ ТА ПЕРЕХІДНІ  </w:t>
            </w:r>
          </w:p>
          <w:p w:rsidR="00F87A4D" w:rsidRPr="00A543DD" w:rsidRDefault="00F87A4D" w:rsidP="007F0649">
            <w:pPr>
              <w:pStyle w:val="HTMLPreformatted"/>
              <w:shd w:val="clear" w:color="auto" w:fill="FFFFFF"/>
              <w:rPr>
                <w:rFonts w:ascii="Times New Roman" w:hAnsi="Times New Roman"/>
                <w:b/>
                <w:bCs/>
                <w:color w:val="000000"/>
                <w:sz w:val="28"/>
                <w:szCs w:val="28"/>
                <w:bdr w:val="none" w:sz="0" w:space="0" w:color="auto" w:frame="1"/>
                <w:lang w:val="uk-UA" w:eastAsia="uk-UA"/>
              </w:rPr>
            </w:pPr>
            <w:r w:rsidRPr="009A4E47">
              <w:rPr>
                <w:rStyle w:val="rvts15"/>
                <w:rFonts w:ascii="Times New Roman" w:hAnsi="Times New Roman"/>
                <w:b/>
                <w:bCs/>
                <w:color w:val="000000"/>
                <w:sz w:val="28"/>
                <w:szCs w:val="28"/>
                <w:bdr w:val="none" w:sz="0" w:space="0" w:color="auto" w:frame="1"/>
                <w:shd w:val="clear" w:color="auto" w:fill="FFFFFF"/>
                <w:lang w:val="uk-UA"/>
              </w:rPr>
              <w:t xml:space="preserve">                   ПОЛОЖЕННЯ</w:t>
            </w:r>
          </w:p>
          <w:p w:rsidR="00F87A4D" w:rsidRPr="00A543DD" w:rsidRDefault="00F87A4D" w:rsidP="007F0649">
            <w:pPr>
              <w:pStyle w:val="HTMLPreformatted"/>
              <w:shd w:val="clear" w:color="auto" w:fill="FFFFFF"/>
              <w:ind w:firstLine="616"/>
              <w:rPr>
                <w:rFonts w:ascii="Times New Roman" w:hAnsi="Times New Roman"/>
                <w:b/>
                <w:bCs/>
                <w:color w:val="000000"/>
                <w:sz w:val="28"/>
                <w:szCs w:val="28"/>
                <w:bdr w:val="none" w:sz="0" w:space="0" w:color="auto" w:frame="1"/>
                <w:lang w:val="uk-UA" w:eastAsia="uk-UA"/>
              </w:rPr>
            </w:pPr>
            <w:r w:rsidRPr="00A543DD">
              <w:rPr>
                <w:rFonts w:ascii="Times New Roman" w:hAnsi="Times New Roman"/>
                <w:b/>
                <w:bCs/>
                <w:color w:val="000000"/>
                <w:sz w:val="28"/>
                <w:szCs w:val="28"/>
                <w:bdr w:val="none" w:sz="0" w:space="0" w:color="auto" w:frame="1"/>
                <w:lang w:val="uk-UA" w:eastAsia="uk-UA"/>
              </w:rPr>
              <w:t>…</w:t>
            </w:r>
          </w:p>
          <w:p w:rsidR="00F87A4D" w:rsidRPr="00A543DD" w:rsidRDefault="00F87A4D" w:rsidP="007F0649">
            <w:pPr>
              <w:pStyle w:val="rvps2"/>
              <w:shd w:val="clear" w:color="auto" w:fill="FFFFFF"/>
              <w:spacing w:before="0" w:beforeAutospacing="0" w:after="0" w:afterAutospacing="0"/>
              <w:ind w:firstLine="450"/>
              <w:jc w:val="both"/>
              <w:textAlignment w:val="baseline"/>
              <w:rPr>
                <w:color w:val="000000"/>
                <w:sz w:val="28"/>
                <w:szCs w:val="28"/>
                <w:lang w:val="uk-UA"/>
              </w:rPr>
            </w:pPr>
            <w:r w:rsidRPr="00A543DD">
              <w:rPr>
                <w:color w:val="000000"/>
                <w:sz w:val="28"/>
                <w:szCs w:val="28"/>
                <w:lang w:val="uk-UA"/>
              </w:rPr>
              <w:t>33. Установити, що з 1 вересня 2015 року до 1 січня 2019 року запроваджується експеримент з фінансового забезпечення реалізації заходів з розвитку автомобільних доріг загального користування, ділянок вулиць і доріг міст та інших населених пунктів, що суміщаються з автомобільними дорогами загального користування, у всіх областях та місті Києві, а також реалізації заходів з розвитку дорожньої інфраструктури у місті Києві.</w:t>
            </w:r>
          </w:p>
          <w:p w:rsidR="00F87A4D" w:rsidRPr="00A543DD" w:rsidRDefault="00F87A4D" w:rsidP="007F0649">
            <w:pPr>
              <w:pStyle w:val="rvps2"/>
              <w:shd w:val="clear" w:color="auto" w:fill="FFFFFF"/>
              <w:spacing w:before="0" w:beforeAutospacing="0" w:after="0" w:afterAutospacing="0"/>
              <w:ind w:firstLine="450"/>
              <w:jc w:val="both"/>
              <w:textAlignment w:val="baseline"/>
              <w:rPr>
                <w:color w:val="000000"/>
                <w:sz w:val="28"/>
                <w:szCs w:val="28"/>
                <w:lang w:val="uk-UA"/>
              </w:rPr>
            </w:pPr>
            <w:bookmarkStart w:id="5" w:name="n2981"/>
            <w:bookmarkStart w:id="6" w:name="n2741"/>
            <w:bookmarkEnd w:id="5"/>
            <w:bookmarkEnd w:id="6"/>
            <w:r w:rsidRPr="00A543DD">
              <w:rPr>
                <w:color w:val="000000"/>
                <w:sz w:val="28"/>
                <w:szCs w:val="28"/>
                <w:lang w:val="uk-UA"/>
              </w:rPr>
              <w:t>Перелік об’єктів, щодо яких здійснюється реалізація зазначених заходів згідно з експериментом, затверджується відповідною обласною, Київською міською державними адміністраціями за погодженням з центральним органом виконавчої влади, що реалізує державну політику у сфері дорожнього господарства, та з подальшим погодженням з Комітетом Верховної Ради України з питань бюджету.</w:t>
            </w:r>
          </w:p>
          <w:p w:rsidR="00F87A4D" w:rsidRPr="00A543DD" w:rsidRDefault="00F87A4D" w:rsidP="007F0649">
            <w:pPr>
              <w:pStyle w:val="rvps2"/>
              <w:shd w:val="clear" w:color="auto" w:fill="FFFFFF"/>
              <w:spacing w:before="0" w:beforeAutospacing="0" w:after="0" w:afterAutospacing="0"/>
              <w:ind w:firstLine="450"/>
              <w:jc w:val="both"/>
              <w:textAlignment w:val="baseline"/>
              <w:rPr>
                <w:color w:val="000000"/>
                <w:sz w:val="28"/>
                <w:szCs w:val="28"/>
                <w:lang w:val="uk-UA"/>
              </w:rPr>
            </w:pPr>
            <w:bookmarkStart w:id="7" w:name="n2982"/>
            <w:bookmarkStart w:id="8" w:name="n2742"/>
            <w:bookmarkEnd w:id="7"/>
            <w:bookmarkEnd w:id="8"/>
            <w:r w:rsidRPr="00A543DD">
              <w:rPr>
                <w:color w:val="000000"/>
                <w:sz w:val="28"/>
                <w:szCs w:val="28"/>
                <w:lang w:val="uk-UA"/>
              </w:rPr>
              <w:t>На період проведення експерименту для реалізації зазначених заходів у разі перевиконання загального обсягу щомісячних показників надходжень митних платежів (мито, акцизний податок з ввезених на митну територію України підакцизних товарів (продукції), податок на додану вартість з ввезених на митну територію України товарів (продукції)), визначених у розписі державного бюджету за загальним фондом, 50 відсотків такого перевиконання, як виняток з положень </w:t>
            </w:r>
            <w:hyperlink r:id="rId4" w:anchor="n573" w:history="1">
              <w:r w:rsidRPr="00A543DD">
                <w:rPr>
                  <w:rStyle w:val="Hyperlink"/>
                  <w:color w:val="000000"/>
                  <w:sz w:val="28"/>
                  <w:szCs w:val="28"/>
                  <w:u w:val="none"/>
                  <w:bdr w:val="none" w:sz="0" w:space="0" w:color="auto" w:frame="1"/>
                  <w:lang w:val="uk-UA"/>
                </w:rPr>
                <w:t>частини другої</w:t>
              </w:r>
            </w:hyperlink>
            <w:r w:rsidRPr="00A543DD">
              <w:rPr>
                <w:color w:val="000000"/>
                <w:sz w:val="28"/>
                <w:szCs w:val="28"/>
                <w:lang w:val="uk-UA"/>
              </w:rPr>
              <w:t> статті 29, </w:t>
            </w:r>
            <w:hyperlink r:id="rId5" w:anchor="n2290" w:history="1">
              <w:r w:rsidRPr="00A543DD">
                <w:rPr>
                  <w:rStyle w:val="Hyperlink"/>
                  <w:color w:val="000000"/>
                  <w:sz w:val="28"/>
                  <w:szCs w:val="28"/>
                  <w:u w:val="none"/>
                  <w:bdr w:val="none" w:sz="0" w:space="0" w:color="auto" w:frame="1"/>
                  <w:lang w:val="uk-UA"/>
                </w:rPr>
                <w:t>статті 69</w:t>
              </w:r>
            </w:hyperlink>
            <w:hyperlink r:id="rId6" w:anchor="n2290" w:history="1">
              <w:r w:rsidRPr="00A543DD">
                <w:rPr>
                  <w:rStyle w:val="Hyperlink"/>
                  <w:b/>
                  <w:bCs/>
                  <w:color w:val="000000"/>
                  <w:sz w:val="28"/>
                  <w:szCs w:val="28"/>
                  <w:u w:val="none"/>
                  <w:bdr w:val="none" w:sz="0" w:space="0" w:color="auto" w:frame="1"/>
                  <w:lang w:val="uk-UA"/>
                </w:rPr>
                <w:t>-</w:t>
              </w:r>
              <w:r w:rsidRPr="00A543DD">
                <w:rPr>
                  <w:rStyle w:val="Hyperlink"/>
                  <w:b/>
                  <w:bCs/>
                  <w:color w:val="000000"/>
                  <w:sz w:val="28"/>
                  <w:szCs w:val="28"/>
                  <w:u w:val="none"/>
                  <w:bdr w:val="none" w:sz="0" w:space="0" w:color="auto" w:frame="1"/>
                  <w:vertAlign w:val="superscript"/>
                  <w:lang w:val="uk-UA"/>
                </w:rPr>
                <w:t>1</w:t>
              </w:r>
            </w:hyperlink>
            <w:r w:rsidRPr="00A543DD">
              <w:rPr>
                <w:color w:val="000000"/>
                <w:sz w:val="28"/>
                <w:szCs w:val="28"/>
                <w:lang w:val="uk-UA"/>
              </w:rPr>
              <w:t>, </w:t>
            </w:r>
            <w:hyperlink r:id="rId7" w:anchor="n1312" w:history="1">
              <w:r w:rsidRPr="00A543DD">
                <w:rPr>
                  <w:rStyle w:val="Hyperlink"/>
                  <w:color w:val="000000"/>
                  <w:sz w:val="28"/>
                  <w:szCs w:val="28"/>
                  <w:u w:val="none"/>
                  <w:bdr w:val="none" w:sz="0" w:space="0" w:color="auto" w:frame="1"/>
                  <w:lang w:val="uk-UA"/>
                </w:rPr>
                <w:t>частини другої</w:t>
              </w:r>
            </w:hyperlink>
            <w:r w:rsidRPr="00A543DD">
              <w:rPr>
                <w:color w:val="000000"/>
                <w:sz w:val="28"/>
                <w:szCs w:val="28"/>
                <w:lang w:val="uk-UA"/>
              </w:rPr>
              <w:t> статті 85, </w:t>
            </w:r>
            <w:hyperlink r:id="rId8" w:anchor="n1329" w:history="1">
              <w:r w:rsidRPr="00A543DD">
                <w:rPr>
                  <w:rStyle w:val="Hyperlink"/>
                  <w:color w:val="000000"/>
                  <w:sz w:val="28"/>
                  <w:szCs w:val="28"/>
                  <w:u w:val="none"/>
                  <w:bdr w:val="none" w:sz="0" w:space="0" w:color="auto" w:frame="1"/>
                  <w:lang w:val="uk-UA"/>
                </w:rPr>
                <w:t>статей 87</w:t>
              </w:r>
            </w:hyperlink>
            <w:r w:rsidRPr="00A543DD">
              <w:rPr>
                <w:color w:val="000000"/>
                <w:sz w:val="28"/>
                <w:szCs w:val="28"/>
                <w:lang w:val="uk-UA"/>
              </w:rPr>
              <w:t> і </w:t>
            </w:r>
            <w:hyperlink r:id="rId9" w:anchor="n1456" w:history="1">
              <w:r w:rsidRPr="00A543DD">
                <w:rPr>
                  <w:rStyle w:val="Hyperlink"/>
                  <w:color w:val="000000"/>
                  <w:sz w:val="28"/>
                  <w:szCs w:val="28"/>
                  <w:u w:val="none"/>
                  <w:bdr w:val="none" w:sz="0" w:space="0" w:color="auto" w:frame="1"/>
                  <w:lang w:val="uk-UA"/>
                </w:rPr>
                <w:t>91</w:t>
              </w:r>
            </w:hyperlink>
            <w:r w:rsidRPr="00A543DD">
              <w:rPr>
                <w:color w:val="000000"/>
                <w:sz w:val="28"/>
                <w:szCs w:val="28"/>
                <w:lang w:val="uk-UA"/>
              </w:rPr>
              <w:t>цього Кодексу, зараховується до спеціальних фондів обласних бюджетів та бюджету міста Києва в обсязі, пропорційному до суми перевиконання на відповідній території загального обсягу щомісячних індикативних показників надходжень митних платежів, що справляються під час митного оформлення товарів на територіях відповідних областей та міста Києва, в порядку, встановленому Кабінетом Міністрів України</w:t>
            </w:r>
            <w:r w:rsidRPr="008F156B">
              <w:rPr>
                <w:i/>
                <w:color w:val="000000"/>
                <w:sz w:val="28"/>
                <w:szCs w:val="28"/>
                <w:lang w:val="uk-UA"/>
              </w:rPr>
              <w:t>. У разі отримання обласними бюджетами та бюджетом міста Києва в цілому по Україні за рахунок експерименту коштів в обсязі менше 1,5 млрд гривень протягом першого кварталу, 3 млрд гривень - першого півріччя, 4,5 млрд гривень - дев’яти місяців та 6 млрд гривень - за 2018 рік (на останній банківський день), здійснюється поквартальна компенсація з державного дорожнього фонду за рахунок коштів, передбачених абзацом другим частини четвертої статті 24</w:t>
            </w:r>
            <w:r w:rsidRPr="008F156B">
              <w:rPr>
                <w:rStyle w:val="rvts37"/>
                <w:bCs/>
                <w:i/>
                <w:color w:val="000000"/>
                <w:sz w:val="28"/>
                <w:szCs w:val="28"/>
                <w:bdr w:val="none" w:sz="0" w:space="0" w:color="auto" w:frame="1"/>
                <w:lang w:val="uk-UA"/>
              </w:rPr>
              <w:t>-</w:t>
            </w:r>
            <w:r w:rsidRPr="008F156B">
              <w:rPr>
                <w:rStyle w:val="rvts37"/>
                <w:bCs/>
                <w:i/>
                <w:color w:val="000000"/>
                <w:sz w:val="28"/>
                <w:szCs w:val="28"/>
                <w:bdr w:val="none" w:sz="0" w:space="0" w:color="auto" w:frame="1"/>
                <w:vertAlign w:val="superscript"/>
                <w:lang w:val="uk-UA"/>
              </w:rPr>
              <w:t>2 </w:t>
            </w:r>
            <w:r w:rsidRPr="008F156B">
              <w:rPr>
                <w:i/>
                <w:color w:val="000000"/>
                <w:sz w:val="28"/>
                <w:szCs w:val="28"/>
                <w:lang w:val="uk-UA"/>
              </w:rPr>
              <w:t>цього Кодексу, з урахуванням сум компенсацій, наданих протягом попередніх кварталів поточного бюджетного періоду (наростаючим підсумком з початку року). Суми компенсації розподіляються пропорційно до суми перевиконання за звітний квартал на відповідній території загального обсягу щомісячних індикативних показників надходжень митних платежів, що справляються під час митного оформлення товарів на територіях</w:t>
            </w:r>
            <w:r w:rsidRPr="00A543DD">
              <w:rPr>
                <w:color w:val="000000"/>
                <w:sz w:val="28"/>
                <w:szCs w:val="28"/>
                <w:lang w:val="uk-UA"/>
              </w:rPr>
              <w:t xml:space="preserve"> </w:t>
            </w:r>
            <w:r w:rsidRPr="008F156B">
              <w:rPr>
                <w:i/>
                <w:color w:val="000000"/>
                <w:sz w:val="28"/>
                <w:szCs w:val="28"/>
                <w:lang w:val="uk-UA"/>
              </w:rPr>
              <w:t>відповідних областей та міста Києва, а у разі відсутності таких перевиконань сума компенсації переноситься на наступний квартал.</w:t>
            </w:r>
          </w:p>
          <w:p w:rsidR="00F87A4D" w:rsidRPr="00A543DD" w:rsidRDefault="00F87A4D" w:rsidP="007F0649">
            <w:pPr>
              <w:pStyle w:val="rvps2"/>
              <w:shd w:val="clear" w:color="auto" w:fill="FFFFFF"/>
              <w:spacing w:before="0" w:beforeAutospacing="0" w:after="0" w:afterAutospacing="0"/>
              <w:ind w:firstLine="450"/>
              <w:jc w:val="both"/>
              <w:textAlignment w:val="baseline"/>
              <w:rPr>
                <w:color w:val="000000"/>
                <w:sz w:val="28"/>
                <w:szCs w:val="28"/>
                <w:lang w:val="uk-UA"/>
              </w:rPr>
            </w:pPr>
            <w:bookmarkStart w:id="9" w:name="n2983"/>
            <w:bookmarkStart w:id="10" w:name="n2844"/>
            <w:bookmarkEnd w:id="9"/>
            <w:bookmarkEnd w:id="10"/>
            <w:r w:rsidRPr="00A543DD">
              <w:rPr>
                <w:color w:val="000000"/>
                <w:sz w:val="28"/>
                <w:szCs w:val="28"/>
                <w:lang w:val="uk-UA"/>
              </w:rPr>
              <w:t>Кабінету Міністрів України:</w:t>
            </w:r>
          </w:p>
          <w:p w:rsidR="00F87A4D" w:rsidRPr="00A543DD" w:rsidRDefault="00F87A4D" w:rsidP="007F0649">
            <w:pPr>
              <w:pStyle w:val="rvps2"/>
              <w:shd w:val="clear" w:color="auto" w:fill="FFFFFF"/>
              <w:spacing w:before="0" w:beforeAutospacing="0" w:after="0" w:afterAutospacing="0"/>
              <w:ind w:firstLine="450"/>
              <w:jc w:val="both"/>
              <w:textAlignment w:val="baseline"/>
              <w:rPr>
                <w:color w:val="000000"/>
                <w:sz w:val="28"/>
                <w:szCs w:val="28"/>
                <w:lang w:val="uk-UA"/>
              </w:rPr>
            </w:pPr>
            <w:bookmarkStart w:id="11" w:name="n2845"/>
            <w:bookmarkEnd w:id="11"/>
            <w:r w:rsidRPr="00A543DD">
              <w:rPr>
                <w:color w:val="000000"/>
                <w:sz w:val="28"/>
                <w:szCs w:val="28"/>
                <w:lang w:val="uk-UA"/>
              </w:rPr>
              <w:t>Затвердити</w:t>
            </w:r>
            <w:r>
              <w:rPr>
                <w:color w:val="000000"/>
                <w:sz w:val="28"/>
                <w:szCs w:val="28"/>
                <w:lang w:val="uk-UA"/>
              </w:rPr>
              <w:t xml:space="preserve"> </w:t>
            </w:r>
            <w:hyperlink r:id="rId10" w:anchor="n31" w:tgtFrame="_blank" w:history="1">
              <w:r w:rsidRPr="00A543DD">
                <w:rPr>
                  <w:rStyle w:val="Hyperlink"/>
                  <w:color w:val="000000"/>
                  <w:sz w:val="28"/>
                  <w:szCs w:val="28"/>
                  <w:u w:val="none"/>
                  <w:bdr w:val="none" w:sz="0" w:space="0" w:color="auto" w:frame="1"/>
                  <w:lang w:val="uk-UA"/>
                </w:rPr>
                <w:t>методику розрахунку</w:t>
              </w:r>
            </w:hyperlink>
            <w:r>
              <w:rPr>
                <w:color w:val="000000"/>
                <w:sz w:val="28"/>
                <w:szCs w:val="28"/>
                <w:lang w:val="uk-UA"/>
              </w:rPr>
              <w:t xml:space="preserve"> </w:t>
            </w:r>
            <w:r w:rsidRPr="00A543DD">
              <w:rPr>
                <w:color w:val="000000"/>
                <w:sz w:val="28"/>
                <w:szCs w:val="28"/>
                <w:lang w:val="uk-UA"/>
              </w:rPr>
              <w:t>щомісячних індикативних показників надходжень митних платежів до загального фонду державного бюджету у територіальному розрізі з урахуванням відповідних надходжень за останній бюджетний період та інших факторів, що впливають на обсяги таких платежів;</w:t>
            </w:r>
          </w:p>
          <w:p w:rsidR="00F87A4D" w:rsidRPr="00A543DD" w:rsidRDefault="00F87A4D" w:rsidP="007F0649">
            <w:pPr>
              <w:pStyle w:val="rvps2"/>
              <w:shd w:val="clear" w:color="auto" w:fill="FFFFFF"/>
              <w:spacing w:before="0" w:beforeAutospacing="0" w:after="0" w:afterAutospacing="0"/>
              <w:ind w:firstLine="450"/>
              <w:jc w:val="both"/>
              <w:textAlignment w:val="baseline"/>
              <w:rPr>
                <w:color w:val="000000"/>
                <w:sz w:val="28"/>
                <w:szCs w:val="28"/>
                <w:lang w:val="uk-UA"/>
              </w:rPr>
            </w:pPr>
            <w:bookmarkStart w:id="12" w:name="n2984"/>
            <w:bookmarkStart w:id="13" w:name="n2846"/>
            <w:bookmarkEnd w:id="12"/>
            <w:bookmarkEnd w:id="13"/>
            <w:r w:rsidRPr="00A543DD">
              <w:rPr>
                <w:color w:val="000000"/>
                <w:sz w:val="28"/>
                <w:szCs w:val="28"/>
                <w:lang w:val="uk-UA"/>
              </w:rPr>
              <w:t>погодити щомісячні індикативні показники надходжень митних платежів до загального фонду державного бюджету з Комітетом Верховної Ради України з питань бюджету;</w:t>
            </w:r>
          </w:p>
          <w:p w:rsidR="00F87A4D" w:rsidRDefault="00F87A4D" w:rsidP="007F0649">
            <w:pPr>
              <w:pStyle w:val="rvps2"/>
              <w:shd w:val="clear" w:color="auto" w:fill="FFFFFF"/>
              <w:spacing w:before="0" w:beforeAutospacing="0" w:after="0" w:afterAutospacing="0"/>
              <w:ind w:firstLine="450"/>
              <w:jc w:val="both"/>
              <w:textAlignment w:val="baseline"/>
              <w:rPr>
                <w:b/>
                <w:bCs/>
                <w:color w:val="000000"/>
                <w:sz w:val="28"/>
                <w:szCs w:val="28"/>
                <w:bdr w:val="none" w:sz="0" w:space="0" w:color="auto" w:frame="1"/>
                <w:lang w:val="uk-UA" w:eastAsia="uk-UA"/>
              </w:rPr>
            </w:pPr>
            <w:bookmarkStart w:id="14" w:name="n2985"/>
            <w:bookmarkStart w:id="15" w:name="n2847"/>
            <w:bookmarkEnd w:id="14"/>
            <w:bookmarkEnd w:id="15"/>
            <w:r w:rsidRPr="00A543DD">
              <w:rPr>
                <w:color w:val="000000"/>
                <w:sz w:val="28"/>
                <w:szCs w:val="28"/>
                <w:lang w:val="uk-UA"/>
              </w:rPr>
              <w:t>щомісячно інформувати Верховну Раду України, Президента України та Рахункову палату про реалізацію експерименту (з наведенням відповідних щомісячних індикативних показників, фактичних надходжень та обсягів спрямування бюджетних коштів до спеціальних фондів обласних бюджетів та бюджету міста Києва, а також інформації про використання таких бюджетних коштів).</w:t>
            </w:r>
            <w:r w:rsidRPr="00A543DD">
              <w:rPr>
                <w:b/>
                <w:bCs/>
                <w:color w:val="000000"/>
                <w:sz w:val="28"/>
                <w:szCs w:val="28"/>
                <w:bdr w:val="none" w:sz="0" w:space="0" w:color="auto" w:frame="1"/>
                <w:lang w:val="uk-UA" w:eastAsia="uk-UA"/>
              </w:rPr>
              <w:t xml:space="preserve"> </w:t>
            </w:r>
          </w:p>
          <w:p w:rsidR="00F87A4D" w:rsidRPr="00A543DD" w:rsidRDefault="00F87A4D" w:rsidP="007F0649">
            <w:pPr>
              <w:pStyle w:val="rvps2"/>
              <w:shd w:val="clear" w:color="auto" w:fill="FFFFFF"/>
              <w:spacing w:before="0" w:beforeAutospacing="0" w:after="0" w:afterAutospacing="0"/>
              <w:ind w:firstLine="450"/>
              <w:jc w:val="both"/>
              <w:textAlignment w:val="baseline"/>
              <w:rPr>
                <w:b/>
                <w:bCs/>
                <w:color w:val="000000"/>
                <w:sz w:val="28"/>
                <w:szCs w:val="28"/>
                <w:bdr w:val="none" w:sz="0" w:space="0" w:color="auto" w:frame="1"/>
                <w:lang w:val="uk-UA" w:eastAsia="uk-UA"/>
              </w:rPr>
            </w:pPr>
            <w:r>
              <w:rPr>
                <w:b/>
                <w:bCs/>
                <w:color w:val="000000"/>
                <w:sz w:val="28"/>
                <w:szCs w:val="28"/>
                <w:bdr w:val="none" w:sz="0" w:space="0" w:color="auto" w:frame="1"/>
                <w:lang w:val="uk-UA" w:eastAsia="uk-UA"/>
              </w:rPr>
              <w:t>…</w:t>
            </w:r>
          </w:p>
        </w:tc>
        <w:tc>
          <w:tcPr>
            <w:tcW w:w="7156" w:type="dxa"/>
            <w:tcMar>
              <w:top w:w="30" w:type="dxa"/>
              <w:left w:w="45" w:type="dxa"/>
              <w:bottom w:w="30" w:type="dxa"/>
              <w:right w:w="45" w:type="dxa"/>
            </w:tcMar>
          </w:tcPr>
          <w:p w:rsidR="00F87A4D" w:rsidRPr="009A4E47" w:rsidRDefault="00F87A4D" w:rsidP="007F0649">
            <w:pPr>
              <w:pStyle w:val="HTMLPreformatted"/>
              <w:shd w:val="clear" w:color="auto" w:fill="FFFFFF"/>
              <w:rPr>
                <w:rStyle w:val="rvts15"/>
                <w:rFonts w:ascii="Times New Roman" w:hAnsi="Times New Roman"/>
                <w:b/>
                <w:bCs/>
                <w:color w:val="000000"/>
                <w:sz w:val="28"/>
                <w:szCs w:val="28"/>
                <w:bdr w:val="none" w:sz="0" w:space="0" w:color="auto" w:frame="1"/>
                <w:shd w:val="clear" w:color="auto" w:fill="FFFFFF"/>
                <w:lang w:val="uk-UA"/>
              </w:rPr>
            </w:pPr>
            <w:r w:rsidRPr="009A4E47">
              <w:rPr>
                <w:rStyle w:val="rvts15"/>
                <w:rFonts w:ascii="Times New Roman" w:hAnsi="Times New Roman"/>
                <w:b/>
                <w:bCs/>
                <w:color w:val="000000"/>
                <w:sz w:val="28"/>
                <w:szCs w:val="28"/>
                <w:bdr w:val="none" w:sz="0" w:space="0" w:color="auto" w:frame="1"/>
                <w:shd w:val="clear" w:color="auto" w:fill="FFFFFF"/>
                <w:lang w:val="uk-UA"/>
              </w:rPr>
              <w:t xml:space="preserve">Розділ VI. ПРИКІНЦЕВІ ТА ПЕРЕХІДНІ  </w:t>
            </w:r>
          </w:p>
          <w:p w:rsidR="00F87A4D" w:rsidRPr="008F156B" w:rsidRDefault="00F87A4D" w:rsidP="007F0649">
            <w:pPr>
              <w:pStyle w:val="HTMLPreformatted"/>
              <w:shd w:val="clear" w:color="auto" w:fill="FFFFFF"/>
              <w:rPr>
                <w:rFonts w:ascii="Times New Roman" w:hAnsi="Times New Roman"/>
                <w:b/>
                <w:bCs/>
                <w:color w:val="000000"/>
                <w:sz w:val="28"/>
                <w:szCs w:val="28"/>
                <w:bdr w:val="none" w:sz="0" w:space="0" w:color="auto" w:frame="1"/>
                <w:lang w:val="uk-UA" w:eastAsia="uk-UA"/>
              </w:rPr>
            </w:pPr>
            <w:r w:rsidRPr="009A4E47">
              <w:rPr>
                <w:rStyle w:val="rvts15"/>
                <w:rFonts w:ascii="Times New Roman" w:hAnsi="Times New Roman"/>
                <w:b/>
                <w:bCs/>
                <w:color w:val="000000"/>
                <w:sz w:val="28"/>
                <w:szCs w:val="28"/>
                <w:bdr w:val="none" w:sz="0" w:space="0" w:color="auto" w:frame="1"/>
                <w:shd w:val="clear" w:color="auto" w:fill="FFFFFF"/>
                <w:lang w:val="uk-UA"/>
              </w:rPr>
              <w:t xml:space="preserve">                   ПОЛОЖЕННЯ</w:t>
            </w:r>
          </w:p>
          <w:p w:rsidR="00F87A4D" w:rsidRPr="008F156B" w:rsidRDefault="00F87A4D" w:rsidP="007F0649">
            <w:pPr>
              <w:shd w:val="clear" w:color="auto" w:fill="FFFFFF"/>
              <w:spacing w:after="0" w:line="240" w:lineRule="auto"/>
              <w:ind w:firstLine="664"/>
              <w:textAlignment w:val="baseline"/>
              <w:rPr>
                <w:rFonts w:ascii="Times New Roman" w:hAnsi="Times New Roman"/>
                <w:b/>
                <w:color w:val="000000"/>
                <w:sz w:val="28"/>
                <w:szCs w:val="28"/>
                <w:lang w:val="uk-UA" w:eastAsia="ru-RU"/>
              </w:rPr>
            </w:pPr>
            <w:r w:rsidRPr="008F156B">
              <w:rPr>
                <w:rFonts w:ascii="Times New Roman" w:hAnsi="Times New Roman"/>
                <w:b/>
                <w:color w:val="000000"/>
                <w:sz w:val="28"/>
                <w:szCs w:val="28"/>
                <w:lang w:val="uk-UA" w:eastAsia="ru-RU"/>
              </w:rPr>
              <w:t>…</w:t>
            </w:r>
          </w:p>
          <w:p w:rsidR="00F87A4D" w:rsidRPr="008F156B"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r w:rsidRPr="008F156B">
              <w:rPr>
                <w:color w:val="000000"/>
                <w:sz w:val="28"/>
                <w:szCs w:val="28"/>
                <w:lang w:val="uk-UA"/>
              </w:rPr>
              <w:t>33. Установити, що з 1 вересня 2015 року до 1 січня 2019 року запроваджується експеримент з фінансового забезпечення реалізації заходів з розвитку автомобільних доріг загального користування, ділянок вулиць і доріг міст та інших населених пунктів, що суміщаються з автомобільними дорогами загального користування, у всіх областях та місті Києві, а також реалізації заходів з розвитку дорожньої інфраструктури у місті Києві.</w:t>
            </w:r>
          </w:p>
          <w:p w:rsidR="00F87A4D" w:rsidRPr="008F156B"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r w:rsidRPr="008F156B">
              <w:rPr>
                <w:color w:val="000000"/>
                <w:sz w:val="28"/>
                <w:szCs w:val="28"/>
                <w:lang w:val="uk-UA"/>
              </w:rPr>
              <w:t>Перелік об’єктів, щодо яких здійснюється реалізація зазначених заходів згідно з експериментом, затверджується відповідною обласною, Київською міською державними адміністраціями за погодженням з центральним органом виконавчої влади, що реалізує державну політику у сфері дорожнього господарства, та з подальшим погодженням з Комітетом Верховної Ради України з питань бюджету.</w:t>
            </w:r>
          </w:p>
          <w:p w:rsidR="00F87A4D" w:rsidRPr="00DF1C36" w:rsidRDefault="00F87A4D" w:rsidP="008F156B">
            <w:pPr>
              <w:shd w:val="clear" w:color="auto" w:fill="FFFFFF"/>
              <w:spacing w:after="0" w:line="240" w:lineRule="auto"/>
              <w:ind w:firstLine="664"/>
              <w:jc w:val="both"/>
              <w:textAlignment w:val="baseline"/>
              <w:rPr>
                <w:rFonts w:ascii="Times New Roman" w:hAnsi="Times New Roman"/>
                <w:color w:val="000000"/>
                <w:sz w:val="28"/>
                <w:szCs w:val="28"/>
                <w:lang w:val="uk-UA"/>
              </w:rPr>
            </w:pPr>
            <w:r w:rsidRPr="009A4E47">
              <w:rPr>
                <w:rFonts w:ascii="Times New Roman" w:hAnsi="Times New Roman"/>
                <w:color w:val="000000"/>
                <w:sz w:val="28"/>
                <w:szCs w:val="28"/>
                <w:lang w:val="uk-UA"/>
              </w:rPr>
              <w:t>На період проведення експерименту для реалізації зазначених заходів у разі перевиконання загального обсягу щомісячних показників надходжень митних платежів (мито, акцизний податок з ввезених на митну територію України підакцизних товарів (продукції), податок на додану вартість з ввезених на митну територію України товарів (продукції)), визначених у розписі державного бюджету за загальним фондом, 50 відсотків такого перевиконання, як виняток з положень </w:t>
            </w:r>
            <w:hyperlink r:id="rId11" w:anchor="n573" w:history="1">
              <w:r w:rsidRPr="009A4E47">
                <w:rPr>
                  <w:rStyle w:val="Hyperlink"/>
                  <w:rFonts w:ascii="Times New Roman" w:hAnsi="Times New Roman"/>
                  <w:color w:val="000000"/>
                  <w:sz w:val="28"/>
                  <w:szCs w:val="28"/>
                  <w:u w:val="none"/>
                  <w:bdr w:val="none" w:sz="0" w:space="0" w:color="auto" w:frame="1"/>
                  <w:lang w:val="uk-UA"/>
                </w:rPr>
                <w:t>частини другої</w:t>
              </w:r>
            </w:hyperlink>
            <w:r w:rsidRPr="009A4E47">
              <w:rPr>
                <w:rFonts w:ascii="Times New Roman" w:hAnsi="Times New Roman"/>
                <w:color w:val="000000"/>
                <w:sz w:val="28"/>
                <w:szCs w:val="28"/>
                <w:lang w:val="uk-UA"/>
              </w:rPr>
              <w:t> статті 29, </w:t>
            </w:r>
            <w:hyperlink r:id="rId12" w:anchor="n2290" w:history="1">
              <w:r w:rsidRPr="009A4E47">
                <w:rPr>
                  <w:rStyle w:val="Hyperlink"/>
                  <w:rFonts w:ascii="Times New Roman" w:hAnsi="Times New Roman"/>
                  <w:color w:val="000000"/>
                  <w:sz w:val="28"/>
                  <w:szCs w:val="28"/>
                  <w:u w:val="none"/>
                  <w:bdr w:val="none" w:sz="0" w:space="0" w:color="auto" w:frame="1"/>
                  <w:lang w:val="uk-UA"/>
                </w:rPr>
                <w:t>статті 69</w:t>
              </w:r>
            </w:hyperlink>
            <w:hyperlink r:id="rId13" w:anchor="n2290" w:history="1">
              <w:r w:rsidRPr="009A4E47">
                <w:rPr>
                  <w:rStyle w:val="Hyperlink"/>
                  <w:rFonts w:ascii="Times New Roman" w:hAnsi="Times New Roman"/>
                  <w:b/>
                  <w:bCs/>
                  <w:color w:val="000000"/>
                  <w:sz w:val="28"/>
                  <w:szCs w:val="28"/>
                  <w:u w:val="none"/>
                  <w:bdr w:val="none" w:sz="0" w:space="0" w:color="auto" w:frame="1"/>
                  <w:lang w:val="uk-UA"/>
                </w:rPr>
                <w:t>-</w:t>
              </w:r>
              <w:r w:rsidRPr="009A4E47">
                <w:rPr>
                  <w:rStyle w:val="Hyperlink"/>
                  <w:rFonts w:ascii="Times New Roman" w:hAnsi="Times New Roman"/>
                  <w:b/>
                  <w:bCs/>
                  <w:color w:val="000000"/>
                  <w:sz w:val="28"/>
                  <w:szCs w:val="28"/>
                  <w:u w:val="none"/>
                  <w:bdr w:val="none" w:sz="0" w:space="0" w:color="auto" w:frame="1"/>
                  <w:vertAlign w:val="superscript"/>
                  <w:lang w:val="uk-UA"/>
                </w:rPr>
                <w:t>1</w:t>
              </w:r>
            </w:hyperlink>
            <w:r w:rsidRPr="009A4E47">
              <w:rPr>
                <w:rFonts w:ascii="Times New Roman" w:hAnsi="Times New Roman"/>
                <w:color w:val="000000"/>
                <w:sz w:val="28"/>
                <w:szCs w:val="28"/>
                <w:lang w:val="uk-UA"/>
              </w:rPr>
              <w:t>, </w:t>
            </w:r>
            <w:hyperlink r:id="rId14" w:anchor="n1312" w:history="1">
              <w:r w:rsidRPr="009A4E47">
                <w:rPr>
                  <w:rStyle w:val="Hyperlink"/>
                  <w:rFonts w:ascii="Times New Roman" w:hAnsi="Times New Roman"/>
                  <w:color w:val="000000"/>
                  <w:sz w:val="28"/>
                  <w:szCs w:val="28"/>
                  <w:u w:val="none"/>
                  <w:bdr w:val="none" w:sz="0" w:space="0" w:color="auto" w:frame="1"/>
                  <w:lang w:val="uk-UA"/>
                </w:rPr>
                <w:t>частини другої</w:t>
              </w:r>
            </w:hyperlink>
            <w:r w:rsidRPr="009A4E47">
              <w:rPr>
                <w:rFonts w:ascii="Times New Roman" w:hAnsi="Times New Roman"/>
                <w:color w:val="000000"/>
                <w:sz w:val="28"/>
                <w:szCs w:val="28"/>
                <w:lang w:val="uk-UA"/>
              </w:rPr>
              <w:t> статті 85, </w:t>
            </w:r>
            <w:hyperlink r:id="rId15" w:anchor="n1329" w:history="1">
              <w:r w:rsidRPr="009A4E47">
                <w:rPr>
                  <w:rStyle w:val="Hyperlink"/>
                  <w:rFonts w:ascii="Times New Roman" w:hAnsi="Times New Roman"/>
                  <w:color w:val="000000"/>
                  <w:sz w:val="28"/>
                  <w:szCs w:val="28"/>
                  <w:u w:val="none"/>
                  <w:bdr w:val="none" w:sz="0" w:space="0" w:color="auto" w:frame="1"/>
                  <w:lang w:val="uk-UA"/>
                </w:rPr>
                <w:t>статей 87</w:t>
              </w:r>
            </w:hyperlink>
            <w:r w:rsidRPr="009A4E47">
              <w:rPr>
                <w:rFonts w:ascii="Times New Roman" w:hAnsi="Times New Roman"/>
                <w:color w:val="000000"/>
                <w:sz w:val="28"/>
                <w:szCs w:val="28"/>
                <w:lang w:val="uk-UA"/>
              </w:rPr>
              <w:t> і </w:t>
            </w:r>
            <w:hyperlink r:id="rId16" w:anchor="n1456" w:history="1">
              <w:r w:rsidRPr="009A4E47">
                <w:rPr>
                  <w:rStyle w:val="Hyperlink"/>
                  <w:rFonts w:ascii="Times New Roman" w:hAnsi="Times New Roman"/>
                  <w:color w:val="000000"/>
                  <w:sz w:val="28"/>
                  <w:szCs w:val="28"/>
                  <w:u w:val="none"/>
                  <w:bdr w:val="none" w:sz="0" w:space="0" w:color="auto" w:frame="1"/>
                  <w:lang w:val="uk-UA"/>
                </w:rPr>
                <w:t>91</w:t>
              </w:r>
            </w:hyperlink>
            <w:r w:rsidRPr="009A4E47">
              <w:rPr>
                <w:rFonts w:ascii="Times New Roman" w:hAnsi="Times New Roman"/>
                <w:color w:val="000000"/>
                <w:sz w:val="28"/>
                <w:szCs w:val="28"/>
                <w:lang w:val="uk-UA"/>
              </w:rPr>
              <w:t>цього Кодексу, зараховується до спеціальних фондів обласних бюджетів та бюджету міста Києва в обсязі, пропорційному до суми перевиконання на відповідній території загального обсягу щомісячних індикативних показників надходжень митних платежів, що справляються під час митного оформлення товарів на територіях відповідних областей та міста Києва, в порядку, встановленому Кабінетом Міністрів України</w:t>
            </w:r>
            <w:r w:rsidRPr="00DF1C36">
              <w:rPr>
                <w:rFonts w:ascii="Times New Roman" w:hAnsi="Times New Roman"/>
                <w:color w:val="000000"/>
                <w:sz w:val="28"/>
                <w:szCs w:val="28"/>
                <w:lang w:val="uk-UA"/>
              </w:rPr>
              <w:t>/</w:t>
            </w:r>
          </w:p>
          <w:p w:rsidR="00F87A4D" w:rsidRPr="008F156B" w:rsidRDefault="00F87A4D" w:rsidP="007F0649">
            <w:pPr>
              <w:shd w:val="clear" w:color="auto" w:fill="FFFFFF"/>
              <w:spacing w:after="0" w:line="240" w:lineRule="auto"/>
              <w:ind w:firstLine="664"/>
              <w:textAlignment w:val="baseline"/>
              <w:rPr>
                <w:rFonts w:ascii="Times New Roman" w:hAnsi="Times New Roman"/>
                <w:b/>
                <w:color w:val="000000"/>
                <w:sz w:val="28"/>
                <w:szCs w:val="28"/>
                <w:lang w:val="uk-UA" w:eastAsia="ru-RU"/>
              </w:rPr>
            </w:pPr>
            <w:r w:rsidRPr="008F156B">
              <w:rPr>
                <w:rFonts w:ascii="Times New Roman" w:hAnsi="Times New Roman"/>
                <w:b/>
                <w:color w:val="000000"/>
                <w:sz w:val="28"/>
                <w:szCs w:val="28"/>
                <w:lang w:val="uk-UA" w:eastAsia="ru-RU"/>
              </w:rPr>
              <w:t>Виключено</w:t>
            </w:r>
          </w:p>
          <w:p w:rsidR="00F87A4D" w:rsidRPr="008F156B"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p>
          <w:p w:rsidR="00F87A4D" w:rsidRPr="008F156B"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p>
          <w:p w:rsidR="00F87A4D" w:rsidRPr="008F156B"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p>
          <w:p w:rsidR="00F87A4D" w:rsidRPr="008F156B"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p>
          <w:p w:rsidR="00F87A4D" w:rsidRPr="008F156B"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p>
          <w:p w:rsidR="00F87A4D" w:rsidRPr="008F156B"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p>
          <w:p w:rsidR="00F87A4D" w:rsidRPr="008F156B"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p>
          <w:p w:rsidR="00F87A4D" w:rsidRPr="008F156B"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p>
          <w:p w:rsidR="00F87A4D" w:rsidRPr="008F156B"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p>
          <w:p w:rsidR="00F87A4D" w:rsidRPr="008F156B"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p>
          <w:p w:rsidR="00F87A4D" w:rsidRPr="008F156B"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p>
          <w:p w:rsidR="00F87A4D"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p>
          <w:p w:rsidR="00F87A4D"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p>
          <w:p w:rsidR="00F87A4D"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p>
          <w:p w:rsidR="00F87A4D"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p>
          <w:p w:rsidR="00F87A4D"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p>
          <w:p w:rsidR="00F87A4D"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p>
          <w:p w:rsidR="00F87A4D"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p>
          <w:p w:rsidR="00F87A4D" w:rsidRPr="008F156B"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p>
          <w:p w:rsidR="00F87A4D" w:rsidRPr="008F156B"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r w:rsidRPr="008F156B">
              <w:rPr>
                <w:color w:val="000000"/>
                <w:sz w:val="28"/>
                <w:szCs w:val="28"/>
                <w:lang w:val="uk-UA"/>
              </w:rPr>
              <w:t>Кабінету Міністрів України:</w:t>
            </w:r>
          </w:p>
          <w:p w:rsidR="00F87A4D" w:rsidRPr="008F156B"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r w:rsidRPr="008F156B">
              <w:rPr>
                <w:color w:val="000000"/>
                <w:sz w:val="28"/>
                <w:szCs w:val="28"/>
                <w:lang w:val="uk-UA"/>
              </w:rPr>
              <w:t xml:space="preserve">Затвердити </w:t>
            </w:r>
            <w:hyperlink r:id="rId17" w:anchor="n31" w:tgtFrame="_blank" w:history="1">
              <w:r w:rsidRPr="008F156B">
                <w:rPr>
                  <w:rStyle w:val="Hyperlink"/>
                  <w:color w:val="000000"/>
                  <w:sz w:val="28"/>
                  <w:szCs w:val="28"/>
                  <w:u w:val="none"/>
                  <w:bdr w:val="none" w:sz="0" w:space="0" w:color="auto" w:frame="1"/>
                  <w:lang w:val="uk-UA"/>
                </w:rPr>
                <w:t>методику розрахунку</w:t>
              </w:r>
            </w:hyperlink>
            <w:r w:rsidRPr="008F156B">
              <w:rPr>
                <w:color w:val="000000"/>
                <w:sz w:val="28"/>
                <w:szCs w:val="28"/>
                <w:lang w:val="uk-UA"/>
              </w:rPr>
              <w:t xml:space="preserve"> щомісячних індикативних показників надходжень митних платежів до загального фонду державного бюджету у територіальному розрізі з урахуванням відповідних надходжень за останній бюджетний період та інших факторів, що впливають на обсяги таких платежів;</w:t>
            </w:r>
          </w:p>
          <w:p w:rsidR="00F87A4D" w:rsidRPr="008F156B" w:rsidRDefault="00F87A4D" w:rsidP="008F156B">
            <w:pPr>
              <w:pStyle w:val="rvps2"/>
              <w:shd w:val="clear" w:color="auto" w:fill="FFFFFF"/>
              <w:spacing w:before="0" w:beforeAutospacing="0" w:after="0" w:afterAutospacing="0"/>
              <w:ind w:firstLine="450"/>
              <w:jc w:val="both"/>
              <w:textAlignment w:val="baseline"/>
              <w:rPr>
                <w:color w:val="000000"/>
                <w:sz w:val="28"/>
                <w:szCs w:val="28"/>
                <w:lang w:val="uk-UA"/>
              </w:rPr>
            </w:pPr>
            <w:r w:rsidRPr="008F156B">
              <w:rPr>
                <w:color w:val="000000"/>
                <w:sz w:val="28"/>
                <w:szCs w:val="28"/>
                <w:lang w:val="uk-UA"/>
              </w:rPr>
              <w:t>погодити щомісячні індикативні показники надходжень митних платежів до загального фонду державного бюджету з Комітетом Верховної Ради України з питань бюджету;</w:t>
            </w:r>
          </w:p>
          <w:p w:rsidR="00F87A4D" w:rsidRPr="008F156B" w:rsidRDefault="00F87A4D" w:rsidP="008F156B">
            <w:pPr>
              <w:pStyle w:val="rvps2"/>
              <w:shd w:val="clear" w:color="auto" w:fill="FFFFFF"/>
              <w:spacing w:before="0" w:beforeAutospacing="0" w:after="0" w:afterAutospacing="0"/>
              <w:ind w:firstLine="450"/>
              <w:jc w:val="both"/>
              <w:textAlignment w:val="baseline"/>
              <w:rPr>
                <w:b/>
                <w:bCs/>
                <w:color w:val="000000"/>
                <w:sz w:val="28"/>
                <w:szCs w:val="28"/>
                <w:bdr w:val="none" w:sz="0" w:space="0" w:color="auto" w:frame="1"/>
                <w:lang w:val="uk-UA" w:eastAsia="uk-UA"/>
              </w:rPr>
            </w:pPr>
            <w:r w:rsidRPr="008F156B">
              <w:rPr>
                <w:color w:val="000000"/>
                <w:sz w:val="28"/>
                <w:szCs w:val="28"/>
                <w:lang w:val="uk-UA"/>
              </w:rPr>
              <w:t>щомісячно інформувати Верховну Раду України, Президента України та Рахункову палату про реалізацію експерименту (з наведенням відповідних щомісячних індикативних показників, фактичних надходжень та обсягів спрямування бюджетних коштів до спеціальних фондів обласних бюджетів та бюджету міста Києва, а також інформації про використання таких бюджетних коштів).</w:t>
            </w:r>
            <w:r w:rsidRPr="008F156B">
              <w:rPr>
                <w:b/>
                <w:bCs/>
                <w:color w:val="000000"/>
                <w:sz w:val="28"/>
                <w:szCs w:val="28"/>
                <w:bdr w:val="none" w:sz="0" w:space="0" w:color="auto" w:frame="1"/>
                <w:lang w:val="uk-UA" w:eastAsia="uk-UA"/>
              </w:rPr>
              <w:t xml:space="preserve"> </w:t>
            </w:r>
          </w:p>
          <w:p w:rsidR="00F87A4D" w:rsidRPr="008F156B" w:rsidRDefault="00F87A4D" w:rsidP="008F156B">
            <w:pPr>
              <w:shd w:val="clear" w:color="auto" w:fill="FFFFFF"/>
              <w:spacing w:after="0" w:line="240" w:lineRule="auto"/>
              <w:ind w:firstLine="664"/>
              <w:textAlignment w:val="baseline"/>
              <w:rPr>
                <w:rFonts w:ascii="Times New Roman" w:hAnsi="Times New Roman"/>
                <w:b/>
                <w:color w:val="000000"/>
                <w:sz w:val="28"/>
                <w:szCs w:val="28"/>
                <w:lang w:val="uk-UA" w:eastAsia="ru-RU"/>
              </w:rPr>
            </w:pPr>
            <w:r w:rsidRPr="009A4E47">
              <w:rPr>
                <w:rFonts w:ascii="Times New Roman" w:hAnsi="Times New Roman"/>
                <w:b/>
                <w:bCs/>
                <w:color w:val="000000"/>
                <w:sz w:val="28"/>
                <w:szCs w:val="28"/>
                <w:bdr w:val="none" w:sz="0" w:space="0" w:color="auto" w:frame="1"/>
                <w:lang w:val="uk-UA" w:eastAsia="uk-UA"/>
              </w:rPr>
              <w:t>…</w:t>
            </w:r>
          </w:p>
        </w:tc>
      </w:tr>
    </w:tbl>
    <w:p w:rsidR="00F87A4D" w:rsidRDefault="00F87A4D" w:rsidP="008F156B">
      <w:pPr>
        <w:rPr>
          <w:rFonts w:ascii="Times New Roman" w:hAnsi="Times New Roman"/>
          <w:sz w:val="28"/>
          <w:szCs w:val="28"/>
          <w:lang w:val="uk-UA"/>
        </w:rPr>
      </w:pPr>
      <w:bookmarkStart w:id="16" w:name="n130"/>
      <w:bookmarkEnd w:id="16"/>
    </w:p>
    <w:p w:rsidR="00F87A4D" w:rsidRDefault="00F87A4D" w:rsidP="008F156B">
      <w:pPr>
        <w:rPr>
          <w:rFonts w:ascii="Times New Roman" w:hAnsi="Times New Roman"/>
          <w:sz w:val="28"/>
          <w:szCs w:val="28"/>
          <w:lang w:val="uk-UA"/>
        </w:rPr>
      </w:pPr>
      <w:r w:rsidRPr="00F344DD">
        <w:rPr>
          <w:rFonts w:ascii="Times New Roman" w:hAnsi="Times New Roman"/>
          <w:sz w:val="28"/>
          <w:szCs w:val="28"/>
          <w:lang w:val="uk-UA"/>
        </w:rPr>
        <w:t>Народний депутат України</w:t>
      </w:r>
      <w:r w:rsidRPr="000B1976">
        <w:rPr>
          <w:rFonts w:ascii="Times New Roman" w:hAnsi="Times New Roman"/>
          <w:sz w:val="28"/>
          <w:szCs w:val="28"/>
        </w:rPr>
        <w:tab/>
      </w:r>
      <w:r w:rsidRPr="000B1976">
        <w:rPr>
          <w:rFonts w:ascii="Times New Roman" w:hAnsi="Times New Roman"/>
          <w:sz w:val="28"/>
          <w:szCs w:val="28"/>
        </w:rPr>
        <w:tab/>
      </w:r>
      <w:r w:rsidRPr="000B1976">
        <w:rPr>
          <w:rFonts w:ascii="Times New Roman" w:hAnsi="Times New Roman"/>
          <w:sz w:val="28"/>
          <w:szCs w:val="28"/>
        </w:rPr>
        <w:tab/>
      </w:r>
      <w:r w:rsidRPr="000B1976">
        <w:rPr>
          <w:rFonts w:ascii="Times New Roman" w:hAnsi="Times New Roman"/>
          <w:sz w:val="28"/>
          <w:szCs w:val="28"/>
        </w:rPr>
        <w:tab/>
      </w:r>
      <w:r w:rsidRPr="000B1976">
        <w:rPr>
          <w:rFonts w:ascii="Times New Roman" w:hAnsi="Times New Roman"/>
          <w:sz w:val="28"/>
          <w:szCs w:val="28"/>
        </w:rPr>
        <w:tab/>
      </w:r>
      <w:r w:rsidRPr="000B1976">
        <w:rPr>
          <w:rFonts w:ascii="Times New Roman" w:hAnsi="Times New Roman"/>
          <w:sz w:val="28"/>
          <w:szCs w:val="28"/>
        </w:rPr>
        <w:tab/>
      </w:r>
      <w:r w:rsidRPr="000B1976">
        <w:rPr>
          <w:rFonts w:ascii="Times New Roman" w:hAnsi="Times New Roman"/>
          <w:sz w:val="28"/>
          <w:szCs w:val="28"/>
        </w:rPr>
        <w:tab/>
      </w:r>
      <w:r w:rsidRPr="000B1976">
        <w:rPr>
          <w:rFonts w:ascii="Times New Roman" w:hAnsi="Times New Roman"/>
          <w:sz w:val="28"/>
          <w:szCs w:val="28"/>
        </w:rPr>
        <w:tab/>
      </w:r>
      <w:r w:rsidRPr="000B1976">
        <w:rPr>
          <w:rFonts w:ascii="Times New Roman" w:hAnsi="Times New Roman"/>
          <w:sz w:val="28"/>
          <w:szCs w:val="28"/>
        </w:rPr>
        <w:tab/>
      </w:r>
      <w:r w:rsidRPr="000B1976">
        <w:rPr>
          <w:rFonts w:ascii="Times New Roman" w:hAnsi="Times New Roman"/>
          <w:sz w:val="28"/>
          <w:szCs w:val="28"/>
        </w:rPr>
        <w:tab/>
      </w:r>
      <w:r w:rsidRPr="000B1976">
        <w:rPr>
          <w:rFonts w:ascii="Times New Roman" w:hAnsi="Times New Roman"/>
          <w:sz w:val="28"/>
          <w:szCs w:val="28"/>
        </w:rPr>
        <w:tab/>
      </w:r>
      <w:r>
        <w:rPr>
          <w:rFonts w:ascii="Times New Roman" w:hAnsi="Times New Roman"/>
          <w:sz w:val="28"/>
          <w:szCs w:val="28"/>
          <w:lang w:val="uk-UA"/>
        </w:rPr>
        <w:t>Матвієнко А.С. (096)</w:t>
      </w:r>
    </w:p>
    <w:p w:rsidR="00F87A4D" w:rsidRDefault="00F87A4D" w:rsidP="008F156B">
      <w:pPr>
        <w:rPr>
          <w:rFonts w:ascii="Times New Roman" w:hAnsi="Times New Roman"/>
          <w:sz w:val="28"/>
          <w:szCs w:val="28"/>
          <w:lang w:val="uk-UA"/>
        </w:rPr>
      </w:pP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t>Довбенко М.В. (288)</w:t>
      </w:r>
    </w:p>
    <w:p w:rsidR="00F87A4D" w:rsidRDefault="00F87A4D" w:rsidP="008F156B">
      <w:pPr>
        <w:rPr>
          <w:rFonts w:ascii="Times New Roman" w:hAnsi="Times New Roman"/>
          <w:sz w:val="28"/>
          <w:szCs w:val="28"/>
          <w:lang w:val="uk-UA"/>
        </w:rPr>
      </w:pP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t>Шкварлюк В.В. (025)</w:t>
      </w:r>
    </w:p>
    <w:p w:rsidR="00F87A4D" w:rsidRDefault="00F87A4D" w:rsidP="008F156B">
      <w:pPr>
        <w:rPr>
          <w:rFonts w:ascii="Times New Roman" w:hAnsi="Times New Roman"/>
          <w:sz w:val="28"/>
          <w:szCs w:val="28"/>
          <w:lang w:val="uk-UA"/>
        </w:rPr>
      </w:pP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t>Лопушанський А. Я. (323)</w:t>
      </w:r>
    </w:p>
    <w:p w:rsidR="00F87A4D" w:rsidRPr="000B1976" w:rsidRDefault="00F87A4D" w:rsidP="008F156B">
      <w:pPr>
        <w:rPr>
          <w:lang w:val="uk-UA"/>
        </w:rPr>
      </w:pP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r>
      <w:r>
        <w:rPr>
          <w:rFonts w:ascii="Times New Roman" w:hAnsi="Times New Roman"/>
          <w:sz w:val="28"/>
          <w:szCs w:val="28"/>
          <w:lang w:val="uk-UA"/>
        </w:rPr>
        <w:tab/>
        <w:t xml:space="preserve">Соловей Ю.І. </w:t>
      </w:r>
    </w:p>
    <w:p w:rsidR="00F87A4D" w:rsidRDefault="00F87A4D">
      <w:bookmarkStart w:id="17" w:name="_GoBack"/>
      <w:bookmarkEnd w:id="17"/>
    </w:p>
    <w:sectPr w:rsidR="00F87A4D" w:rsidSect="00A543DD">
      <w:pgSz w:w="16838" w:h="11906" w:orient="landscape"/>
      <w:pgMar w:top="993"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F156B"/>
    <w:rsid w:val="00077259"/>
    <w:rsid w:val="000B1976"/>
    <w:rsid w:val="001C7F02"/>
    <w:rsid w:val="00207DF8"/>
    <w:rsid w:val="00482F55"/>
    <w:rsid w:val="00765BF5"/>
    <w:rsid w:val="007F0649"/>
    <w:rsid w:val="008344DF"/>
    <w:rsid w:val="00837711"/>
    <w:rsid w:val="008C289B"/>
    <w:rsid w:val="008F156B"/>
    <w:rsid w:val="009A4E47"/>
    <w:rsid w:val="00A543DD"/>
    <w:rsid w:val="00CD610F"/>
    <w:rsid w:val="00DE28FD"/>
    <w:rsid w:val="00DF1C36"/>
    <w:rsid w:val="00E119FB"/>
    <w:rsid w:val="00EE4670"/>
    <w:rsid w:val="00F344DD"/>
    <w:rsid w:val="00F87A4D"/>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56B"/>
    <w:pPr>
      <w:spacing w:after="160" w:line="259" w:lineRule="auto"/>
    </w:pPr>
    <w:rPr>
      <w:lang w:val="ru-RU"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rsid w:val="008F156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8F156B"/>
    <w:rPr>
      <w:rFonts w:ascii="Consolas" w:hAnsi="Consolas" w:cs="Times New Roman"/>
      <w:sz w:val="20"/>
      <w:szCs w:val="20"/>
    </w:rPr>
  </w:style>
  <w:style w:type="character" w:customStyle="1" w:styleId="rvts15">
    <w:name w:val="rvts15"/>
    <w:basedOn w:val="DefaultParagraphFont"/>
    <w:uiPriority w:val="99"/>
    <w:rsid w:val="008F156B"/>
    <w:rPr>
      <w:rFonts w:cs="Times New Roman"/>
    </w:rPr>
  </w:style>
  <w:style w:type="paragraph" w:customStyle="1" w:styleId="rvps2">
    <w:name w:val="rvps2"/>
    <w:basedOn w:val="Normal"/>
    <w:uiPriority w:val="99"/>
    <w:rsid w:val="008F156B"/>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semiHidden/>
    <w:rsid w:val="008F156B"/>
    <w:rPr>
      <w:rFonts w:cs="Times New Roman"/>
      <w:color w:val="0000FF"/>
      <w:u w:val="single"/>
    </w:rPr>
  </w:style>
  <w:style w:type="character" w:customStyle="1" w:styleId="rvts37">
    <w:name w:val="rvts37"/>
    <w:basedOn w:val="DefaultParagraphFont"/>
    <w:uiPriority w:val="99"/>
    <w:rsid w:val="008F156B"/>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laws/show/2456-17/paran1329" TargetMode="External"/><Relationship Id="rId13" Type="http://schemas.openxmlformats.org/officeDocument/2006/relationships/hyperlink" Target="http://zakon3.rada.gov.ua/laws/show/2456-17/paran2290"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zakon3.rada.gov.ua/laws/show/2456-17/paran1312" TargetMode="External"/><Relationship Id="rId12" Type="http://schemas.openxmlformats.org/officeDocument/2006/relationships/hyperlink" Target="http://zakon3.rada.gov.ua/laws/show/2456-17/paran2290" TargetMode="External"/><Relationship Id="rId17" Type="http://schemas.openxmlformats.org/officeDocument/2006/relationships/hyperlink" Target="http://zakon3.rada.gov.ua/laws/show/726-2015-%D0%BF/paran31" TargetMode="External"/><Relationship Id="rId2" Type="http://schemas.openxmlformats.org/officeDocument/2006/relationships/settings" Target="settings.xml"/><Relationship Id="rId16" Type="http://schemas.openxmlformats.org/officeDocument/2006/relationships/hyperlink" Target="http://zakon3.rada.gov.ua/laws/show/2456-17/paran1456" TargetMode="External"/><Relationship Id="rId1" Type="http://schemas.openxmlformats.org/officeDocument/2006/relationships/styles" Target="styles.xml"/><Relationship Id="rId6" Type="http://schemas.openxmlformats.org/officeDocument/2006/relationships/hyperlink" Target="http://zakon3.rada.gov.ua/laws/show/2456-17/paran2290" TargetMode="External"/><Relationship Id="rId11" Type="http://schemas.openxmlformats.org/officeDocument/2006/relationships/hyperlink" Target="http://zakon3.rada.gov.ua/laws/show/2456-17/paran573" TargetMode="External"/><Relationship Id="rId5" Type="http://schemas.openxmlformats.org/officeDocument/2006/relationships/hyperlink" Target="http://zakon3.rada.gov.ua/laws/show/2456-17/paran2290" TargetMode="External"/><Relationship Id="rId15" Type="http://schemas.openxmlformats.org/officeDocument/2006/relationships/hyperlink" Target="http://zakon3.rada.gov.ua/laws/show/2456-17/paran1329" TargetMode="External"/><Relationship Id="rId10" Type="http://schemas.openxmlformats.org/officeDocument/2006/relationships/hyperlink" Target="http://zakon3.rada.gov.ua/laws/show/726-2015-%D0%BF/paran31" TargetMode="External"/><Relationship Id="rId19" Type="http://schemas.openxmlformats.org/officeDocument/2006/relationships/theme" Target="theme/theme1.xml"/><Relationship Id="rId4" Type="http://schemas.openxmlformats.org/officeDocument/2006/relationships/hyperlink" Target="http://zakon3.rada.gov.ua/laws/show/2456-17/paran573" TargetMode="External"/><Relationship Id="rId9" Type="http://schemas.openxmlformats.org/officeDocument/2006/relationships/hyperlink" Target="http://zakon3.rada.gov.ua/laws/show/2456-17/paran1456" TargetMode="External"/><Relationship Id="rId14" Type="http://schemas.openxmlformats.org/officeDocument/2006/relationships/hyperlink" Target="http://zakon3.rada.gov.ua/laws/show/2456-17/paran13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4</Pages>
  <Words>1180</Words>
  <Characters>6728</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User_UKS</cp:lastModifiedBy>
  <cp:revision>3</cp:revision>
  <dcterms:created xsi:type="dcterms:W3CDTF">2018-07-05T13:52:00Z</dcterms:created>
  <dcterms:modified xsi:type="dcterms:W3CDTF">2018-07-13T07:13:00Z</dcterms:modified>
</cp:coreProperties>
</file>