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76" w:rsidRDefault="00E96476" w:rsidP="000B3DFF">
      <w:pPr>
        <w:pStyle w:val="a3"/>
        <w:jc w:val="center"/>
        <w:rPr>
          <w:b/>
          <w:sz w:val="28"/>
        </w:rPr>
      </w:pPr>
      <w:bookmarkStart w:id="0" w:name="_GoBack"/>
      <w:bookmarkEnd w:id="0"/>
    </w:p>
    <w:p w:rsidR="00D705D9" w:rsidRDefault="00D705D9" w:rsidP="000B3DFF">
      <w:pPr>
        <w:pStyle w:val="a3"/>
        <w:jc w:val="center"/>
        <w:rPr>
          <w:b/>
          <w:sz w:val="28"/>
        </w:rPr>
      </w:pPr>
    </w:p>
    <w:p w:rsidR="000B3DFF" w:rsidRDefault="000B3DFF" w:rsidP="000B3DFF">
      <w:pPr>
        <w:pStyle w:val="a3"/>
        <w:jc w:val="center"/>
        <w:rPr>
          <w:b/>
          <w:sz w:val="28"/>
          <w:lang w:val="ru-RU"/>
        </w:rPr>
      </w:pPr>
      <w:r>
        <w:rPr>
          <w:b/>
          <w:sz w:val="28"/>
        </w:rPr>
        <w:t>ВИСНОВОК</w:t>
      </w:r>
    </w:p>
    <w:p w:rsidR="000B3DFF" w:rsidRDefault="000B3DFF" w:rsidP="000B3DFF">
      <w:pPr>
        <w:pStyle w:val="a3"/>
        <w:jc w:val="center"/>
        <w:rPr>
          <w:b/>
          <w:sz w:val="28"/>
        </w:rPr>
      </w:pPr>
      <w:r>
        <w:rPr>
          <w:b/>
          <w:sz w:val="28"/>
        </w:rPr>
        <w:t>Комітету з питань європейської інтеграції</w:t>
      </w:r>
    </w:p>
    <w:p w:rsidR="000B3DFF" w:rsidRDefault="000B3DFF" w:rsidP="000B3DFF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про відповідність зобов’язанням України в рамках Ради Європи  </w:t>
      </w:r>
    </w:p>
    <w:p w:rsidR="000B3DFF" w:rsidRDefault="000B3DFF" w:rsidP="000B3DFF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проекту закону «Про внесення змін до деяких законодавчих актів України щодо </w:t>
      </w:r>
      <w:r w:rsidR="00971EA9">
        <w:rPr>
          <w:b/>
          <w:sz w:val="28"/>
          <w:lang w:val="ru-RU"/>
        </w:rPr>
        <w:t>визнання особою без громадянства</w:t>
      </w:r>
      <w:r>
        <w:rPr>
          <w:b/>
          <w:sz w:val="28"/>
        </w:rPr>
        <w:t>»</w:t>
      </w:r>
    </w:p>
    <w:p w:rsidR="000B3DFF" w:rsidRDefault="00971EA9" w:rsidP="000B3DFF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  реєстраційний № 9123</w:t>
      </w:r>
      <w:r w:rsidR="000B3DFF">
        <w:rPr>
          <w:b/>
          <w:sz w:val="28"/>
        </w:rPr>
        <w:t>,</w:t>
      </w:r>
    </w:p>
    <w:p w:rsidR="000B3DFF" w:rsidRDefault="000B3DFF" w:rsidP="000B3DFF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суб’єкт права законодавчої ініціативи </w:t>
      </w:r>
      <w:r w:rsidR="00971EA9">
        <w:rPr>
          <w:b/>
          <w:sz w:val="28"/>
        </w:rPr>
        <w:t>народні депутати України І.Суслова, А.Помазанов, О.Фельдман</w:t>
      </w:r>
    </w:p>
    <w:p w:rsidR="000B3DFF" w:rsidRDefault="000B3DFF" w:rsidP="000B3DFF">
      <w:pPr>
        <w:pStyle w:val="a3"/>
        <w:jc w:val="center"/>
        <w:rPr>
          <w:b/>
          <w:sz w:val="28"/>
        </w:rPr>
      </w:pPr>
    </w:p>
    <w:p w:rsidR="000B3DFF" w:rsidRDefault="000B3DFF" w:rsidP="000B3DFF">
      <w:pPr>
        <w:pStyle w:val="a3"/>
        <w:ind w:firstLine="1080"/>
        <w:rPr>
          <w:b/>
          <w:sz w:val="28"/>
        </w:rPr>
      </w:pPr>
    </w:p>
    <w:p w:rsidR="000B3DFF" w:rsidRDefault="000B3DFF" w:rsidP="000B3DFF">
      <w:pPr>
        <w:pStyle w:val="a3"/>
        <w:ind w:firstLine="1080"/>
        <w:rPr>
          <w:sz w:val="28"/>
        </w:rPr>
      </w:pPr>
      <w:r>
        <w:rPr>
          <w:b/>
          <w:sz w:val="28"/>
        </w:rPr>
        <w:t>Мета законопроекту:</w:t>
      </w:r>
      <w:r>
        <w:rPr>
          <w:sz w:val="28"/>
        </w:rPr>
        <w:t xml:space="preserve"> </w:t>
      </w:r>
      <w:r w:rsidR="00971EA9">
        <w:rPr>
          <w:sz w:val="28"/>
        </w:rPr>
        <w:t>запровадження</w:t>
      </w:r>
      <w:r>
        <w:rPr>
          <w:sz w:val="28"/>
        </w:rPr>
        <w:t xml:space="preserve"> </w:t>
      </w:r>
      <w:r w:rsidR="00971EA9">
        <w:rPr>
          <w:sz w:val="28"/>
        </w:rPr>
        <w:t xml:space="preserve">процедури визнання індивіда особою без громадянства і створення умов для легалізації статусу такої особи на території України </w:t>
      </w:r>
      <w:r>
        <w:rPr>
          <w:sz w:val="28"/>
        </w:rPr>
        <w:t xml:space="preserve">шляхом внесення змін до </w:t>
      </w:r>
      <w:r w:rsidR="00971EA9">
        <w:rPr>
          <w:sz w:val="28"/>
        </w:rPr>
        <w:t>низки національних законодавчих актів.</w:t>
      </w:r>
    </w:p>
    <w:p w:rsidR="000B3DFF" w:rsidRDefault="000B3DFF" w:rsidP="000B3DFF">
      <w:pPr>
        <w:pStyle w:val="a3"/>
        <w:ind w:firstLine="1080"/>
        <w:rPr>
          <w:sz w:val="28"/>
        </w:rPr>
      </w:pPr>
      <w:r>
        <w:rPr>
          <w:sz w:val="28"/>
        </w:rPr>
        <w:t xml:space="preserve"> </w:t>
      </w:r>
    </w:p>
    <w:p w:rsidR="000B3DFF" w:rsidRDefault="000B3DFF" w:rsidP="000B3DFF">
      <w:pPr>
        <w:pStyle w:val="a3"/>
        <w:ind w:firstLine="1080"/>
        <w:jc w:val="center"/>
        <w:rPr>
          <w:b/>
          <w:sz w:val="28"/>
        </w:rPr>
      </w:pPr>
      <w:r>
        <w:rPr>
          <w:b/>
          <w:sz w:val="28"/>
        </w:rPr>
        <w:t>Аналіз законопроекту на предмет відповідності зобов‘язанням    України в рамках Ради Європи</w:t>
      </w:r>
    </w:p>
    <w:p w:rsidR="000B3DFF" w:rsidRDefault="000B3DFF" w:rsidP="000B3DFF">
      <w:pPr>
        <w:pStyle w:val="a3"/>
        <w:ind w:firstLine="1080"/>
        <w:jc w:val="center"/>
        <w:rPr>
          <w:b/>
          <w:sz w:val="28"/>
          <w:lang w:val="ru-RU"/>
        </w:rPr>
      </w:pPr>
    </w:p>
    <w:p w:rsidR="00971EA9" w:rsidRDefault="00971EA9" w:rsidP="000B3DFF">
      <w:pPr>
        <w:pStyle w:val="a3"/>
        <w:ind w:firstLine="1080"/>
        <w:rPr>
          <w:sz w:val="28"/>
        </w:rPr>
      </w:pPr>
      <w:r>
        <w:rPr>
          <w:sz w:val="28"/>
        </w:rPr>
        <w:t>В рамках Ради Європи питання предмета законопроекту, що розглядається, регулюються Європейською конвенцією про громадянство 1997 року</w:t>
      </w:r>
      <w:r w:rsidR="00E96476">
        <w:rPr>
          <w:sz w:val="28"/>
        </w:rPr>
        <w:t xml:space="preserve"> (далі – Конвенція)</w:t>
      </w:r>
      <w:r>
        <w:rPr>
          <w:sz w:val="28"/>
        </w:rPr>
        <w:t>, Договірною Стороною якої України є з 2007 року.</w:t>
      </w:r>
    </w:p>
    <w:p w:rsidR="00971EA9" w:rsidRDefault="00E96476" w:rsidP="000B3DFF">
      <w:pPr>
        <w:pStyle w:val="a3"/>
        <w:ind w:firstLine="1080"/>
        <w:rPr>
          <w:sz w:val="28"/>
        </w:rPr>
      </w:pPr>
      <w:r>
        <w:rPr>
          <w:sz w:val="28"/>
        </w:rPr>
        <w:t xml:space="preserve">Аналіз законодавчої ініціативи в контексті </w:t>
      </w:r>
      <w:r w:rsidR="00971EA9">
        <w:rPr>
          <w:sz w:val="28"/>
        </w:rPr>
        <w:t xml:space="preserve"> </w:t>
      </w:r>
      <w:r>
        <w:rPr>
          <w:sz w:val="28"/>
        </w:rPr>
        <w:t xml:space="preserve">згаданої Конвенції дає дійти висновку, що її положення не суперечать останній. </w:t>
      </w:r>
    </w:p>
    <w:p w:rsidR="00E96476" w:rsidRPr="00E96476" w:rsidRDefault="00E96476" w:rsidP="000B3DFF">
      <w:pPr>
        <w:pStyle w:val="a3"/>
        <w:ind w:firstLine="1080"/>
        <w:rPr>
          <w:sz w:val="28"/>
        </w:rPr>
      </w:pPr>
      <w:r>
        <w:rPr>
          <w:sz w:val="28"/>
        </w:rPr>
        <w:t xml:space="preserve">Водночас, слід взяти до уваги, що за своїм духом і буквою (абзац п’ятий Преамбули, пункт </w:t>
      </w:r>
      <w:r>
        <w:rPr>
          <w:sz w:val="28"/>
          <w:lang w:val="en-US"/>
        </w:rPr>
        <w:t>b</w:t>
      </w:r>
      <w:r w:rsidRPr="00E96476">
        <w:rPr>
          <w:sz w:val="28"/>
        </w:rPr>
        <w:t xml:space="preserve">) частини першої статті  4, пункт </w:t>
      </w:r>
      <w:r>
        <w:rPr>
          <w:sz w:val="28"/>
          <w:lang w:val="en-US"/>
        </w:rPr>
        <w:t>g</w:t>
      </w:r>
      <w:r w:rsidRPr="00E96476">
        <w:rPr>
          <w:sz w:val="28"/>
        </w:rPr>
        <w:t>)</w:t>
      </w:r>
      <w:r>
        <w:rPr>
          <w:sz w:val="28"/>
        </w:rPr>
        <w:t xml:space="preserve"> части</w:t>
      </w:r>
      <w:r w:rsidRPr="00E96476">
        <w:rPr>
          <w:sz w:val="28"/>
        </w:rPr>
        <w:t>н</w:t>
      </w:r>
      <w:r>
        <w:rPr>
          <w:sz w:val="28"/>
        </w:rPr>
        <w:t>и</w:t>
      </w:r>
      <w:r w:rsidRPr="00E96476">
        <w:rPr>
          <w:sz w:val="28"/>
        </w:rPr>
        <w:t xml:space="preserve"> четвертої статті 6, частина третя статті 7) </w:t>
      </w:r>
      <w:r>
        <w:rPr>
          <w:sz w:val="28"/>
        </w:rPr>
        <w:t>Конвенція націлена на запобіганн</w:t>
      </w:r>
      <w:r w:rsidRPr="00E96476">
        <w:rPr>
          <w:sz w:val="28"/>
        </w:rPr>
        <w:t>я, наскільки це можливо,</w:t>
      </w:r>
      <w:r>
        <w:rPr>
          <w:sz w:val="28"/>
        </w:rPr>
        <w:t xml:space="preserve"> випадків</w:t>
      </w:r>
      <w:r w:rsidRPr="00E96476">
        <w:rPr>
          <w:sz w:val="28"/>
        </w:rPr>
        <w:t xml:space="preserve"> </w:t>
      </w:r>
      <w:r>
        <w:rPr>
          <w:sz w:val="28"/>
        </w:rPr>
        <w:t>безгромадянства  як явища.</w:t>
      </w:r>
    </w:p>
    <w:p w:rsidR="000B3DFF" w:rsidRDefault="000B3DFF" w:rsidP="00E96476">
      <w:pPr>
        <w:pStyle w:val="a3"/>
        <w:ind w:firstLine="1080"/>
        <w:rPr>
          <w:sz w:val="28"/>
        </w:rPr>
      </w:pPr>
      <w:r>
        <w:rPr>
          <w:sz w:val="28"/>
        </w:rPr>
        <w:t xml:space="preserve"> </w:t>
      </w:r>
      <w:r w:rsidR="00E96476">
        <w:rPr>
          <w:sz w:val="28"/>
        </w:rPr>
        <w:t xml:space="preserve"> </w:t>
      </w:r>
    </w:p>
    <w:p w:rsidR="000B3DFF" w:rsidRPr="00581CC4" w:rsidRDefault="000B3DFF" w:rsidP="000B3DFF">
      <w:pPr>
        <w:pStyle w:val="a3"/>
        <w:ind w:firstLine="1215"/>
        <w:rPr>
          <w:color w:val="000000"/>
          <w:sz w:val="28"/>
          <w:szCs w:val="28"/>
        </w:rPr>
      </w:pPr>
    </w:p>
    <w:p w:rsidR="000B3DFF" w:rsidRDefault="000B3DFF" w:rsidP="000B3DFF">
      <w:pPr>
        <w:pStyle w:val="a3"/>
        <w:ind w:firstLine="1080"/>
        <w:rPr>
          <w:b/>
          <w:color w:val="000000"/>
          <w:sz w:val="21"/>
          <w:szCs w:val="21"/>
        </w:rPr>
      </w:pPr>
      <w:r>
        <w:rPr>
          <w:b/>
          <w:color w:val="000000"/>
          <w:sz w:val="28"/>
          <w:szCs w:val="28"/>
        </w:rPr>
        <w:t xml:space="preserve">Загальний висновок. </w:t>
      </w:r>
      <w:r>
        <w:rPr>
          <w:color w:val="000000"/>
          <w:sz w:val="28"/>
          <w:szCs w:val="28"/>
        </w:rPr>
        <w:t xml:space="preserve">Законопроект </w:t>
      </w:r>
      <w:r w:rsidR="00E96476">
        <w:rPr>
          <w:color w:val="000000"/>
          <w:sz w:val="28"/>
          <w:szCs w:val="28"/>
        </w:rPr>
        <w:t>9123</w:t>
      </w:r>
      <w:r>
        <w:rPr>
          <w:color w:val="000000"/>
          <w:sz w:val="28"/>
          <w:szCs w:val="28"/>
        </w:rPr>
        <w:t xml:space="preserve"> не суперечить зобов’язанням України в рамках Ради Європи. </w:t>
      </w:r>
    </w:p>
    <w:p w:rsidR="000B3DFF" w:rsidRDefault="000B3DFF" w:rsidP="000B3DFF">
      <w:pPr>
        <w:pStyle w:val="HTML"/>
        <w:shd w:val="clear" w:color="auto" w:fill="FFFFFF"/>
        <w:textAlignment w:val="baseline"/>
        <w:rPr>
          <w:color w:val="000000"/>
          <w:sz w:val="21"/>
          <w:szCs w:val="21"/>
        </w:rPr>
      </w:pPr>
      <w:bookmarkStart w:id="1" w:name="o94"/>
      <w:bookmarkEnd w:id="1"/>
      <w:r>
        <w:rPr>
          <w:color w:val="000000"/>
          <w:sz w:val="21"/>
          <w:szCs w:val="21"/>
        </w:rPr>
        <w:t xml:space="preserve">      </w:t>
      </w:r>
    </w:p>
    <w:p w:rsidR="000B3DFF" w:rsidRDefault="000B3DFF" w:rsidP="000B3DFF">
      <w:pPr>
        <w:rPr>
          <w:lang w:val="uk-UA"/>
        </w:rPr>
      </w:pPr>
    </w:p>
    <w:p w:rsidR="00E96476" w:rsidRDefault="00E96476" w:rsidP="000B3DFF">
      <w:pPr>
        <w:rPr>
          <w:lang w:val="uk-UA"/>
        </w:rPr>
      </w:pPr>
    </w:p>
    <w:p w:rsidR="00E96476" w:rsidRDefault="00E96476" w:rsidP="000B3DFF">
      <w:pPr>
        <w:rPr>
          <w:lang w:val="uk-UA"/>
        </w:rPr>
      </w:pPr>
    </w:p>
    <w:p w:rsidR="00E96476" w:rsidRDefault="00E96476" w:rsidP="000B3DFF">
      <w:pPr>
        <w:rPr>
          <w:lang w:val="uk-UA"/>
        </w:rPr>
      </w:pPr>
    </w:p>
    <w:p w:rsidR="00E96476" w:rsidRDefault="00E96476" w:rsidP="000B3DFF">
      <w:pPr>
        <w:rPr>
          <w:lang w:val="uk-UA"/>
        </w:rPr>
      </w:pPr>
    </w:p>
    <w:p w:rsidR="00E96476" w:rsidRPr="00E96476" w:rsidRDefault="00D705D9" w:rsidP="00E96476">
      <w:pPr>
        <w:spacing w:after="0" w:line="257" w:lineRule="auto"/>
        <w:jc w:val="right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5204CF" w:rsidRPr="00E96476" w:rsidRDefault="005204CF" w:rsidP="00E96476">
      <w:pPr>
        <w:spacing w:after="0" w:line="257" w:lineRule="auto"/>
        <w:rPr>
          <w:b/>
        </w:rPr>
      </w:pPr>
    </w:p>
    <w:sectPr w:rsidR="005204CF" w:rsidRPr="00E964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9BE" w:rsidRDefault="003009BE" w:rsidP="002E28D1">
      <w:pPr>
        <w:spacing w:after="0" w:line="240" w:lineRule="auto"/>
      </w:pPr>
      <w:r>
        <w:separator/>
      </w:r>
    </w:p>
  </w:endnote>
  <w:endnote w:type="continuationSeparator" w:id="0">
    <w:p w:rsidR="003009BE" w:rsidRDefault="003009BE" w:rsidP="002E2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D1" w:rsidRDefault="002E28D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D1" w:rsidRDefault="002E28D1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D1" w:rsidRDefault="002E28D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9BE" w:rsidRDefault="003009BE" w:rsidP="002E28D1">
      <w:pPr>
        <w:spacing w:after="0" w:line="240" w:lineRule="auto"/>
      </w:pPr>
      <w:r>
        <w:separator/>
      </w:r>
    </w:p>
  </w:footnote>
  <w:footnote w:type="continuationSeparator" w:id="0">
    <w:p w:rsidR="003009BE" w:rsidRDefault="003009BE" w:rsidP="002E2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D1" w:rsidRDefault="002E28D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D1" w:rsidRDefault="002E28D1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D1" w:rsidRDefault="002E28D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83BD9"/>
    <w:multiLevelType w:val="hybridMultilevel"/>
    <w:tmpl w:val="F9BC4DF0"/>
    <w:lvl w:ilvl="0" w:tplc="2EACCC08">
      <w:numFmt w:val="bullet"/>
      <w:lvlText w:val="-"/>
      <w:lvlJc w:val="left"/>
      <w:pPr>
        <w:ind w:left="157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DFF"/>
    <w:rsid w:val="000B3DFF"/>
    <w:rsid w:val="002E28D1"/>
    <w:rsid w:val="003009BE"/>
    <w:rsid w:val="005204CF"/>
    <w:rsid w:val="00971EA9"/>
    <w:rsid w:val="00C84B8F"/>
    <w:rsid w:val="00D705D9"/>
    <w:rsid w:val="00E9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DFF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0B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0B3DF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Body Text"/>
    <w:basedOn w:val="a"/>
    <w:link w:val="a4"/>
    <w:unhideWhenUsed/>
    <w:rsid w:val="000B3DFF"/>
    <w:pPr>
      <w:spacing w:after="0" w:line="240" w:lineRule="auto"/>
      <w:jc w:val="both"/>
    </w:pPr>
    <w:rPr>
      <w:rFonts w:eastAsia="Times New Roman" w:cs="Times New Roman"/>
      <w:sz w:val="24"/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rsid w:val="000B3DFF"/>
    <w:rPr>
      <w:rFonts w:eastAsia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0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705D9"/>
    <w:rPr>
      <w:rFonts w:ascii="Segoe UI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2E28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E28D1"/>
    <w:rPr>
      <w:lang w:val="ru-RU"/>
    </w:rPr>
  </w:style>
  <w:style w:type="paragraph" w:styleId="a9">
    <w:name w:val="footer"/>
    <w:basedOn w:val="a"/>
    <w:link w:val="aa"/>
    <w:uiPriority w:val="99"/>
    <w:unhideWhenUsed/>
    <w:rsid w:val="002E28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E28D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502</Characters>
  <Application>Microsoft Office Word</Application>
  <DocSecurity>0</DocSecurity>
  <Lines>4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2019-01-21T09:28:00Z</dcterms:created>
  <dcterms:modified xsi:type="dcterms:W3CDTF">2019-01-21T09:29:00Z</dcterms:modified>
</cp:coreProperties>
</file>