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D628DC" w:rsidRDefault="00D65B4C">
      <w:pPr>
        <w:keepNext/>
        <w:pBdr>
          <w:top w:val="nil"/>
          <w:left w:val="nil"/>
          <w:bottom w:val="nil"/>
          <w:right w:val="nil"/>
          <w:between w:val="nil"/>
        </w:pBdr>
        <w:jc w:val="center"/>
        <w:rPr>
          <w:b/>
          <w:color w:val="000000"/>
          <w:sz w:val="28"/>
          <w:szCs w:val="28"/>
        </w:rPr>
      </w:pPr>
      <w:r>
        <w:rPr>
          <w:b/>
          <w:color w:val="000000"/>
          <w:sz w:val="28"/>
          <w:szCs w:val="28"/>
        </w:rPr>
        <w:t>ПОЯСНЮВАЛЬНА ЗАПИСКА</w:t>
      </w:r>
    </w:p>
    <w:p w14:paraId="00000002" w14:textId="77777777" w:rsidR="00D628DC" w:rsidRDefault="00D65B4C">
      <w:pPr>
        <w:pBdr>
          <w:top w:val="nil"/>
          <w:left w:val="nil"/>
          <w:bottom w:val="nil"/>
          <w:right w:val="nil"/>
          <w:between w:val="nil"/>
        </w:pBdr>
        <w:jc w:val="center"/>
        <w:rPr>
          <w:i/>
          <w:sz w:val="28"/>
          <w:szCs w:val="28"/>
        </w:rPr>
      </w:pPr>
      <w:r>
        <w:rPr>
          <w:b/>
          <w:i/>
          <w:color w:val="000000"/>
          <w:sz w:val="28"/>
          <w:szCs w:val="28"/>
        </w:rPr>
        <w:t xml:space="preserve">до </w:t>
      </w:r>
      <w:r>
        <w:rPr>
          <w:b/>
          <w:i/>
          <w:sz w:val="28"/>
          <w:szCs w:val="28"/>
        </w:rPr>
        <w:t>Закону України про внесення змін до деяких законодавчих актів України щодо відновлення функціонування банківських установ щодо яких в судовому порядку скасовано постанови Національного банку України про віднесення банку до категорії неплатоспроможних та/або відкликання банківської ліцензії та ліквідацію банку</w:t>
      </w:r>
    </w:p>
    <w:p w14:paraId="00000003" w14:textId="77777777" w:rsidR="00D628DC" w:rsidRDefault="00D628DC">
      <w:pPr>
        <w:pBdr>
          <w:top w:val="nil"/>
          <w:left w:val="nil"/>
          <w:bottom w:val="nil"/>
          <w:right w:val="nil"/>
          <w:between w:val="nil"/>
        </w:pBdr>
        <w:jc w:val="both"/>
        <w:rPr>
          <w:sz w:val="28"/>
          <w:szCs w:val="28"/>
        </w:rPr>
      </w:pPr>
    </w:p>
    <w:p w14:paraId="00000004" w14:textId="77777777" w:rsidR="00D628DC" w:rsidRDefault="00D628DC">
      <w:pPr>
        <w:pBdr>
          <w:top w:val="nil"/>
          <w:left w:val="nil"/>
          <w:bottom w:val="nil"/>
          <w:right w:val="nil"/>
          <w:between w:val="nil"/>
        </w:pBdr>
        <w:jc w:val="both"/>
        <w:rPr>
          <w:sz w:val="28"/>
          <w:szCs w:val="28"/>
        </w:rPr>
      </w:pPr>
    </w:p>
    <w:p w14:paraId="00000005" w14:textId="77777777" w:rsidR="00D628DC" w:rsidRDefault="00D65B4C">
      <w:pPr>
        <w:pBdr>
          <w:top w:val="nil"/>
          <w:left w:val="nil"/>
          <w:bottom w:val="nil"/>
          <w:right w:val="nil"/>
          <w:between w:val="nil"/>
        </w:pBdr>
        <w:ind w:firstLine="709"/>
        <w:jc w:val="both"/>
        <w:rPr>
          <w:color w:val="000000"/>
          <w:sz w:val="28"/>
          <w:szCs w:val="28"/>
        </w:rPr>
      </w:pPr>
      <w:r>
        <w:rPr>
          <w:b/>
          <w:color w:val="000000"/>
          <w:sz w:val="28"/>
          <w:szCs w:val="28"/>
        </w:rPr>
        <w:t>1. Обґрунтування необхідності прийняття законопроекту</w:t>
      </w:r>
    </w:p>
    <w:p w14:paraId="00000006" w14:textId="77777777" w:rsidR="00D628DC" w:rsidRDefault="00D65B4C">
      <w:pPr>
        <w:shd w:val="clear" w:color="auto" w:fill="FFFFFF"/>
        <w:tabs>
          <w:tab w:val="left" w:pos="0"/>
        </w:tabs>
        <w:ind w:firstLine="567"/>
        <w:jc w:val="both"/>
        <w:rPr>
          <w:sz w:val="28"/>
          <w:szCs w:val="28"/>
          <w:highlight w:val="white"/>
        </w:rPr>
      </w:pPr>
      <w:r>
        <w:rPr>
          <w:sz w:val="28"/>
          <w:szCs w:val="28"/>
          <w:highlight w:val="white"/>
        </w:rPr>
        <w:t xml:space="preserve">Ратифікувавши </w:t>
      </w:r>
      <w:hyperlink r:id="rId8">
        <w:r>
          <w:rPr>
            <w:color w:val="000099"/>
            <w:sz w:val="28"/>
            <w:szCs w:val="28"/>
            <w:highlight w:val="white"/>
            <w:u w:val="single"/>
          </w:rPr>
          <w:t>Угоду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w:r>
        <w:rPr>
          <w:sz w:val="28"/>
          <w:szCs w:val="28"/>
          <w:highlight w:val="white"/>
        </w:rPr>
        <w:t>, Україна отримала інструмент та дороговказ для своїх перетворень. Виконання вимог цієї Угоди дає можливість Україні в подальшому стати повноцінним членом в Європейському Союзі. Такими вимогами є відповідність Копенгагенським критеріям - параметрам, яким мають відповідати держави - члени Європейського Союзу.</w:t>
      </w:r>
    </w:p>
    <w:p w14:paraId="00000007" w14:textId="77777777" w:rsidR="00D628DC" w:rsidRDefault="00D65B4C">
      <w:pPr>
        <w:ind w:firstLine="567"/>
        <w:jc w:val="both"/>
        <w:rPr>
          <w:sz w:val="28"/>
          <w:szCs w:val="28"/>
        </w:rPr>
      </w:pPr>
      <w:r>
        <w:rPr>
          <w:sz w:val="28"/>
          <w:szCs w:val="28"/>
        </w:rPr>
        <w:t xml:space="preserve">Так, відповідно до ст. </w:t>
      </w:r>
      <w:r>
        <w:rPr>
          <w:b/>
          <w:sz w:val="28"/>
          <w:szCs w:val="28"/>
        </w:rPr>
        <w:t>127</w:t>
      </w:r>
      <w:r>
        <w:rPr>
          <w:sz w:val="28"/>
          <w:szCs w:val="28"/>
        </w:rPr>
        <w:t xml:space="preserve"> </w:t>
      </w:r>
      <w:r>
        <w:rPr>
          <w:b/>
          <w:sz w:val="28"/>
          <w:szCs w:val="28"/>
        </w:rPr>
        <w:t>Угоди про асоціацію між Україною</w:t>
      </w:r>
      <w:r>
        <w:rPr>
          <w:sz w:val="28"/>
          <w:szCs w:val="28"/>
        </w:rPr>
        <w:t xml:space="preserve">, з однієї сторони, та Європейським Союзом, Європейським співтовариством з атомної енергії і їхніми державами-членами, з іншої сторони, </w:t>
      </w:r>
      <w:r>
        <w:rPr>
          <w:sz w:val="28"/>
          <w:szCs w:val="28"/>
          <w:highlight w:val="white"/>
        </w:rPr>
        <w:t xml:space="preserve">ратифікованої Законом України </w:t>
      </w:r>
      <w:hyperlink r:id="rId9" w:anchor="n2">
        <w:r>
          <w:rPr>
            <w:color w:val="4A86E8"/>
            <w:sz w:val="28"/>
            <w:szCs w:val="28"/>
            <w:highlight w:val="white"/>
            <w:u w:val="single"/>
          </w:rPr>
          <w:t xml:space="preserve">№ 1678-VII </w:t>
        </w:r>
      </w:hyperlink>
      <w:hyperlink r:id="rId10" w:anchor="n2">
        <w:r>
          <w:rPr>
            <w:sz w:val="28"/>
            <w:szCs w:val="28"/>
            <w:highlight w:val="white"/>
          </w:rPr>
          <w:t>від 16.09.2014</w:t>
        </w:r>
      </w:hyperlink>
      <w:r>
        <w:rPr>
          <w:sz w:val="28"/>
          <w:szCs w:val="28"/>
        </w:rPr>
        <w:t xml:space="preserve"> р., </w:t>
      </w:r>
      <w:r>
        <w:rPr>
          <w:sz w:val="28"/>
          <w:szCs w:val="28"/>
          <w:highlight w:val="white"/>
        </w:rPr>
        <w:t xml:space="preserve">кожна Сторона докладає необхідних зусиль для </w:t>
      </w:r>
      <w:r>
        <w:rPr>
          <w:b/>
          <w:sz w:val="28"/>
          <w:szCs w:val="28"/>
          <w:highlight w:val="white"/>
        </w:rPr>
        <w:t xml:space="preserve">забезпечення впровадження міжнародних стандартів регулювання та нагляду у сфері фінансових послуг </w:t>
      </w:r>
      <w:r>
        <w:rPr>
          <w:sz w:val="28"/>
          <w:szCs w:val="28"/>
          <w:highlight w:val="white"/>
        </w:rPr>
        <w:t xml:space="preserve">та для боротьби з ухиленням від сплати податків на всій її території. Такі міжнародні стандарти включають, зокрема, </w:t>
      </w:r>
      <w:r>
        <w:rPr>
          <w:b/>
          <w:sz w:val="28"/>
          <w:szCs w:val="28"/>
          <w:highlight w:val="white"/>
        </w:rPr>
        <w:t>«Основні принципи ефективного банківського нагляду» Базельського комітету</w:t>
      </w:r>
      <w:r>
        <w:rPr>
          <w:sz w:val="28"/>
          <w:szCs w:val="28"/>
          <w:highlight w:val="white"/>
        </w:rPr>
        <w:t>, «Основні принципи страхування» Міжнародної асоціації органів нагляду за страховою діяльністю, «Цілі та принципи регулювання обігу цінних паперів» Міжнародної організації комісій з цінних паперів, Угоду ОEСР про обмін інформацією з питань оподаткування», Заяву країн-членів «Групи двадцяти» про прозорість інформації та обмін інформацією для цілей оподаткування» та «Сорок рекомендацій», «Дев’ять спеціальних рекомендацій стосовно боротьби із фінансуванням тероризму» Групи з розробки фінансових заходів боротьби з відмиванням грошей (FATF).</w:t>
      </w:r>
    </w:p>
    <w:p w14:paraId="00000008" w14:textId="77777777" w:rsidR="00D628DC" w:rsidRDefault="00D65B4C">
      <w:pPr>
        <w:ind w:firstLine="567"/>
        <w:jc w:val="both"/>
        <w:rPr>
          <w:sz w:val="28"/>
          <w:szCs w:val="28"/>
        </w:rPr>
      </w:pPr>
      <w:r>
        <w:rPr>
          <w:sz w:val="28"/>
          <w:szCs w:val="28"/>
        </w:rPr>
        <w:t xml:space="preserve">Згідно частини </w:t>
      </w:r>
      <w:r>
        <w:rPr>
          <w:b/>
          <w:sz w:val="28"/>
          <w:szCs w:val="28"/>
        </w:rPr>
        <w:t xml:space="preserve">1 ст. 133 Угоди </w:t>
      </w:r>
      <w:r>
        <w:rPr>
          <w:sz w:val="28"/>
          <w:szCs w:val="28"/>
        </w:rPr>
        <w:t xml:space="preserve">про асоціацію </w:t>
      </w:r>
      <w:r>
        <w:rPr>
          <w:b/>
          <w:sz w:val="28"/>
          <w:szCs w:val="28"/>
          <w:highlight w:val="white"/>
        </w:rPr>
        <w:t>Сторони визнають</w:t>
      </w:r>
      <w:r>
        <w:rPr>
          <w:sz w:val="28"/>
          <w:szCs w:val="28"/>
          <w:highlight w:val="white"/>
        </w:rPr>
        <w:t xml:space="preserve"> </w:t>
      </w:r>
      <w:r>
        <w:rPr>
          <w:b/>
          <w:sz w:val="28"/>
          <w:szCs w:val="28"/>
          <w:highlight w:val="white"/>
        </w:rPr>
        <w:t>важливість наближення чинного законодавства України до законодавства Європейського Союзу.</w:t>
      </w:r>
      <w:r>
        <w:rPr>
          <w:sz w:val="28"/>
          <w:szCs w:val="28"/>
          <w:highlight w:val="white"/>
        </w:rPr>
        <w:t xml:space="preserve"> </w:t>
      </w:r>
      <w:r>
        <w:rPr>
          <w:b/>
          <w:sz w:val="28"/>
          <w:szCs w:val="28"/>
          <w:highlight w:val="white"/>
        </w:rPr>
        <w:t>Україна забезпечить поступове приведення</w:t>
      </w:r>
      <w:r>
        <w:rPr>
          <w:sz w:val="28"/>
          <w:szCs w:val="28"/>
          <w:highlight w:val="white"/>
        </w:rPr>
        <w:t xml:space="preserve"> </w:t>
      </w:r>
      <w:r>
        <w:rPr>
          <w:b/>
          <w:sz w:val="28"/>
          <w:szCs w:val="28"/>
          <w:highlight w:val="white"/>
        </w:rPr>
        <w:t xml:space="preserve">у відповідність своїх чинних законів та майбутнього законодавства до </w:t>
      </w:r>
      <w:proofErr w:type="spellStart"/>
      <w:r>
        <w:rPr>
          <w:b/>
          <w:sz w:val="28"/>
          <w:szCs w:val="28"/>
          <w:highlight w:val="white"/>
        </w:rPr>
        <w:t>acquis</w:t>
      </w:r>
      <w:proofErr w:type="spellEnd"/>
      <w:r>
        <w:rPr>
          <w:b/>
          <w:sz w:val="28"/>
          <w:szCs w:val="28"/>
          <w:highlight w:val="white"/>
        </w:rPr>
        <w:t xml:space="preserve"> ЄС</w:t>
      </w:r>
      <w:r>
        <w:rPr>
          <w:sz w:val="28"/>
          <w:szCs w:val="28"/>
          <w:highlight w:val="white"/>
        </w:rPr>
        <w:t xml:space="preserve">. </w:t>
      </w:r>
      <w:r>
        <w:rPr>
          <w:sz w:val="28"/>
          <w:szCs w:val="28"/>
        </w:rPr>
        <w:t xml:space="preserve">Правила, що пропонуються застосовувати до нормативно-правового наближення у банківській сфері, визначено у Доповненні </w:t>
      </w:r>
      <w:hyperlink r:id="rId11">
        <w:r>
          <w:rPr>
            <w:color w:val="1155CC"/>
            <w:sz w:val="28"/>
            <w:szCs w:val="28"/>
            <w:u w:val="single"/>
          </w:rPr>
          <w:t>XVII-2</w:t>
        </w:r>
      </w:hyperlink>
      <w:r>
        <w:rPr>
          <w:sz w:val="28"/>
          <w:szCs w:val="28"/>
        </w:rPr>
        <w:t xml:space="preserve"> Додатку XVII до Угоди.</w:t>
      </w:r>
    </w:p>
    <w:p w14:paraId="00000009" w14:textId="77777777" w:rsidR="00D628DC" w:rsidRDefault="00D65B4C">
      <w:pPr>
        <w:ind w:firstLine="567"/>
        <w:jc w:val="both"/>
        <w:rPr>
          <w:b/>
          <w:sz w:val="28"/>
          <w:szCs w:val="28"/>
          <w:highlight w:val="white"/>
        </w:rPr>
      </w:pPr>
      <w:r>
        <w:rPr>
          <w:sz w:val="28"/>
          <w:szCs w:val="28"/>
        </w:rPr>
        <w:t xml:space="preserve">Статтею </w:t>
      </w:r>
      <w:r>
        <w:rPr>
          <w:b/>
          <w:sz w:val="28"/>
          <w:szCs w:val="28"/>
        </w:rPr>
        <w:t>3 Угоди</w:t>
      </w:r>
      <w:r>
        <w:rPr>
          <w:sz w:val="28"/>
          <w:szCs w:val="28"/>
        </w:rPr>
        <w:t xml:space="preserve"> </w:t>
      </w:r>
      <w:r>
        <w:rPr>
          <w:sz w:val="28"/>
          <w:szCs w:val="28"/>
          <w:highlight w:val="white"/>
        </w:rPr>
        <w:t xml:space="preserve">Сторони визнали, що </w:t>
      </w:r>
      <w:r>
        <w:rPr>
          <w:b/>
          <w:sz w:val="28"/>
          <w:szCs w:val="28"/>
          <w:highlight w:val="white"/>
        </w:rPr>
        <w:t>принципи вільної ринкової економіки становлять основу для їхніх відносин</w:t>
      </w:r>
      <w:r>
        <w:rPr>
          <w:sz w:val="28"/>
          <w:szCs w:val="28"/>
          <w:highlight w:val="white"/>
        </w:rPr>
        <w:t xml:space="preserve">. </w:t>
      </w:r>
      <w:r>
        <w:rPr>
          <w:b/>
          <w:sz w:val="28"/>
          <w:szCs w:val="28"/>
          <w:highlight w:val="white"/>
        </w:rPr>
        <w:t>Верховенство права</w:t>
      </w:r>
      <w:r>
        <w:rPr>
          <w:sz w:val="28"/>
          <w:szCs w:val="28"/>
          <w:highlight w:val="white"/>
        </w:rPr>
        <w:t xml:space="preserve">, належне врядування, боротьба з корупцією, боротьба з різними формами транснаціональної організованої злочинності й тероризмом, </w:t>
      </w:r>
      <w:r>
        <w:rPr>
          <w:b/>
          <w:sz w:val="28"/>
          <w:szCs w:val="28"/>
          <w:highlight w:val="white"/>
        </w:rPr>
        <w:t xml:space="preserve">сприяння </w:t>
      </w:r>
      <w:r>
        <w:rPr>
          <w:b/>
          <w:sz w:val="28"/>
          <w:szCs w:val="28"/>
          <w:highlight w:val="white"/>
        </w:rPr>
        <w:lastRenderedPageBreak/>
        <w:t>сталому розвитку і ефективній багатосторонності</w:t>
      </w:r>
      <w:r>
        <w:rPr>
          <w:sz w:val="28"/>
          <w:szCs w:val="28"/>
          <w:highlight w:val="white"/>
        </w:rPr>
        <w:t xml:space="preserve"> є</w:t>
      </w:r>
      <w:r>
        <w:rPr>
          <w:b/>
          <w:sz w:val="28"/>
          <w:szCs w:val="28"/>
          <w:highlight w:val="white"/>
        </w:rPr>
        <w:t xml:space="preserve"> головними принципами для посилення відносин між Сторонами.</w:t>
      </w:r>
    </w:p>
    <w:p w14:paraId="0000000A" w14:textId="77777777" w:rsidR="00D628DC" w:rsidRDefault="00D65B4C">
      <w:pPr>
        <w:ind w:firstLine="567"/>
        <w:jc w:val="both"/>
        <w:rPr>
          <w:sz w:val="28"/>
          <w:szCs w:val="28"/>
          <w:highlight w:val="white"/>
        </w:rPr>
      </w:pPr>
      <w:r>
        <w:rPr>
          <w:sz w:val="28"/>
          <w:szCs w:val="28"/>
          <w:highlight w:val="white"/>
        </w:rPr>
        <w:t xml:space="preserve">Відповідно до </w:t>
      </w:r>
      <w:r>
        <w:rPr>
          <w:b/>
          <w:sz w:val="28"/>
          <w:szCs w:val="28"/>
          <w:highlight w:val="white"/>
        </w:rPr>
        <w:t>ст. 6 Угоди</w:t>
      </w:r>
      <w:r>
        <w:rPr>
          <w:sz w:val="28"/>
          <w:szCs w:val="28"/>
          <w:highlight w:val="white"/>
        </w:rPr>
        <w:t xml:space="preserve"> Сторони співробітничають з метою забезпечення того, щоб їхня внутрішня політика ґрунтувалася на спільних для Сторін принципах, зокрема таких, як стабільність і дієвість </w:t>
      </w:r>
      <w:r>
        <w:rPr>
          <w:b/>
          <w:sz w:val="28"/>
          <w:szCs w:val="28"/>
          <w:highlight w:val="white"/>
        </w:rPr>
        <w:t>демократичних інституцій</w:t>
      </w:r>
      <w:r>
        <w:rPr>
          <w:sz w:val="28"/>
          <w:szCs w:val="28"/>
          <w:highlight w:val="white"/>
        </w:rPr>
        <w:t xml:space="preserve">, </w:t>
      </w:r>
      <w:r>
        <w:rPr>
          <w:b/>
          <w:sz w:val="28"/>
          <w:szCs w:val="28"/>
          <w:highlight w:val="white"/>
        </w:rPr>
        <w:t>верховенство права</w:t>
      </w:r>
      <w:r>
        <w:rPr>
          <w:sz w:val="28"/>
          <w:szCs w:val="28"/>
          <w:highlight w:val="white"/>
        </w:rPr>
        <w:t xml:space="preserve"> та повага до прав людини і основоположних свобод, про які йдеться також у </w:t>
      </w:r>
      <w:hyperlink r:id="rId12" w:anchor="n130">
        <w:r>
          <w:rPr>
            <w:sz w:val="28"/>
            <w:szCs w:val="28"/>
            <w:highlight w:val="white"/>
          </w:rPr>
          <w:t>статті 14</w:t>
        </w:r>
      </w:hyperlink>
      <w:r>
        <w:rPr>
          <w:sz w:val="28"/>
          <w:szCs w:val="28"/>
          <w:highlight w:val="white"/>
        </w:rPr>
        <w:t xml:space="preserve"> цієї Угоди.</w:t>
      </w:r>
    </w:p>
    <w:p w14:paraId="0000000B" w14:textId="77777777" w:rsidR="00D628DC" w:rsidRDefault="00D65B4C">
      <w:pPr>
        <w:ind w:firstLine="567"/>
        <w:jc w:val="both"/>
        <w:rPr>
          <w:sz w:val="28"/>
          <w:szCs w:val="28"/>
        </w:rPr>
      </w:pPr>
      <w:r>
        <w:rPr>
          <w:sz w:val="28"/>
          <w:szCs w:val="28"/>
        </w:rPr>
        <w:t xml:space="preserve">Статтею </w:t>
      </w:r>
      <w:r>
        <w:rPr>
          <w:b/>
          <w:sz w:val="28"/>
          <w:szCs w:val="28"/>
        </w:rPr>
        <w:t>383 Угоди</w:t>
      </w:r>
      <w:r>
        <w:rPr>
          <w:sz w:val="28"/>
          <w:szCs w:val="28"/>
        </w:rPr>
        <w:t xml:space="preserve"> встановлено, що визнаючи важливість ефективної системи правил та практики їхньої реалізації у сфері фінансових послуг для становлення повноцінної ринкової економіки та з метою сприяння торговельному обміну між Сторонами, Сторони домовились співробітничати у </w:t>
      </w:r>
      <w:r>
        <w:rPr>
          <w:sz w:val="28"/>
          <w:szCs w:val="28"/>
          <w:u w:val="single"/>
        </w:rPr>
        <w:t>сфері фінансових послуг</w:t>
      </w:r>
      <w:r>
        <w:rPr>
          <w:sz w:val="28"/>
          <w:szCs w:val="28"/>
        </w:rPr>
        <w:t xml:space="preserve"> відповідно до таких цілей:</w:t>
      </w:r>
    </w:p>
    <w:p w14:paraId="0000000C" w14:textId="77777777" w:rsidR="00D628DC" w:rsidRDefault="00D65B4C">
      <w:pPr>
        <w:shd w:val="clear" w:color="auto" w:fill="FFFFFF"/>
        <w:ind w:firstLine="460"/>
        <w:jc w:val="both"/>
        <w:rPr>
          <w:sz w:val="28"/>
          <w:szCs w:val="28"/>
        </w:rPr>
      </w:pPr>
      <w:r>
        <w:rPr>
          <w:sz w:val="28"/>
          <w:szCs w:val="28"/>
        </w:rPr>
        <w:t>a) підтримки процесу адаптації регулювання фінансових послуг до потреб відкритої ринкової економіки;</w:t>
      </w:r>
    </w:p>
    <w:p w14:paraId="0000000D" w14:textId="77777777" w:rsidR="00D628DC" w:rsidRDefault="00D65B4C">
      <w:pPr>
        <w:shd w:val="clear" w:color="auto" w:fill="FFFFFF"/>
        <w:ind w:firstLine="460"/>
        <w:jc w:val="both"/>
        <w:rPr>
          <w:sz w:val="28"/>
          <w:szCs w:val="28"/>
        </w:rPr>
      </w:pPr>
      <w:r>
        <w:rPr>
          <w:sz w:val="28"/>
          <w:szCs w:val="28"/>
        </w:rPr>
        <w:t xml:space="preserve">b) </w:t>
      </w:r>
      <w:r>
        <w:rPr>
          <w:b/>
          <w:sz w:val="28"/>
          <w:szCs w:val="28"/>
        </w:rPr>
        <w:t>забезпечення ефективного та належного захисту інвесторів та інших споживачів фінансових послуг</w:t>
      </w:r>
      <w:r>
        <w:rPr>
          <w:sz w:val="28"/>
          <w:szCs w:val="28"/>
        </w:rPr>
        <w:t>;</w:t>
      </w:r>
    </w:p>
    <w:p w14:paraId="0000000E" w14:textId="77777777" w:rsidR="00D628DC" w:rsidRDefault="00D65B4C">
      <w:pPr>
        <w:shd w:val="clear" w:color="auto" w:fill="FFFFFF"/>
        <w:ind w:firstLine="460"/>
        <w:jc w:val="both"/>
        <w:rPr>
          <w:sz w:val="28"/>
          <w:szCs w:val="28"/>
        </w:rPr>
      </w:pPr>
      <w:r>
        <w:rPr>
          <w:sz w:val="28"/>
          <w:szCs w:val="28"/>
        </w:rPr>
        <w:t xml:space="preserve">c) </w:t>
      </w:r>
      <w:r>
        <w:rPr>
          <w:b/>
          <w:sz w:val="28"/>
          <w:szCs w:val="28"/>
        </w:rPr>
        <w:t>сприяння стабільності та цілісності світової фінансової системи</w:t>
      </w:r>
      <w:r>
        <w:rPr>
          <w:sz w:val="28"/>
          <w:szCs w:val="28"/>
        </w:rPr>
        <w:t>;</w:t>
      </w:r>
    </w:p>
    <w:p w14:paraId="0000000F" w14:textId="77777777" w:rsidR="00D628DC" w:rsidRDefault="00D65B4C">
      <w:pPr>
        <w:shd w:val="clear" w:color="auto" w:fill="FFFFFF"/>
        <w:ind w:firstLine="460"/>
        <w:jc w:val="both"/>
        <w:rPr>
          <w:sz w:val="28"/>
          <w:szCs w:val="28"/>
        </w:rPr>
      </w:pPr>
      <w:r>
        <w:rPr>
          <w:sz w:val="28"/>
          <w:szCs w:val="28"/>
        </w:rPr>
        <w:t>d) підтримки співробітництва між різними учасниками фінансової системи, зокрема регуляторні та наглядові органи;</w:t>
      </w:r>
    </w:p>
    <w:p w14:paraId="00000010" w14:textId="77777777" w:rsidR="00D628DC" w:rsidRDefault="00D65B4C">
      <w:pPr>
        <w:shd w:val="clear" w:color="auto" w:fill="FFFFFF"/>
        <w:ind w:firstLine="460"/>
        <w:jc w:val="both"/>
        <w:rPr>
          <w:sz w:val="28"/>
          <w:szCs w:val="28"/>
        </w:rPr>
      </w:pPr>
      <w:r>
        <w:rPr>
          <w:sz w:val="28"/>
          <w:szCs w:val="28"/>
        </w:rPr>
        <w:t>e) забезпечення незалежного та ефективного нагляду.</w:t>
      </w:r>
    </w:p>
    <w:p w14:paraId="00000011" w14:textId="77777777" w:rsidR="00D628DC" w:rsidRDefault="00D65B4C">
      <w:pPr>
        <w:shd w:val="clear" w:color="auto" w:fill="FFFFFF"/>
        <w:ind w:firstLine="460"/>
        <w:jc w:val="both"/>
        <w:rPr>
          <w:sz w:val="28"/>
          <w:szCs w:val="28"/>
        </w:rPr>
      </w:pPr>
      <w:r>
        <w:rPr>
          <w:sz w:val="28"/>
          <w:szCs w:val="28"/>
        </w:rPr>
        <w:t xml:space="preserve">Згідно </w:t>
      </w:r>
      <w:r>
        <w:rPr>
          <w:b/>
          <w:sz w:val="28"/>
          <w:szCs w:val="28"/>
        </w:rPr>
        <w:t>ст. 385 Сторони</w:t>
      </w:r>
      <w:r>
        <w:rPr>
          <w:sz w:val="28"/>
          <w:szCs w:val="28"/>
        </w:rPr>
        <w:t xml:space="preserve"> сприяють поступовому наближенню до визнаних міжнародних стандартів щодо регулювання і нагляду у сфері фінансових послуг. Відповідні акти права ЄС у галузі фінансових послуг містяться у </w:t>
      </w:r>
      <w:hyperlink r:id="rId13" w:anchor="n642">
        <w:r>
          <w:rPr>
            <w:sz w:val="28"/>
            <w:szCs w:val="28"/>
          </w:rPr>
          <w:t>Главі 6</w:t>
        </w:r>
      </w:hyperlink>
      <w:r>
        <w:rPr>
          <w:sz w:val="28"/>
          <w:szCs w:val="28"/>
        </w:rPr>
        <w:t xml:space="preserve"> («Заснування підприємницької діяльності, торгівля послугами та електронна торгівля») Розділу IV («Торгівля та питання, пов’язані з торгівлею») цієї Угоди.</w:t>
      </w:r>
    </w:p>
    <w:p w14:paraId="00000012" w14:textId="77777777" w:rsidR="00D628DC" w:rsidRDefault="00D65B4C">
      <w:pPr>
        <w:shd w:val="clear" w:color="auto" w:fill="FFFFFF"/>
        <w:tabs>
          <w:tab w:val="left" w:pos="0"/>
        </w:tabs>
        <w:ind w:firstLine="567"/>
        <w:jc w:val="both"/>
        <w:rPr>
          <w:sz w:val="28"/>
          <w:szCs w:val="28"/>
          <w:highlight w:val="white"/>
        </w:rPr>
      </w:pPr>
      <w:r>
        <w:rPr>
          <w:sz w:val="28"/>
          <w:szCs w:val="28"/>
          <w:highlight w:val="white"/>
        </w:rPr>
        <w:t xml:space="preserve">Для впровадження в Україні європейських стандартів життя та вихід України на провідні позиції у світі Указом Президента України була схвалена </w:t>
      </w:r>
      <w:r>
        <w:rPr>
          <w:sz w:val="28"/>
          <w:szCs w:val="28"/>
        </w:rPr>
        <w:t xml:space="preserve">Стратегія сталого розвитку «Україна-2020» від 12.01.2015 р. </w:t>
      </w:r>
    </w:p>
    <w:p w14:paraId="00000013" w14:textId="77777777" w:rsidR="00D628DC" w:rsidRDefault="00D65B4C">
      <w:pPr>
        <w:ind w:firstLine="567"/>
        <w:jc w:val="both"/>
        <w:rPr>
          <w:sz w:val="28"/>
          <w:szCs w:val="28"/>
          <w:highlight w:val="white"/>
        </w:rPr>
      </w:pPr>
      <w:r>
        <w:rPr>
          <w:sz w:val="28"/>
          <w:szCs w:val="28"/>
          <w:highlight w:val="white"/>
        </w:rPr>
        <w:t>В рамках векторів руху даної Стратегії було запроваджено реформу фінансового сектору.</w:t>
      </w:r>
    </w:p>
    <w:p w14:paraId="00000014" w14:textId="77777777" w:rsidR="00D628DC" w:rsidRDefault="00D65B4C">
      <w:pPr>
        <w:ind w:firstLine="567"/>
        <w:jc w:val="both"/>
        <w:rPr>
          <w:sz w:val="28"/>
          <w:szCs w:val="28"/>
          <w:highlight w:val="white"/>
        </w:rPr>
      </w:pPr>
      <w:r>
        <w:rPr>
          <w:sz w:val="28"/>
          <w:szCs w:val="28"/>
        </w:rPr>
        <w:t xml:space="preserve">Реформування банківської системи, яка входить в реформу фінансового сектору,  </w:t>
      </w:r>
      <w:r>
        <w:rPr>
          <w:sz w:val="28"/>
          <w:szCs w:val="28"/>
          <w:highlight w:val="white"/>
        </w:rPr>
        <w:t xml:space="preserve">Національний Банк України розпочав </w:t>
      </w:r>
      <w:r>
        <w:rPr>
          <w:sz w:val="28"/>
          <w:szCs w:val="28"/>
        </w:rPr>
        <w:t xml:space="preserve">з 2014 року, першим етапом якої був </w:t>
      </w:r>
      <w:r>
        <w:rPr>
          <w:sz w:val="28"/>
          <w:szCs w:val="28"/>
          <w:highlight w:val="white"/>
        </w:rPr>
        <w:t>процес її очищення.</w:t>
      </w:r>
    </w:p>
    <w:p w14:paraId="00000015" w14:textId="77777777" w:rsidR="00D628DC" w:rsidRDefault="00D65B4C">
      <w:pPr>
        <w:ind w:firstLine="567"/>
        <w:jc w:val="both"/>
        <w:rPr>
          <w:sz w:val="28"/>
          <w:szCs w:val="28"/>
        </w:rPr>
      </w:pPr>
      <w:r>
        <w:rPr>
          <w:sz w:val="28"/>
          <w:szCs w:val="28"/>
          <w:highlight w:val="white"/>
        </w:rPr>
        <w:t>В</w:t>
      </w:r>
      <w:r>
        <w:rPr>
          <w:sz w:val="28"/>
          <w:szCs w:val="28"/>
        </w:rPr>
        <w:t xml:space="preserve"> рамках даного очищення банківської системи впродовж </w:t>
      </w:r>
      <w:r>
        <w:rPr>
          <w:b/>
          <w:sz w:val="28"/>
          <w:szCs w:val="28"/>
        </w:rPr>
        <w:t>2014–2017 років</w:t>
      </w:r>
      <w:r>
        <w:rPr>
          <w:sz w:val="28"/>
          <w:szCs w:val="28"/>
        </w:rPr>
        <w:t xml:space="preserve"> Правління НБУ віднесло до категорії неплатоспроможних/ліквідувало </w:t>
      </w:r>
      <w:r>
        <w:rPr>
          <w:b/>
          <w:sz w:val="28"/>
          <w:szCs w:val="28"/>
        </w:rPr>
        <w:t>96 банків</w:t>
      </w:r>
      <w:r>
        <w:rPr>
          <w:sz w:val="28"/>
          <w:szCs w:val="28"/>
        </w:rPr>
        <w:t xml:space="preserve">. При чому, нормативне регулювання проведення даної реформи з'явилось лише 18.16.2015 р. в </w:t>
      </w:r>
      <w:r>
        <w:rPr>
          <w:b/>
          <w:sz w:val="28"/>
          <w:szCs w:val="28"/>
        </w:rPr>
        <w:t>Комплексній програмі розвитку фінансового сектору України до 2020</w:t>
      </w:r>
      <w:r>
        <w:rPr>
          <w:sz w:val="28"/>
          <w:szCs w:val="28"/>
        </w:rPr>
        <w:t xml:space="preserve"> року, затвердженої Постановою Правління НБУ № 391.</w:t>
      </w:r>
    </w:p>
    <w:p w14:paraId="00000016" w14:textId="77777777" w:rsidR="00D628DC" w:rsidRDefault="00D65B4C">
      <w:pPr>
        <w:ind w:firstLine="567"/>
        <w:jc w:val="both"/>
        <w:rPr>
          <w:sz w:val="28"/>
          <w:szCs w:val="28"/>
        </w:rPr>
      </w:pPr>
      <w:r>
        <w:rPr>
          <w:sz w:val="28"/>
          <w:szCs w:val="28"/>
        </w:rPr>
        <w:t xml:space="preserve">Головною метою цієї Комплексної програми є створення фінансової системи, що здатна забезпечувати сталий економічний розвиток за рахунок ефективного перерозподілу фінансових ресурсів в економіці на основі розбудови повноцінного ринкового конкурентоспроможного середовища </w:t>
      </w:r>
      <w:r>
        <w:rPr>
          <w:b/>
          <w:sz w:val="28"/>
          <w:szCs w:val="28"/>
        </w:rPr>
        <w:t>згідно зі стандартами ЄС</w:t>
      </w:r>
      <w:r>
        <w:rPr>
          <w:sz w:val="28"/>
          <w:szCs w:val="28"/>
        </w:rPr>
        <w:t xml:space="preserve">. Досягнення мети Програми забезпечуватиметься </w:t>
      </w:r>
      <w:r>
        <w:rPr>
          <w:sz w:val="28"/>
          <w:szCs w:val="28"/>
        </w:rPr>
        <w:lastRenderedPageBreak/>
        <w:t xml:space="preserve">шляхом реалізації низки взаємопов’язаних заходів, спрямованих на комплексне реформування фінансового сектору. В основу Програми покладено такі базові принципи:  </w:t>
      </w:r>
      <w:r>
        <w:rPr>
          <w:b/>
          <w:sz w:val="28"/>
          <w:szCs w:val="28"/>
        </w:rPr>
        <w:t>європейська інтеграція</w:t>
      </w:r>
      <w:r>
        <w:rPr>
          <w:sz w:val="28"/>
          <w:szCs w:val="28"/>
        </w:rPr>
        <w:t xml:space="preserve">;  лібералізація фінансових ринків та </w:t>
      </w:r>
      <w:r>
        <w:rPr>
          <w:b/>
          <w:sz w:val="28"/>
          <w:szCs w:val="28"/>
        </w:rPr>
        <w:t>набуття режиму внутрішнього ринку з ЄС у сфері фінансових послуг</w:t>
      </w:r>
      <w:r>
        <w:rPr>
          <w:sz w:val="28"/>
          <w:szCs w:val="28"/>
        </w:rPr>
        <w:t>; збалансованість економічних інтересів, через формування ринкового конкурентоспроможного середовища;  незалежність та ефективність роботи регуляторів, здійснення нагляду на основі оцінки ризиків;  прозорість та високі стандарти розкриття інформації учасниками фінансового сектору та регуляторами;  відповідальність та довіра між учасниками фінансового сектору та регуляторами;  цілісність фінансової системи, всебічний захист прав кредиторів, споживачів та інвесторів.</w:t>
      </w:r>
    </w:p>
    <w:p w14:paraId="00000017" w14:textId="77777777" w:rsidR="00D628DC" w:rsidRDefault="00D65B4C">
      <w:pPr>
        <w:widowControl w:val="0"/>
        <w:ind w:firstLine="569"/>
        <w:jc w:val="both"/>
        <w:rPr>
          <w:sz w:val="28"/>
          <w:szCs w:val="28"/>
        </w:rPr>
      </w:pPr>
      <w:r>
        <w:rPr>
          <w:sz w:val="28"/>
          <w:szCs w:val="28"/>
        </w:rPr>
        <w:t xml:space="preserve">Разом з тим, згідно ст. 3 Конституції України </w:t>
      </w:r>
      <w:r>
        <w:rPr>
          <w:b/>
          <w:sz w:val="28"/>
          <w:szCs w:val="28"/>
        </w:rPr>
        <w:t>людина</w:t>
      </w:r>
      <w:r>
        <w:rPr>
          <w:sz w:val="28"/>
          <w:szCs w:val="28"/>
        </w:rPr>
        <w:t xml:space="preserve">, її життя і здоров'я, честь і гідність, недоторканність і безпека визнаються в Україні </w:t>
      </w:r>
      <w:r>
        <w:rPr>
          <w:b/>
          <w:sz w:val="28"/>
          <w:szCs w:val="28"/>
        </w:rPr>
        <w:t>найвищою соціальною цінністю</w:t>
      </w:r>
      <w:r>
        <w:rPr>
          <w:sz w:val="28"/>
          <w:szCs w:val="28"/>
        </w:rPr>
        <w:t>.</w:t>
      </w:r>
    </w:p>
    <w:p w14:paraId="00000018" w14:textId="77777777" w:rsidR="00D628DC" w:rsidRDefault="00D65B4C">
      <w:pPr>
        <w:widowControl w:val="0"/>
        <w:shd w:val="clear" w:color="auto" w:fill="FFFFFF"/>
        <w:ind w:firstLine="569"/>
        <w:jc w:val="both"/>
        <w:rPr>
          <w:sz w:val="28"/>
          <w:szCs w:val="28"/>
        </w:rPr>
      </w:pPr>
      <w:r>
        <w:rPr>
          <w:sz w:val="28"/>
          <w:szCs w:val="28"/>
        </w:rPr>
        <w:t xml:space="preserve">Права і свободи людини та їх гарантії визначають зміст і спрямованість діяльності держави. </w:t>
      </w:r>
      <w:r>
        <w:rPr>
          <w:b/>
          <w:sz w:val="28"/>
          <w:szCs w:val="28"/>
        </w:rPr>
        <w:t>Держава відповідає перед людиною за свою діяльність</w:t>
      </w:r>
      <w:bookmarkStart w:id="0" w:name="kix.jphyi6mycu62" w:colFirst="0" w:colLast="0"/>
      <w:bookmarkEnd w:id="0"/>
      <w:r>
        <w:rPr>
          <w:sz w:val="28"/>
          <w:szCs w:val="28"/>
        </w:rPr>
        <w:t>. Утвердження і забезпечення прав і свобод людини є головним обов'язком держави.</w:t>
      </w:r>
    </w:p>
    <w:p w14:paraId="00000019" w14:textId="77777777" w:rsidR="00D628DC" w:rsidRDefault="00D65B4C">
      <w:pPr>
        <w:widowControl w:val="0"/>
        <w:shd w:val="clear" w:color="auto" w:fill="FFFFFF"/>
        <w:ind w:firstLine="569"/>
        <w:jc w:val="both"/>
        <w:rPr>
          <w:sz w:val="28"/>
          <w:szCs w:val="28"/>
        </w:rPr>
      </w:pPr>
      <w:r>
        <w:rPr>
          <w:sz w:val="28"/>
          <w:szCs w:val="28"/>
        </w:rPr>
        <w:t>За ст. 41 Конституції України кожен має право володіти, користуватися і розпоряджатися своєю власністю, результатами своєї інтелектуальної, творчої діяльності.</w:t>
      </w:r>
      <w:bookmarkStart w:id="1" w:name="kix.sf0zkoivyuce" w:colFirst="0" w:colLast="0"/>
      <w:bookmarkEnd w:id="1"/>
      <w:r>
        <w:rPr>
          <w:sz w:val="28"/>
          <w:szCs w:val="28"/>
        </w:rPr>
        <w:t xml:space="preserve"> </w:t>
      </w:r>
      <w:r>
        <w:rPr>
          <w:b/>
          <w:sz w:val="28"/>
          <w:szCs w:val="28"/>
        </w:rPr>
        <w:t>Ніхто не може бути протиправно позбавлений права власності. Право приватної власності є непорушним</w:t>
      </w:r>
      <w:r>
        <w:rPr>
          <w:sz w:val="28"/>
          <w:szCs w:val="28"/>
        </w:rPr>
        <w:t>.</w:t>
      </w:r>
    </w:p>
    <w:p w14:paraId="0000001A" w14:textId="77777777" w:rsidR="00D628DC" w:rsidRDefault="00D65B4C">
      <w:pPr>
        <w:ind w:firstLine="567"/>
        <w:jc w:val="both"/>
        <w:rPr>
          <w:sz w:val="28"/>
          <w:szCs w:val="28"/>
        </w:rPr>
      </w:pPr>
      <w:r>
        <w:rPr>
          <w:sz w:val="28"/>
          <w:szCs w:val="28"/>
        </w:rPr>
        <w:t>Проте, проведений в рамках реформи фінансового сектору процес очищення банківської системи України, суперечить умовам Угоди про асоціацію, та порушує основний принцип верховенства права, зокрема:</w:t>
      </w:r>
    </w:p>
    <w:p w14:paraId="0000001B" w14:textId="77777777" w:rsidR="00D628DC" w:rsidRDefault="00D65B4C">
      <w:pPr>
        <w:ind w:firstLine="567"/>
        <w:jc w:val="both"/>
        <w:rPr>
          <w:sz w:val="28"/>
          <w:szCs w:val="28"/>
        </w:rPr>
      </w:pPr>
      <w:r>
        <w:rPr>
          <w:sz w:val="28"/>
          <w:szCs w:val="28"/>
        </w:rPr>
        <w:t xml:space="preserve">- банки визнавались неплатоспроможними/ліквідовувались </w:t>
      </w:r>
      <w:r>
        <w:rPr>
          <w:b/>
          <w:sz w:val="28"/>
          <w:szCs w:val="28"/>
        </w:rPr>
        <w:t>не за оцінкою їх платоспроможності і не залежно від волі власників банків</w:t>
      </w:r>
      <w:r>
        <w:rPr>
          <w:sz w:val="28"/>
          <w:szCs w:val="28"/>
        </w:rPr>
        <w:t>;</w:t>
      </w:r>
    </w:p>
    <w:p w14:paraId="0000001C" w14:textId="77777777" w:rsidR="00D628DC" w:rsidRDefault="00D65B4C">
      <w:pPr>
        <w:ind w:firstLine="567"/>
        <w:jc w:val="both"/>
        <w:rPr>
          <w:sz w:val="28"/>
          <w:szCs w:val="28"/>
        </w:rPr>
      </w:pPr>
      <w:r>
        <w:rPr>
          <w:sz w:val="28"/>
          <w:szCs w:val="28"/>
        </w:rPr>
        <w:t xml:space="preserve">- </w:t>
      </w:r>
      <w:r>
        <w:rPr>
          <w:b/>
          <w:sz w:val="28"/>
          <w:szCs w:val="28"/>
        </w:rPr>
        <w:t xml:space="preserve">жодної ефективної підтримки від регулятора </w:t>
      </w:r>
      <w:r>
        <w:rPr>
          <w:sz w:val="28"/>
          <w:szCs w:val="28"/>
        </w:rPr>
        <w:t>щодо санації банків не надавалось, в той час як держава знаходилась в стані економічної кризи, більшість банків втратили свої активи на окупованих територіях;</w:t>
      </w:r>
    </w:p>
    <w:p w14:paraId="0000001D" w14:textId="77777777" w:rsidR="00D628DC" w:rsidRDefault="00D65B4C">
      <w:pPr>
        <w:ind w:firstLine="567"/>
        <w:jc w:val="both"/>
        <w:rPr>
          <w:sz w:val="28"/>
          <w:szCs w:val="28"/>
        </w:rPr>
      </w:pPr>
      <w:r>
        <w:rPr>
          <w:sz w:val="28"/>
          <w:szCs w:val="28"/>
        </w:rPr>
        <w:t xml:space="preserve">- очищення банківської системи проведено лише з метою заходів впливу регулятора, але </w:t>
      </w:r>
      <w:r>
        <w:rPr>
          <w:b/>
          <w:sz w:val="28"/>
          <w:szCs w:val="28"/>
        </w:rPr>
        <w:t>без урахування інтересів споживачів</w:t>
      </w:r>
      <w:r>
        <w:rPr>
          <w:sz w:val="28"/>
          <w:szCs w:val="28"/>
        </w:rPr>
        <w:t xml:space="preserve"> банківських послуг;</w:t>
      </w:r>
    </w:p>
    <w:p w14:paraId="0000001E" w14:textId="77777777" w:rsidR="00D628DC" w:rsidRDefault="00D65B4C">
      <w:pPr>
        <w:ind w:firstLine="567"/>
        <w:jc w:val="both"/>
        <w:rPr>
          <w:sz w:val="28"/>
          <w:szCs w:val="28"/>
        </w:rPr>
      </w:pPr>
      <w:r>
        <w:rPr>
          <w:sz w:val="28"/>
          <w:szCs w:val="28"/>
        </w:rPr>
        <w:t xml:space="preserve">- Національний Банк України здійснював очищення банківської системи </w:t>
      </w:r>
      <w:r>
        <w:rPr>
          <w:b/>
          <w:sz w:val="28"/>
          <w:szCs w:val="28"/>
        </w:rPr>
        <w:t>свавільно</w:t>
      </w:r>
      <w:r>
        <w:rPr>
          <w:sz w:val="28"/>
          <w:szCs w:val="28"/>
        </w:rPr>
        <w:t>, публічно заявляючи, що його рішення в цьому не можуть бути ніким оскаржені, посилаючись нібито на дискреційні повноваження;</w:t>
      </w:r>
    </w:p>
    <w:p w14:paraId="0000001F" w14:textId="77777777" w:rsidR="00D628DC" w:rsidRDefault="00D65B4C">
      <w:pPr>
        <w:ind w:firstLine="567"/>
        <w:jc w:val="both"/>
        <w:rPr>
          <w:sz w:val="28"/>
          <w:szCs w:val="28"/>
        </w:rPr>
      </w:pPr>
      <w:r>
        <w:rPr>
          <w:sz w:val="28"/>
          <w:szCs w:val="28"/>
        </w:rPr>
        <w:t xml:space="preserve">- спостерігалась тенденція </w:t>
      </w:r>
      <w:r>
        <w:rPr>
          <w:b/>
          <w:sz w:val="28"/>
          <w:szCs w:val="28"/>
        </w:rPr>
        <w:t xml:space="preserve">ненадання можливості здійснити </w:t>
      </w:r>
      <w:proofErr w:type="spellStart"/>
      <w:r>
        <w:rPr>
          <w:b/>
          <w:sz w:val="28"/>
          <w:szCs w:val="28"/>
        </w:rPr>
        <w:t>докапіталізацію</w:t>
      </w:r>
      <w:proofErr w:type="spellEnd"/>
      <w:r>
        <w:rPr>
          <w:sz w:val="28"/>
          <w:szCs w:val="28"/>
        </w:rPr>
        <w:t xml:space="preserve"> банків через проведення їх дострокової ліквідації;</w:t>
      </w:r>
    </w:p>
    <w:p w14:paraId="00000020" w14:textId="77777777" w:rsidR="00D628DC" w:rsidRDefault="00D65B4C">
      <w:pPr>
        <w:ind w:firstLine="567"/>
        <w:jc w:val="both"/>
        <w:rPr>
          <w:sz w:val="28"/>
          <w:szCs w:val="28"/>
        </w:rPr>
      </w:pPr>
      <w:r>
        <w:rPr>
          <w:sz w:val="28"/>
          <w:szCs w:val="28"/>
        </w:rPr>
        <w:t xml:space="preserve">- усі споживачі банківських послуг банків, які визнавались неплатоспроможними/ліквідовувались вважаються </w:t>
      </w:r>
      <w:r>
        <w:rPr>
          <w:b/>
          <w:sz w:val="28"/>
          <w:szCs w:val="28"/>
        </w:rPr>
        <w:t>кредиторами лише за умови вчасного подання заяви про акцептування</w:t>
      </w:r>
      <w:r>
        <w:rPr>
          <w:sz w:val="28"/>
          <w:szCs w:val="28"/>
        </w:rPr>
        <w:t xml:space="preserve"> їх вимоги, пропущені строки на таку подачу не поновлюються - значна кількість таких споживачів втратили свої кошти у зв’язку з неподанням цієї заяви; </w:t>
      </w:r>
    </w:p>
    <w:p w14:paraId="00000021" w14:textId="77777777" w:rsidR="00D628DC" w:rsidRDefault="00D65B4C">
      <w:pPr>
        <w:ind w:firstLine="567"/>
        <w:jc w:val="both"/>
        <w:rPr>
          <w:sz w:val="28"/>
          <w:szCs w:val="28"/>
        </w:rPr>
      </w:pPr>
      <w:r>
        <w:rPr>
          <w:sz w:val="28"/>
          <w:szCs w:val="28"/>
        </w:rPr>
        <w:t xml:space="preserve">- державою </w:t>
      </w:r>
      <w:r>
        <w:rPr>
          <w:b/>
          <w:sz w:val="28"/>
          <w:szCs w:val="28"/>
        </w:rPr>
        <w:t>гарантовано лише виплата вкладу в розмірі</w:t>
      </w:r>
      <w:r>
        <w:rPr>
          <w:sz w:val="28"/>
          <w:szCs w:val="28"/>
        </w:rPr>
        <w:t xml:space="preserve"> </w:t>
      </w:r>
      <w:r>
        <w:rPr>
          <w:b/>
          <w:sz w:val="28"/>
          <w:szCs w:val="28"/>
        </w:rPr>
        <w:t>200’000,00 грн.</w:t>
      </w:r>
      <w:r>
        <w:rPr>
          <w:sz w:val="28"/>
          <w:szCs w:val="28"/>
        </w:rPr>
        <w:t xml:space="preserve">, при чому деяка категорія вкладників та кредиторів, взагалі, позбавлені </w:t>
      </w:r>
      <w:r>
        <w:rPr>
          <w:sz w:val="28"/>
          <w:szCs w:val="28"/>
        </w:rPr>
        <w:lastRenderedPageBreak/>
        <w:t xml:space="preserve">на її отримання (вклад в металах, суб’єкти господарювання, вклад за </w:t>
      </w:r>
      <w:proofErr w:type="spellStart"/>
      <w:r>
        <w:rPr>
          <w:sz w:val="28"/>
          <w:szCs w:val="28"/>
        </w:rPr>
        <w:t>субординованим</w:t>
      </w:r>
      <w:proofErr w:type="spellEnd"/>
      <w:r>
        <w:rPr>
          <w:sz w:val="28"/>
          <w:szCs w:val="28"/>
        </w:rPr>
        <w:t xml:space="preserve"> боргом та інші), хоча:</w:t>
      </w:r>
    </w:p>
    <w:p w14:paraId="00000022" w14:textId="77777777" w:rsidR="00D628DC" w:rsidRDefault="00D65B4C">
      <w:pPr>
        <w:ind w:left="1275" w:right="724"/>
        <w:jc w:val="both"/>
        <w:rPr>
          <w:highlight w:val="white"/>
        </w:rPr>
      </w:pPr>
      <w:r>
        <w:t xml:space="preserve">Пунктом </w:t>
      </w:r>
      <w:r>
        <w:rPr>
          <w:b/>
        </w:rPr>
        <w:t xml:space="preserve">23, 26 </w:t>
      </w:r>
      <w:r>
        <w:rPr>
          <w:b/>
          <w:highlight w:val="white"/>
        </w:rPr>
        <w:t xml:space="preserve">Директиви </w:t>
      </w:r>
      <w:hyperlink r:id="rId14">
        <w:r>
          <w:rPr>
            <w:b/>
            <w:color w:val="1155CC"/>
            <w:highlight w:val="white"/>
            <w:u w:val="single"/>
          </w:rPr>
          <w:t>2014/49/ЄС</w:t>
        </w:r>
      </w:hyperlink>
      <w:r>
        <w:rPr>
          <w:b/>
          <w:highlight w:val="white"/>
        </w:rPr>
        <w:t xml:space="preserve"> </w:t>
      </w:r>
      <w:r>
        <w:rPr>
          <w:highlight w:val="white"/>
        </w:rPr>
        <w:t xml:space="preserve">Європейського Парламенту і Ради від 16 квітня 2014 року, рівень відшкодування вкладів кожного вкладника в державах-членах Європейського союзу становить </w:t>
      </w:r>
      <w:r>
        <w:rPr>
          <w:b/>
          <w:highlight w:val="white"/>
        </w:rPr>
        <w:t>100 000 євро</w:t>
      </w:r>
      <w:r>
        <w:rPr>
          <w:highlight w:val="white"/>
        </w:rPr>
        <w:t>:</w:t>
      </w:r>
    </w:p>
    <w:p w14:paraId="00000023" w14:textId="77777777" w:rsidR="00D628DC" w:rsidRDefault="00D65B4C">
      <w:pPr>
        <w:ind w:left="1275" w:right="724"/>
        <w:jc w:val="both"/>
        <w:rPr>
          <w:i/>
          <w:highlight w:val="white"/>
        </w:rPr>
      </w:pPr>
      <w:r>
        <w:rPr>
          <w:i/>
          <w:highlight w:val="white"/>
        </w:rPr>
        <w:t xml:space="preserve">“Директива 2009/14 / ЄС Європейського Парламенту та Ради запровадив рівень </w:t>
      </w:r>
      <w:r>
        <w:rPr>
          <w:b/>
          <w:i/>
          <w:highlight w:val="white"/>
        </w:rPr>
        <w:t>фіксованого фінансування в розмірі 100 000 євро</w:t>
      </w:r>
      <w:r>
        <w:rPr>
          <w:i/>
          <w:highlight w:val="white"/>
        </w:rPr>
        <w:t>, який поставив деякі держави-члени в ситуацію, яка вимагає зниження рівня покриття, з ризиком підриву довіри вкладників. Хоча узгодження має важливе значення для забезпечення рівних умов та фінансової стабільності на внутрішньому ринку, слід враховувати ризики підриву довіри вкладників. Тому держави-члени повинні мати можливість застосовувати більш високий рівень покриття, якщо вони передбачають рівень охоплення, який був вище гармонізованого рівня до застосування Директиви 2009/14 / ЄС. Такий вищий рівень покриття повинен бути обмеженим за часом та за масштабом, а відповідні держави-члени повинні пропорційно коригувати цільовий рівень та внесок, що сплачується їхнім ДСС.”</w:t>
      </w:r>
    </w:p>
    <w:p w14:paraId="00000024" w14:textId="77777777" w:rsidR="00D628DC" w:rsidRDefault="00D65B4C">
      <w:pPr>
        <w:ind w:left="1275" w:right="724"/>
        <w:jc w:val="both"/>
        <w:rPr>
          <w:i/>
        </w:rPr>
      </w:pPr>
      <w:r>
        <w:rPr>
          <w:i/>
        </w:rPr>
        <w:t xml:space="preserve">“Держави-члени повинні забезпечити, щоб захист депозитів внаслідок певних операцій або обслуговування певних соціальних чи інших цілей </w:t>
      </w:r>
      <w:r>
        <w:rPr>
          <w:b/>
          <w:i/>
        </w:rPr>
        <w:t xml:space="preserve">перевищував 100 000 євро </w:t>
      </w:r>
      <w:r>
        <w:rPr>
          <w:i/>
        </w:rPr>
        <w:t>за певний період. Держави-члени повинні прийняти рішення щодо тимчасового максимального рівня покриття таких депозитів, і при цьому вони повинні враховувати значення захисту вкладників та умови життя в державах-членах. У всіх таких випадках слід дотримуватися правил державної допомоги.”</w:t>
      </w:r>
    </w:p>
    <w:p w14:paraId="00000025" w14:textId="77777777" w:rsidR="00D628DC" w:rsidRDefault="00D65B4C">
      <w:pPr>
        <w:ind w:firstLine="567"/>
        <w:jc w:val="both"/>
        <w:rPr>
          <w:sz w:val="28"/>
          <w:szCs w:val="28"/>
        </w:rPr>
      </w:pPr>
      <w:r>
        <w:rPr>
          <w:sz w:val="28"/>
          <w:szCs w:val="28"/>
        </w:rPr>
        <w:t>-</w:t>
      </w:r>
      <w:r>
        <w:rPr>
          <w:b/>
          <w:sz w:val="28"/>
          <w:szCs w:val="28"/>
        </w:rPr>
        <w:t xml:space="preserve"> виплата коштів понад гарантованої суми є малоймовірною</w:t>
      </w:r>
      <w:r>
        <w:rPr>
          <w:sz w:val="28"/>
          <w:szCs w:val="28"/>
        </w:rPr>
        <w:t>, оскільки Фонд гарантування вкладів фізичних осіб штучно здійснює оцінку ліквідаційної маси, яка забезпечує покрити лише виплати витрат самому Фонду:</w:t>
      </w:r>
    </w:p>
    <w:p w14:paraId="00000026" w14:textId="77777777" w:rsidR="00D628DC" w:rsidRDefault="00D65B4C">
      <w:pPr>
        <w:shd w:val="clear" w:color="auto" w:fill="FFFFFF"/>
        <w:ind w:left="1275" w:right="724"/>
        <w:jc w:val="both"/>
      </w:pPr>
      <w:r>
        <w:t xml:space="preserve">Європейський суд з прав людини у справі ZOLOTAS ПРОТИ ГРЕЦІЇ (№ 2) зазначив, що на підставі ст. 830 Цивільного кодексу, </w:t>
      </w:r>
      <w:r>
        <w:rPr>
          <w:b/>
        </w:rPr>
        <w:t>якщо особа, яка кладе суму грошей у банк, передає йому право користування нею, то банк має її зберігати і, якщо він використовує її на власну користь, повернути вкладнику еквівалентну суму за умовами угоди.</w:t>
      </w:r>
    </w:p>
    <w:p w14:paraId="00000027" w14:textId="77777777" w:rsidR="00D628DC" w:rsidRDefault="00D65B4C">
      <w:pPr>
        <w:shd w:val="clear" w:color="auto" w:fill="FFFFFF"/>
        <w:ind w:left="1275" w:right="724"/>
        <w:jc w:val="both"/>
      </w:pPr>
      <w:r>
        <w:rPr>
          <w:highlight w:val="white"/>
        </w:rPr>
        <w:t xml:space="preserve">Отже, </w:t>
      </w:r>
      <w:r>
        <w:rPr>
          <w:b/>
          <w:highlight w:val="white"/>
        </w:rPr>
        <w:t>не повернення банківського вкладу порушує положення ст. 1 Першого Протоколу Європейської Конвенції з прав людини, підписаного та ратифікованого Україною.</w:t>
      </w:r>
    </w:p>
    <w:p w14:paraId="00000028" w14:textId="77777777" w:rsidR="00D628DC" w:rsidRDefault="00D65B4C">
      <w:pPr>
        <w:ind w:firstLine="567"/>
        <w:jc w:val="both"/>
        <w:rPr>
          <w:sz w:val="28"/>
          <w:szCs w:val="28"/>
        </w:rPr>
      </w:pPr>
      <w:r>
        <w:rPr>
          <w:sz w:val="28"/>
          <w:szCs w:val="28"/>
        </w:rPr>
        <w:t xml:space="preserve">- майже усі </w:t>
      </w:r>
      <w:r>
        <w:rPr>
          <w:b/>
          <w:sz w:val="28"/>
          <w:szCs w:val="28"/>
        </w:rPr>
        <w:t>юридичні особи</w:t>
      </w:r>
      <w:r>
        <w:rPr>
          <w:sz w:val="28"/>
          <w:szCs w:val="28"/>
        </w:rPr>
        <w:t xml:space="preserve">, що тримали </w:t>
      </w:r>
      <w:r>
        <w:rPr>
          <w:b/>
          <w:sz w:val="28"/>
          <w:szCs w:val="28"/>
        </w:rPr>
        <w:t>кошти</w:t>
      </w:r>
      <w:r>
        <w:rPr>
          <w:sz w:val="28"/>
          <w:szCs w:val="28"/>
        </w:rPr>
        <w:t xml:space="preserve"> в цих банках - їх </w:t>
      </w:r>
      <w:r>
        <w:rPr>
          <w:b/>
          <w:sz w:val="28"/>
          <w:szCs w:val="28"/>
        </w:rPr>
        <w:t xml:space="preserve">втратили, </w:t>
      </w:r>
      <w:r>
        <w:rPr>
          <w:sz w:val="28"/>
          <w:szCs w:val="28"/>
        </w:rPr>
        <w:t>оскільки перебувають в сьомій черзі, що є малоймовірним в поверненні коштів;</w:t>
      </w:r>
    </w:p>
    <w:p w14:paraId="00000029" w14:textId="77777777" w:rsidR="00D628DC" w:rsidRDefault="00D65B4C">
      <w:pPr>
        <w:ind w:firstLine="567"/>
        <w:jc w:val="both"/>
        <w:rPr>
          <w:sz w:val="28"/>
          <w:szCs w:val="28"/>
        </w:rPr>
      </w:pPr>
      <w:r>
        <w:rPr>
          <w:sz w:val="28"/>
          <w:szCs w:val="28"/>
        </w:rPr>
        <w:t xml:space="preserve">- </w:t>
      </w:r>
      <w:r>
        <w:rPr>
          <w:b/>
          <w:sz w:val="28"/>
          <w:szCs w:val="28"/>
        </w:rPr>
        <w:t>контроль</w:t>
      </w:r>
      <w:r>
        <w:rPr>
          <w:sz w:val="28"/>
          <w:szCs w:val="28"/>
        </w:rPr>
        <w:t xml:space="preserve"> над органом, що здійснює ліквідацію банків (Фонд гарантування вкладів фізичних осіб)</w:t>
      </w:r>
      <w:r>
        <w:rPr>
          <w:b/>
          <w:sz w:val="28"/>
          <w:szCs w:val="28"/>
        </w:rPr>
        <w:t xml:space="preserve"> відсутній</w:t>
      </w:r>
      <w:r>
        <w:rPr>
          <w:sz w:val="28"/>
          <w:szCs w:val="28"/>
        </w:rPr>
        <w:t>;</w:t>
      </w:r>
    </w:p>
    <w:p w14:paraId="0000002A" w14:textId="77777777" w:rsidR="00D628DC" w:rsidRDefault="00D65B4C">
      <w:pPr>
        <w:ind w:firstLine="567"/>
        <w:jc w:val="both"/>
        <w:rPr>
          <w:sz w:val="28"/>
          <w:szCs w:val="28"/>
        </w:rPr>
      </w:pPr>
      <w:r>
        <w:rPr>
          <w:sz w:val="28"/>
          <w:szCs w:val="28"/>
        </w:rPr>
        <w:t xml:space="preserve">- процедура ліквідації банку є </w:t>
      </w:r>
      <w:r>
        <w:rPr>
          <w:b/>
          <w:sz w:val="28"/>
          <w:szCs w:val="28"/>
        </w:rPr>
        <w:t>непрозорою</w:t>
      </w:r>
      <w:r>
        <w:rPr>
          <w:sz w:val="28"/>
          <w:szCs w:val="28"/>
        </w:rPr>
        <w:t>;</w:t>
      </w:r>
    </w:p>
    <w:p w14:paraId="0000002B" w14:textId="77777777" w:rsidR="00D628DC" w:rsidRDefault="00D65B4C">
      <w:pPr>
        <w:ind w:firstLine="567"/>
        <w:jc w:val="both"/>
        <w:rPr>
          <w:sz w:val="28"/>
          <w:szCs w:val="28"/>
        </w:rPr>
      </w:pPr>
      <w:r>
        <w:rPr>
          <w:sz w:val="28"/>
          <w:szCs w:val="28"/>
        </w:rPr>
        <w:t xml:space="preserve">- </w:t>
      </w:r>
      <w:r>
        <w:rPr>
          <w:b/>
          <w:sz w:val="28"/>
          <w:szCs w:val="28"/>
        </w:rPr>
        <w:t>альтернативні шляхи виведення</w:t>
      </w:r>
      <w:r>
        <w:rPr>
          <w:sz w:val="28"/>
          <w:szCs w:val="28"/>
        </w:rPr>
        <w:t xml:space="preserve"> неплатоспроможного банку з ринку, крім його ліквідації, фактично </w:t>
      </w:r>
      <w:r>
        <w:rPr>
          <w:b/>
          <w:sz w:val="28"/>
          <w:szCs w:val="28"/>
        </w:rPr>
        <w:t>не працюють</w:t>
      </w:r>
      <w:r>
        <w:rPr>
          <w:sz w:val="28"/>
          <w:szCs w:val="28"/>
        </w:rPr>
        <w:t xml:space="preserve"> (лише 1 банк з 96 продано інвестору, 1 - </w:t>
      </w:r>
      <w:proofErr w:type="spellStart"/>
      <w:r>
        <w:rPr>
          <w:sz w:val="28"/>
          <w:szCs w:val="28"/>
        </w:rPr>
        <w:t>нацоналізований</w:t>
      </w:r>
      <w:proofErr w:type="spellEnd"/>
      <w:r>
        <w:rPr>
          <w:sz w:val="28"/>
          <w:szCs w:val="28"/>
        </w:rPr>
        <w:t>), хоча майже по кожному банку були заявлені інвестори, але застосовувалась формальна відмова, спостерігалась незацікавленість Національного Банку України у продажі інвесторам цих банків;</w:t>
      </w:r>
    </w:p>
    <w:p w14:paraId="0000002C" w14:textId="77777777" w:rsidR="00D628DC" w:rsidRDefault="00D65B4C">
      <w:pPr>
        <w:ind w:firstLine="567"/>
        <w:jc w:val="both"/>
        <w:rPr>
          <w:sz w:val="28"/>
          <w:szCs w:val="28"/>
          <w:highlight w:val="white"/>
        </w:rPr>
      </w:pPr>
      <w:r>
        <w:rPr>
          <w:sz w:val="28"/>
          <w:szCs w:val="28"/>
          <w:highlight w:val="white"/>
        </w:rPr>
        <w:t xml:space="preserve">- дана реформа потягнула за особою суттєву </w:t>
      </w:r>
      <w:r>
        <w:rPr>
          <w:b/>
          <w:sz w:val="28"/>
          <w:szCs w:val="28"/>
          <w:highlight w:val="white"/>
        </w:rPr>
        <w:t>недовіру до банківської системи та регулятора</w:t>
      </w:r>
      <w:r>
        <w:rPr>
          <w:sz w:val="28"/>
          <w:szCs w:val="28"/>
          <w:highlight w:val="white"/>
        </w:rPr>
        <w:t>;</w:t>
      </w:r>
    </w:p>
    <w:p w14:paraId="0000002D" w14:textId="77777777" w:rsidR="00D628DC" w:rsidRDefault="00D65B4C">
      <w:pPr>
        <w:ind w:firstLine="567"/>
        <w:jc w:val="both"/>
        <w:rPr>
          <w:sz w:val="28"/>
          <w:szCs w:val="28"/>
          <w:highlight w:val="white"/>
        </w:rPr>
      </w:pPr>
      <w:r>
        <w:rPr>
          <w:sz w:val="28"/>
          <w:szCs w:val="28"/>
          <w:highlight w:val="white"/>
        </w:rPr>
        <w:t xml:space="preserve">- </w:t>
      </w:r>
      <w:r>
        <w:rPr>
          <w:b/>
          <w:sz w:val="28"/>
          <w:szCs w:val="28"/>
          <w:highlight w:val="white"/>
        </w:rPr>
        <w:t>відсутні механізми відновлення банків</w:t>
      </w:r>
      <w:r>
        <w:rPr>
          <w:sz w:val="28"/>
          <w:szCs w:val="28"/>
          <w:highlight w:val="white"/>
        </w:rPr>
        <w:t>, щодо яких скасовані судом постанови НБУ щодо ліквідації та відкликання банківської ліцензії;</w:t>
      </w:r>
    </w:p>
    <w:p w14:paraId="0000002E" w14:textId="77777777" w:rsidR="00D628DC" w:rsidRDefault="00D65B4C">
      <w:pPr>
        <w:ind w:firstLine="567"/>
        <w:jc w:val="both"/>
        <w:rPr>
          <w:sz w:val="28"/>
          <w:szCs w:val="28"/>
          <w:highlight w:val="white"/>
        </w:rPr>
      </w:pPr>
      <w:r>
        <w:rPr>
          <w:sz w:val="28"/>
          <w:szCs w:val="28"/>
          <w:highlight w:val="white"/>
        </w:rPr>
        <w:t xml:space="preserve">- дана ситуація фактично </w:t>
      </w:r>
      <w:r>
        <w:rPr>
          <w:b/>
          <w:sz w:val="28"/>
          <w:szCs w:val="28"/>
          <w:highlight w:val="white"/>
        </w:rPr>
        <w:t xml:space="preserve">призвела до неспроможності </w:t>
      </w:r>
      <w:r>
        <w:rPr>
          <w:sz w:val="28"/>
          <w:szCs w:val="28"/>
          <w:highlight w:val="white"/>
        </w:rPr>
        <w:t xml:space="preserve">банків виконувати основну функцію - </w:t>
      </w:r>
      <w:r>
        <w:rPr>
          <w:b/>
          <w:sz w:val="28"/>
          <w:szCs w:val="28"/>
          <w:highlight w:val="white"/>
        </w:rPr>
        <w:t>кредитування</w:t>
      </w:r>
      <w:r>
        <w:rPr>
          <w:sz w:val="28"/>
          <w:szCs w:val="28"/>
          <w:highlight w:val="white"/>
        </w:rPr>
        <w:t xml:space="preserve"> (наразі надаються лише споживчі кредити);</w:t>
      </w:r>
    </w:p>
    <w:p w14:paraId="0000002F" w14:textId="77777777" w:rsidR="00D628DC" w:rsidRDefault="00D65B4C">
      <w:pPr>
        <w:ind w:firstLine="567"/>
        <w:jc w:val="both"/>
        <w:rPr>
          <w:sz w:val="28"/>
          <w:szCs w:val="28"/>
          <w:highlight w:val="white"/>
        </w:rPr>
      </w:pPr>
      <w:r>
        <w:rPr>
          <w:sz w:val="28"/>
          <w:szCs w:val="28"/>
          <w:highlight w:val="white"/>
        </w:rPr>
        <w:lastRenderedPageBreak/>
        <w:t xml:space="preserve">- вкладники/кредитори Банків України (фізичні особи, юридичні особи, вкладники за банківськими металами), в черговості задоволення вимог до Банку знаходяться після </w:t>
      </w:r>
      <w:r>
        <w:rPr>
          <w:b/>
          <w:sz w:val="28"/>
          <w:szCs w:val="28"/>
          <w:highlight w:val="white"/>
        </w:rPr>
        <w:t>Національного Банку України</w:t>
      </w:r>
      <w:r>
        <w:rPr>
          <w:sz w:val="28"/>
          <w:szCs w:val="28"/>
          <w:highlight w:val="white"/>
        </w:rPr>
        <w:t xml:space="preserve">, що, компенсує свої вимоги </w:t>
      </w:r>
      <w:r>
        <w:rPr>
          <w:b/>
          <w:sz w:val="28"/>
          <w:szCs w:val="28"/>
          <w:highlight w:val="white"/>
        </w:rPr>
        <w:t>позачергово,</w:t>
      </w:r>
      <w:r>
        <w:rPr>
          <w:sz w:val="28"/>
          <w:szCs w:val="28"/>
          <w:highlight w:val="white"/>
        </w:rPr>
        <w:t xml:space="preserve"> та </w:t>
      </w:r>
      <w:r>
        <w:rPr>
          <w:b/>
          <w:sz w:val="28"/>
          <w:szCs w:val="28"/>
          <w:highlight w:val="white"/>
        </w:rPr>
        <w:t>Фонду</w:t>
      </w:r>
      <w:r>
        <w:rPr>
          <w:sz w:val="28"/>
          <w:szCs w:val="28"/>
          <w:highlight w:val="white"/>
        </w:rPr>
        <w:t xml:space="preserve"> гарантування вкладів фізичних осіб.</w:t>
      </w:r>
    </w:p>
    <w:p w14:paraId="00000030" w14:textId="77777777" w:rsidR="00D628DC" w:rsidRDefault="00D65B4C">
      <w:pPr>
        <w:ind w:left="1275" w:right="724"/>
        <w:jc w:val="both"/>
        <w:rPr>
          <w:highlight w:val="white"/>
        </w:rPr>
      </w:pPr>
      <w:r>
        <w:rPr>
          <w:highlight w:val="white"/>
        </w:rPr>
        <w:t xml:space="preserve">По суті, Фонд відшкодувавши вкладникам гарантовану суму – стає кредитором Банку на суму відшкодованих коштів та на суму витрат на ліквідацію Банку. Тобто, за рахунок реалізації активів Банку - Держава першочергово компенсує свої витрати. </w:t>
      </w:r>
    </w:p>
    <w:p w14:paraId="00000031" w14:textId="77777777" w:rsidR="00D628DC" w:rsidRDefault="00D65B4C">
      <w:pPr>
        <w:ind w:firstLine="567"/>
        <w:jc w:val="both"/>
        <w:rPr>
          <w:sz w:val="28"/>
          <w:szCs w:val="28"/>
          <w:highlight w:val="white"/>
        </w:rPr>
      </w:pPr>
      <w:r>
        <w:rPr>
          <w:sz w:val="28"/>
          <w:szCs w:val="28"/>
          <w:highlight w:val="white"/>
        </w:rPr>
        <w:t>- тощо.</w:t>
      </w:r>
    </w:p>
    <w:p w14:paraId="00000032" w14:textId="77777777" w:rsidR="00D628DC" w:rsidRDefault="00D65B4C">
      <w:pPr>
        <w:pBdr>
          <w:top w:val="none" w:sz="0" w:space="0" w:color="000000"/>
          <w:left w:val="none" w:sz="0" w:space="0" w:color="000000"/>
          <w:bottom w:val="none" w:sz="0" w:space="0" w:color="000000"/>
          <w:right w:val="none" w:sz="0" w:space="0" w:color="000000"/>
          <w:between w:val="none" w:sz="0" w:space="0" w:color="000000"/>
        </w:pBdr>
        <w:ind w:firstLine="567"/>
        <w:jc w:val="both"/>
        <w:rPr>
          <w:b/>
          <w:sz w:val="28"/>
          <w:szCs w:val="28"/>
        </w:rPr>
      </w:pPr>
      <w:r>
        <w:rPr>
          <w:sz w:val="28"/>
          <w:szCs w:val="28"/>
          <w:highlight w:val="white"/>
        </w:rPr>
        <w:t xml:space="preserve">Окрім того, </w:t>
      </w:r>
      <w:r>
        <w:rPr>
          <w:sz w:val="28"/>
          <w:szCs w:val="28"/>
        </w:rPr>
        <w:t xml:space="preserve">Рішенням Ради Національного банку України № 29-рд від 04.07.2017 р. “Про діяльність Правління Національного банку України щодо розвитку банківської системи та окремих нормативних актів з питань банківської діяльності" було встановлено, що визнання такої кількості банків неплатоспроможними, активи яких до кризи становили близько третини активів усієї банківської системи призвело до чималих </w:t>
      </w:r>
      <w:r>
        <w:rPr>
          <w:b/>
          <w:sz w:val="28"/>
          <w:szCs w:val="28"/>
        </w:rPr>
        <w:t>фінансових втрат держави, бізнесу, населення про що свідчать офіційні оцінки Національного банку.</w:t>
      </w:r>
    </w:p>
    <w:p w14:paraId="00000033" w14:textId="77777777" w:rsidR="00D628DC" w:rsidRDefault="00D65B4C">
      <w:pPr>
        <w:pBdr>
          <w:top w:val="none" w:sz="0" w:space="0" w:color="000000"/>
          <w:left w:val="none" w:sz="0" w:space="0" w:color="000000"/>
          <w:bottom w:val="none" w:sz="0" w:space="0" w:color="000000"/>
          <w:right w:val="none" w:sz="0" w:space="0" w:color="000000"/>
          <w:between w:val="none" w:sz="0" w:space="0" w:color="000000"/>
        </w:pBdr>
        <w:ind w:firstLine="567"/>
        <w:jc w:val="both"/>
        <w:rPr>
          <w:sz w:val="28"/>
          <w:szCs w:val="28"/>
        </w:rPr>
      </w:pPr>
      <w:r>
        <w:rPr>
          <w:sz w:val="28"/>
          <w:szCs w:val="28"/>
        </w:rPr>
        <w:t xml:space="preserve">У зв’язку з кризою банківського сектору </w:t>
      </w:r>
      <w:r>
        <w:rPr>
          <w:b/>
          <w:sz w:val="28"/>
          <w:szCs w:val="28"/>
        </w:rPr>
        <w:t>держава понесла й інші витрати</w:t>
      </w:r>
      <w:r>
        <w:rPr>
          <w:sz w:val="28"/>
          <w:szCs w:val="28"/>
        </w:rPr>
        <w:t>. Це, зокрема, стосується фінансування Фонду гарантування вкладів фізичних осіб, яке необхідно було здійснити через потребу в здійсненні значних обсягів виплат вкладникам неплатоспроможних банків. Згідно з оцінками Національного банку, на таке фінансування витрачено 4,4% ВВП. Також 2,5% ВВП втрачено на рефінансування тих банків, які в подальшому визнані неплатоспроможними в 2008 ‒ 2009 та в 2014 роках.</w:t>
      </w:r>
    </w:p>
    <w:p w14:paraId="00000034" w14:textId="77777777" w:rsidR="00D628DC" w:rsidRDefault="00D65B4C">
      <w:pPr>
        <w:pBdr>
          <w:top w:val="none" w:sz="0" w:space="0" w:color="000000"/>
          <w:left w:val="none" w:sz="0" w:space="0" w:color="000000"/>
          <w:bottom w:val="none" w:sz="0" w:space="0" w:color="000000"/>
          <w:right w:val="none" w:sz="0" w:space="0" w:color="000000"/>
          <w:between w:val="none" w:sz="0" w:space="0" w:color="000000"/>
        </w:pBdr>
        <w:ind w:firstLine="567"/>
        <w:jc w:val="both"/>
        <w:rPr>
          <w:sz w:val="28"/>
          <w:szCs w:val="28"/>
        </w:rPr>
      </w:pPr>
      <w:r>
        <w:rPr>
          <w:sz w:val="28"/>
          <w:szCs w:val="28"/>
        </w:rPr>
        <w:t>Як наслідок, прямі фіскальні витрати України на подолання наслідків кризи банківського сектору сягнули 14% ВВП, що перевищує відповідні витрати, понесені під час фінансово-економічної кризи 2008 ‒ 2009 років.</w:t>
      </w:r>
    </w:p>
    <w:p w14:paraId="00000035" w14:textId="77777777" w:rsidR="00D628DC" w:rsidRDefault="00D65B4C">
      <w:pPr>
        <w:pBdr>
          <w:top w:val="none" w:sz="0" w:space="0" w:color="000000"/>
          <w:left w:val="none" w:sz="0" w:space="0" w:color="000000"/>
          <w:bottom w:val="none" w:sz="0" w:space="0" w:color="000000"/>
          <w:right w:val="none" w:sz="0" w:space="0" w:color="000000"/>
          <w:between w:val="none" w:sz="0" w:space="0" w:color="000000"/>
        </w:pBdr>
        <w:ind w:firstLine="567"/>
        <w:jc w:val="both"/>
        <w:rPr>
          <w:sz w:val="28"/>
          <w:szCs w:val="28"/>
        </w:rPr>
      </w:pPr>
      <w:r>
        <w:rPr>
          <w:sz w:val="28"/>
          <w:szCs w:val="28"/>
        </w:rPr>
        <w:t xml:space="preserve">Крім держави, втрат зазнали і суб’єкти господарювання, які тримали свої кошти в банках, визнаних неплатоспроможними (оскільки повернення таких коштів не гарантується державою), а також фізичні особи, вклади яких перевищували гарантовану державою суму. Загальний обсяг таких коштів становить 16% ВВП відповідних років. Також втрат зазнали власники функціонуючих банків через необхідність проведення </w:t>
      </w:r>
      <w:proofErr w:type="spellStart"/>
      <w:r>
        <w:rPr>
          <w:sz w:val="28"/>
          <w:szCs w:val="28"/>
        </w:rPr>
        <w:t>докапіталізації</w:t>
      </w:r>
      <w:proofErr w:type="spellEnd"/>
      <w:r>
        <w:rPr>
          <w:sz w:val="28"/>
          <w:szCs w:val="28"/>
        </w:rPr>
        <w:t xml:space="preserve"> та власники неплатоспроможних банків.</w:t>
      </w:r>
    </w:p>
    <w:p w14:paraId="00000036" w14:textId="77777777" w:rsidR="00D628DC" w:rsidRDefault="00D65B4C">
      <w:pPr>
        <w:pBdr>
          <w:top w:val="none" w:sz="0" w:space="0" w:color="000000"/>
          <w:left w:val="none" w:sz="0" w:space="0" w:color="000000"/>
          <w:bottom w:val="none" w:sz="0" w:space="0" w:color="000000"/>
          <w:right w:val="none" w:sz="0" w:space="0" w:color="000000"/>
          <w:between w:val="none" w:sz="0" w:space="0" w:color="000000"/>
        </w:pBdr>
        <w:ind w:firstLine="567"/>
        <w:jc w:val="both"/>
        <w:rPr>
          <w:sz w:val="28"/>
          <w:szCs w:val="28"/>
        </w:rPr>
      </w:pPr>
      <w:r>
        <w:rPr>
          <w:sz w:val="28"/>
          <w:szCs w:val="28"/>
        </w:rPr>
        <w:t xml:space="preserve">Як наслідок, згідно з оцінками Національного банку загальні втрати економіки від кризи становлять 38% ВВП. </w:t>
      </w:r>
    </w:p>
    <w:p w14:paraId="00000037" w14:textId="77777777" w:rsidR="00D628DC" w:rsidRDefault="00D65B4C">
      <w:pPr>
        <w:pBdr>
          <w:top w:val="none" w:sz="0" w:space="0" w:color="000000"/>
          <w:left w:val="none" w:sz="0" w:space="0" w:color="000000"/>
          <w:bottom w:val="none" w:sz="0" w:space="0" w:color="000000"/>
          <w:right w:val="none" w:sz="0" w:space="0" w:color="000000"/>
          <w:between w:val="none" w:sz="0" w:space="0" w:color="000000"/>
        </w:pBdr>
        <w:ind w:firstLine="567"/>
        <w:jc w:val="both"/>
        <w:rPr>
          <w:sz w:val="28"/>
          <w:szCs w:val="28"/>
        </w:rPr>
      </w:pPr>
      <w:r>
        <w:rPr>
          <w:sz w:val="28"/>
          <w:szCs w:val="28"/>
        </w:rPr>
        <w:t xml:space="preserve">При цьому “Очищення” банківської системи відбувалося </w:t>
      </w:r>
      <w:r>
        <w:rPr>
          <w:b/>
          <w:sz w:val="28"/>
          <w:szCs w:val="28"/>
        </w:rPr>
        <w:t>без оголошення Національним банком чіткої програми реформування банківського сектору</w:t>
      </w:r>
      <w:r>
        <w:rPr>
          <w:sz w:val="28"/>
          <w:szCs w:val="28"/>
        </w:rPr>
        <w:t>, що зумовило значну невизначеність у діяльності банківського і реального секторів, та населення. Недостатньо обґрунтованими були рішення Національного банку стосовно виведення з ринку платоспроможних банків, зокрема спостерігалися ознаки застосування різних підходів під час проведення очищення банківської системи. Не в повній мірі враховані як потреби розвитку економіки, так і характер розвитку банківської системи, а також вплив воєнного конфлікту на економіку.</w:t>
      </w:r>
    </w:p>
    <w:p w14:paraId="00000038" w14:textId="77777777" w:rsidR="00D628DC" w:rsidRDefault="00D65B4C">
      <w:pPr>
        <w:ind w:firstLine="569"/>
        <w:jc w:val="both"/>
        <w:rPr>
          <w:sz w:val="28"/>
          <w:szCs w:val="28"/>
        </w:rPr>
      </w:pPr>
      <w:r>
        <w:rPr>
          <w:sz w:val="28"/>
          <w:szCs w:val="28"/>
        </w:rPr>
        <w:t xml:space="preserve">Згідно з положень ч. 2 ст. 19 Конституції України органи державної влади та органи місцевого самоврядування, їх посадові особи зобов'язані </w:t>
      </w:r>
      <w:r>
        <w:rPr>
          <w:sz w:val="28"/>
          <w:szCs w:val="28"/>
        </w:rPr>
        <w:lastRenderedPageBreak/>
        <w:t>діяти лише на підставі, в межах повноважень та у спосіб, що передбачені Конституцією та законами України.</w:t>
      </w:r>
    </w:p>
    <w:p w14:paraId="00000039" w14:textId="77777777" w:rsidR="00D628DC" w:rsidRDefault="00D65B4C">
      <w:pPr>
        <w:ind w:firstLine="569"/>
        <w:jc w:val="both"/>
        <w:rPr>
          <w:sz w:val="28"/>
          <w:szCs w:val="28"/>
        </w:rPr>
      </w:pPr>
      <w:r>
        <w:rPr>
          <w:sz w:val="28"/>
          <w:szCs w:val="28"/>
        </w:rPr>
        <w:t xml:space="preserve">При цьому, згідно з ч. 2 ст. 6 Закону України «Про Національний банк України» Національний банк у межах своїх повноважень </w:t>
      </w:r>
      <w:r>
        <w:rPr>
          <w:b/>
          <w:sz w:val="28"/>
          <w:szCs w:val="28"/>
        </w:rPr>
        <w:t xml:space="preserve">сприяє </w:t>
      </w:r>
      <w:r>
        <w:rPr>
          <w:b/>
          <w:sz w:val="28"/>
          <w:szCs w:val="28"/>
          <w:u w:val="single"/>
        </w:rPr>
        <w:t>стабільності</w:t>
      </w:r>
      <w:r>
        <w:rPr>
          <w:b/>
          <w:sz w:val="28"/>
          <w:szCs w:val="28"/>
        </w:rPr>
        <w:t xml:space="preserve"> банківської системи </w:t>
      </w:r>
      <w:r>
        <w:rPr>
          <w:sz w:val="28"/>
          <w:szCs w:val="28"/>
        </w:rPr>
        <w:t>за умови, що це не перешкоджає досягненню цілі, визначеної у частині другій цієї статті.</w:t>
      </w:r>
    </w:p>
    <w:p w14:paraId="0000003A" w14:textId="77777777" w:rsidR="00D628DC" w:rsidRDefault="00D65B4C">
      <w:pPr>
        <w:widowControl w:val="0"/>
        <w:ind w:firstLine="569"/>
        <w:jc w:val="both"/>
        <w:rPr>
          <w:sz w:val="28"/>
          <w:szCs w:val="28"/>
        </w:rPr>
      </w:pPr>
      <w:r>
        <w:rPr>
          <w:sz w:val="28"/>
          <w:szCs w:val="28"/>
        </w:rPr>
        <w:t xml:space="preserve">Національний банк також </w:t>
      </w:r>
      <w:r>
        <w:rPr>
          <w:b/>
          <w:sz w:val="28"/>
          <w:szCs w:val="28"/>
        </w:rPr>
        <w:t>сприяє додержанню стійких темпів економічного зростання та підтримує економічну політику</w:t>
      </w:r>
      <w:r>
        <w:rPr>
          <w:sz w:val="28"/>
          <w:szCs w:val="28"/>
        </w:rPr>
        <w:t xml:space="preserve"> Кабінету Міністрів України за умови, що це не перешкоджає досягненню цілей, визначених у частинах другій та третій цієї статті (ч. 3 даної норми).</w:t>
      </w:r>
    </w:p>
    <w:p w14:paraId="0000003B" w14:textId="77777777" w:rsidR="00D628DC" w:rsidRDefault="00D65B4C">
      <w:pPr>
        <w:ind w:firstLine="567"/>
        <w:jc w:val="both"/>
        <w:rPr>
          <w:sz w:val="28"/>
          <w:szCs w:val="28"/>
          <w:highlight w:val="white"/>
        </w:rPr>
      </w:pPr>
      <w:r>
        <w:rPr>
          <w:sz w:val="28"/>
          <w:szCs w:val="28"/>
          <w:highlight w:val="white"/>
        </w:rPr>
        <w:t xml:space="preserve">Метою Закону </w:t>
      </w:r>
      <w:r>
        <w:rPr>
          <w:sz w:val="28"/>
          <w:szCs w:val="28"/>
        </w:rPr>
        <w:t xml:space="preserve">України «Про систему гарантування вкладів фізичних осіб» </w:t>
      </w:r>
      <w:r>
        <w:rPr>
          <w:sz w:val="28"/>
          <w:szCs w:val="28"/>
          <w:highlight w:val="white"/>
        </w:rPr>
        <w:t xml:space="preserve">є </w:t>
      </w:r>
      <w:r>
        <w:rPr>
          <w:b/>
          <w:sz w:val="28"/>
          <w:szCs w:val="28"/>
          <w:highlight w:val="white"/>
        </w:rPr>
        <w:t>захист прав і законних інтересів вкладників банків</w:t>
      </w:r>
      <w:r>
        <w:rPr>
          <w:sz w:val="28"/>
          <w:szCs w:val="28"/>
          <w:highlight w:val="white"/>
        </w:rPr>
        <w:t xml:space="preserve">, </w:t>
      </w:r>
      <w:r>
        <w:rPr>
          <w:b/>
          <w:sz w:val="28"/>
          <w:szCs w:val="28"/>
          <w:highlight w:val="white"/>
        </w:rPr>
        <w:t>зміцнення довіри</w:t>
      </w:r>
      <w:r>
        <w:rPr>
          <w:sz w:val="28"/>
          <w:szCs w:val="28"/>
          <w:highlight w:val="white"/>
        </w:rPr>
        <w:t xml:space="preserve"> до банківської системи України, стимулювання залучення коштів у банківську систему України, </w:t>
      </w:r>
      <w:r>
        <w:rPr>
          <w:b/>
          <w:sz w:val="28"/>
          <w:szCs w:val="28"/>
          <w:highlight w:val="white"/>
        </w:rPr>
        <w:t>забезпечення ефективної процедури виведення неплатоспроможних</w:t>
      </w:r>
      <w:r>
        <w:rPr>
          <w:sz w:val="28"/>
          <w:szCs w:val="28"/>
          <w:highlight w:val="white"/>
        </w:rPr>
        <w:t xml:space="preserve"> банків з ринку та ліквідації банків.</w:t>
      </w:r>
    </w:p>
    <w:p w14:paraId="0000003C" w14:textId="77777777" w:rsidR="00D628DC" w:rsidRDefault="00D65B4C">
      <w:pPr>
        <w:ind w:firstLine="567"/>
        <w:jc w:val="both"/>
        <w:rPr>
          <w:sz w:val="28"/>
          <w:szCs w:val="28"/>
          <w:highlight w:val="white"/>
        </w:rPr>
      </w:pPr>
      <w:r>
        <w:rPr>
          <w:sz w:val="28"/>
          <w:szCs w:val="28"/>
          <w:highlight w:val="white"/>
        </w:rPr>
        <w:t xml:space="preserve">Станом на 30.01.2019 стосовно </w:t>
      </w:r>
      <w:r>
        <w:rPr>
          <w:b/>
          <w:sz w:val="28"/>
          <w:szCs w:val="28"/>
          <w:highlight w:val="white"/>
        </w:rPr>
        <w:t>9 банків</w:t>
      </w:r>
      <w:r>
        <w:rPr>
          <w:sz w:val="28"/>
          <w:szCs w:val="28"/>
          <w:highlight w:val="white"/>
        </w:rPr>
        <w:t xml:space="preserve"> (АТ “КБ “СОЮЗ”, ПАТ “УКРІНБАНК”, ПАТ “КБ “ПРЕМІУМ”, АТ “БАНК ВЕЛЕС”, ПАТ “РАДИКАЛ БАНК”, ПАТ “КСГ БАНК”, ПАТ “КБ “ХРЕЩАТИК”, ПАТ “ЗЛАТОБАНК”, АКБ “НОВИЙ”) суди прийняли рішення, які на сьогодні набрали законної сили про відновлення діяльності банків та/або скасування рішень про виведення банків з ринку.</w:t>
      </w:r>
    </w:p>
    <w:p w14:paraId="0000003D" w14:textId="77777777" w:rsidR="00D628DC" w:rsidRDefault="00D65B4C">
      <w:pPr>
        <w:ind w:firstLine="567"/>
        <w:jc w:val="both"/>
        <w:rPr>
          <w:sz w:val="28"/>
          <w:szCs w:val="28"/>
          <w:highlight w:val="white"/>
        </w:rPr>
      </w:pPr>
      <w:r>
        <w:rPr>
          <w:sz w:val="28"/>
          <w:szCs w:val="28"/>
          <w:highlight w:val="white"/>
        </w:rPr>
        <w:t>Стосовно 10 банків (ПАТ “ФІДОБАНК”, ПАТ БАНК “КОНТРАКТ”, АТ КБ “ПРИВАТБАНК”, ПАТ “КБ “ФІНАНСОВА ІНІЦІАТИВА”, ПАТ “БАНК НАРОДНИЙ КАПІТАЛ”, ПАТ “АКБ “КАПІТАЛ”, ПАТ “БАНК “КИЇВСЬКА РУСЬ”, ПАТ “ДІАМАНТБАНК”, АТ “БАНК БОГУСЛАВ”, ПАТ “АСТРА БАНК”, суди розглядають справи щодо оскарження рішень Національного банку України про скасування рішень про виведення банків з ринку, по яких відсутні рішення, які набрали законної сили.</w:t>
      </w:r>
    </w:p>
    <w:p w14:paraId="0000003E" w14:textId="77777777" w:rsidR="00D628DC" w:rsidRDefault="00D65B4C">
      <w:pPr>
        <w:ind w:firstLine="567"/>
        <w:jc w:val="both"/>
        <w:rPr>
          <w:sz w:val="28"/>
          <w:szCs w:val="28"/>
          <w:highlight w:val="white"/>
        </w:rPr>
      </w:pPr>
      <w:r>
        <w:rPr>
          <w:sz w:val="28"/>
          <w:szCs w:val="28"/>
          <w:highlight w:val="white"/>
        </w:rPr>
        <w:t xml:space="preserve">Одним з можливих інструментів захисту інтересів вкладників та інших кредиторів банків можливий через врегульоване законом відновлення діяльності банків, </w:t>
      </w:r>
      <w:r>
        <w:rPr>
          <w:sz w:val="28"/>
          <w:szCs w:val="28"/>
        </w:rPr>
        <w:t>щодо яких в судовому порядку скасовані рішення Національного банку України про віднесення банку до категорії неплатоспроможних та/або відкликання банківської ліцензії та ліквідацію банку, оскільки працюючий банк може за результатами свого фінансового оздоровлення сплатити кошти в повному розмірі своїм споживачам та продовжувати свою діяльність надалі. Окрім того, це надасть впевненість, що допущені помилки Нацбанку не є невідворотними, відповідно це стане одним з важливих кроків до відновлення довіри до банківської системи.</w:t>
      </w:r>
    </w:p>
    <w:p w14:paraId="0000003F" w14:textId="77777777" w:rsidR="00D628DC" w:rsidRDefault="00D65B4C">
      <w:pPr>
        <w:ind w:firstLine="567"/>
        <w:jc w:val="both"/>
        <w:rPr>
          <w:sz w:val="28"/>
          <w:szCs w:val="28"/>
          <w:highlight w:val="white"/>
        </w:rPr>
      </w:pPr>
      <w:r>
        <w:rPr>
          <w:sz w:val="28"/>
          <w:szCs w:val="28"/>
          <w:highlight w:val="white"/>
        </w:rPr>
        <w:t>Проте, на сьогоднішній день, відсутній жодний врегульований законом механізм відновлення таких банків, що призводить до можливості свавільного та корупційного прийняття відповідних рішень Національним банком України; також, тягне за собою невизначеність гарантій вкладників та інших кредиторів цих банків; дій Фонду гарантування вкладів фізичних осіб, щодо дій в таких банках, відшкодування виплачених гарантованих сум Фонду.</w:t>
      </w:r>
    </w:p>
    <w:p w14:paraId="00000040" w14:textId="77777777" w:rsidR="00D628DC" w:rsidRDefault="00D65B4C">
      <w:pPr>
        <w:ind w:firstLine="567"/>
        <w:jc w:val="both"/>
        <w:rPr>
          <w:sz w:val="28"/>
          <w:szCs w:val="28"/>
        </w:rPr>
      </w:pPr>
      <w:r>
        <w:rPr>
          <w:sz w:val="28"/>
          <w:szCs w:val="28"/>
          <w:highlight w:val="white"/>
        </w:rPr>
        <w:lastRenderedPageBreak/>
        <w:t xml:space="preserve">Відсутність механізму відновлення діяльності банків, також, тягне за собою втрату довіру до банківської системи, втрату інвесторів тощо, оскільки помилки регулятора в даній ситуації є не поправними, що </w:t>
      </w:r>
      <w:r>
        <w:rPr>
          <w:sz w:val="28"/>
          <w:szCs w:val="28"/>
        </w:rPr>
        <w:t>свідчить про відсутність стійкості банківської системи та підвищення її спроможності протистояти зовнішнім шокам у контексті останніх рекомендацій Базельського комітету з банківського нагляду, зокрема Базеля ІІІ.</w:t>
      </w:r>
    </w:p>
    <w:p w14:paraId="00000041" w14:textId="77777777" w:rsidR="00D628DC" w:rsidRDefault="00D65B4C">
      <w:pPr>
        <w:ind w:firstLine="567"/>
        <w:jc w:val="both"/>
        <w:rPr>
          <w:sz w:val="28"/>
          <w:szCs w:val="28"/>
        </w:rPr>
      </w:pPr>
      <w:r>
        <w:rPr>
          <w:sz w:val="28"/>
          <w:szCs w:val="28"/>
        </w:rPr>
        <w:t xml:space="preserve">Положення українського законодавства щодо захисту інвесторів та інших споживачів фінансових послуг загалом </w:t>
      </w:r>
      <w:r>
        <w:rPr>
          <w:b/>
          <w:sz w:val="28"/>
          <w:szCs w:val="28"/>
        </w:rPr>
        <w:t>не відповідають положенням</w:t>
      </w:r>
      <w:r>
        <w:rPr>
          <w:sz w:val="28"/>
          <w:szCs w:val="28"/>
        </w:rPr>
        <w:t xml:space="preserve"> </w:t>
      </w:r>
      <w:proofErr w:type="spellStart"/>
      <w:r>
        <w:rPr>
          <w:b/>
          <w:sz w:val="28"/>
          <w:szCs w:val="28"/>
        </w:rPr>
        <w:t>acquis</w:t>
      </w:r>
      <w:proofErr w:type="spellEnd"/>
      <w:r>
        <w:rPr>
          <w:b/>
          <w:sz w:val="28"/>
          <w:szCs w:val="28"/>
        </w:rPr>
        <w:t xml:space="preserve"> ЄС</w:t>
      </w:r>
      <w:r>
        <w:rPr>
          <w:sz w:val="28"/>
          <w:szCs w:val="28"/>
        </w:rPr>
        <w:t>. Рівень застосування законодавства на практиці є низьким. Рівень розвитку інституційної системи України щодо захисту інвесторів та інших споживачів фінансових послуг є недостатнім.</w:t>
      </w:r>
    </w:p>
    <w:p w14:paraId="00000042" w14:textId="77777777" w:rsidR="00D628DC" w:rsidRDefault="00D628DC">
      <w:pPr>
        <w:ind w:firstLine="567"/>
        <w:jc w:val="both"/>
        <w:rPr>
          <w:sz w:val="28"/>
          <w:szCs w:val="28"/>
        </w:rPr>
      </w:pPr>
    </w:p>
    <w:p w14:paraId="00000043" w14:textId="77777777" w:rsidR="00D628DC" w:rsidRDefault="00D65B4C">
      <w:pPr>
        <w:numPr>
          <w:ilvl w:val="0"/>
          <w:numId w:val="1"/>
        </w:numPr>
        <w:pBdr>
          <w:top w:val="nil"/>
          <w:left w:val="nil"/>
          <w:bottom w:val="nil"/>
          <w:right w:val="nil"/>
          <w:between w:val="nil"/>
        </w:pBdr>
        <w:tabs>
          <w:tab w:val="left" w:pos="1080"/>
        </w:tabs>
        <w:jc w:val="both"/>
        <w:rPr>
          <w:color w:val="000000"/>
          <w:sz w:val="28"/>
          <w:szCs w:val="28"/>
        </w:rPr>
      </w:pPr>
      <w:r>
        <w:rPr>
          <w:b/>
          <w:color w:val="000000"/>
          <w:sz w:val="28"/>
          <w:szCs w:val="28"/>
        </w:rPr>
        <w:t xml:space="preserve">Цілі і завдання прийняття проекту </w:t>
      </w:r>
    </w:p>
    <w:p w14:paraId="00000044" w14:textId="77777777" w:rsidR="00D628DC" w:rsidRDefault="00D65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highlight w:val="white"/>
        </w:rPr>
      </w:pPr>
      <w:r>
        <w:rPr>
          <w:sz w:val="28"/>
          <w:szCs w:val="28"/>
        </w:rPr>
        <w:t xml:space="preserve">Законопроект розроблено з метою  захисту інтересів вкладників та інших кредиторів банків щодо яких в судовому порядку скасовано постанови Національного банку України про віднесення банку до категорії неплатоспроможних та/або відкликання банківської ліцензії та ліквідацію банку; </w:t>
      </w:r>
      <w:r>
        <w:rPr>
          <w:sz w:val="28"/>
          <w:szCs w:val="28"/>
          <w:highlight w:val="white"/>
        </w:rPr>
        <w:t xml:space="preserve">виконання вимог Угоди </w:t>
      </w:r>
      <w:r>
        <w:rPr>
          <w:sz w:val="28"/>
          <w:szCs w:val="28"/>
        </w:rPr>
        <w:t>про асоціацію між Україною, втілення європейських стандартів</w:t>
      </w:r>
      <w:r>
        <w:rPr>
          <w:sz w:val="28"/>
          <w:szCs w:val="28"/>
          <w:highlight w:val="white"/>
        </w:rPr>
        <w:t xml:space="preserve">; досягнення стабільності і дієвості </w:t>
      </w:r>
      <w:r>
        <w:rPr>
          <w:b/>
          <w:sz w:val="28"/>
          <w:szCs w:val="28"/>
          <w:highlight w:val="white"/>
        </w:rPr>
        <w:t>демократичних інституцій</w:t>
      </w:r>
      <w:r>
        <w:rPr>
          <w:sz w:val="28"/>
          <w:szCs w:val="28"/>
          <w:highlight w:val="white"/>
        </w:rPr>
        <w:t xml:space="preserve">, </w:t>
      </w:r>
      <w:r>
        <w:rPr>
          <w:b/>
          <w:sz w:val="28"/>
          <w:szCs w:val="28"/>
          <w:highlight w:val="white"/>
        </w:rPr>
        <w:t>верховенство права</w:t>
      </w:r>
      <w:r>
        <w:rPr>
          <w:sz w:val="28"/>
          <w:szCs w:val="28"/>
          <w:highlight w:val="white"/>
        </w:rPr>
        <w:t xml:space="preserve"> та поваги до прав людини і основоположних свобод, через врегульований законом механізм відновлення діяльності таких банків.</w:t>
      </w:r>
    </w:p>
    <w:p w14:paraId="00000045" w14:textId="77777777" w:rsidR="00D628DC" w:rsidRDefault="00D65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color w:val="000000"/>
          <w:sz w:val="28"/>
          <w:szCs w:val="28"/>
        </w:rPr>
      </w:pPr>
      <w:r>
        <w:rPr>
          <w:sz w:val="28"/>
          <w:szCs w:val="28"/>
        </w:rPr>
        <w:t>До завдань з</w:t>
      </w:r>
      <w:r>
        <w:rPr>
          <w:color w:val="000000"/>
          <w:sz w:val="28"/>
          <w:szCs w:val="28"/>
        </w:rPr>
        <w:t>апропонованих змін</w:t>
      </w:r>
      <w:r>
        <w:rPr>
          <w:sz w:val="28"/>
          <w:szCs w:val="28"/>
        </w:rPr>
        <w:t xml:space="preserve"> до</w:t>
      </w:r>
      <w:r>
        <w:rPr>
          <w:color w:val="000000"/>
          <w:sz w:val="28"/>
          <w:szCs w:val="28"/>
        </w:rPr>
        <w:t xml:space="preserve"> закону необ</w:t>
      </w:r>
      <w:r>
        <w:rPr>
          <w:sz w:val="28"/>
          <w:szCs w:val="28"/>
        </w:rPr>
        <w:t xml:space="preserve">хідно віднести встановлення механізму </w:t>
      </w:r>
      <w:r>
        <w:rPr>
          <w:sz w:val="28"/>
          <w:szCs w:val="28"/>
          <w:highlight w:val="white"/>
        </w:rPr>
        <w:t xml:space="preserve">відновлення діяльності банків </w:t>
      </w:r>
      <w:r>
        <w:rPr>
          <w:sz w:val="28"/>
          <w:szCs w:val="28"/>
        </w:rPr>
        <w:t>щодо яких в судовому порядку скасовано постанови Національного банку України про віднесення банку до категорії неплатоспроможних та/або відкликання банківської ліцензії та ліквідацію банку</w:t>
      </w:r>
      <w:r>
        <w:rPr>
          <w:color w:val="000000"/>
          <w:sz w:val="28"/>
          <w:szCs w:val="28"/>
        </w:rPr>
        <w:t>.</w:t>
      </w:r>
    </w:p>
    <w:p w14:paraId="00000046" w14:textId="77777777" w:rsidR="00D628DC" w:rsidRDefault="00D628D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color w:val="000000"/>
          <w:sz w:val="28"/>
          <w:szCs w:val="28"/>
        </w:rPr>
      </w:pPr>
    </w:p>
    <w:p w14:paraId="00000047" w14:textId="77777777" w:rsidR="00D628DC" w:rsidRDefault="00D65B4C">
      <w:pPr>
        <w:numPr>
          <w:ilvl w:val="0"/>
          <w:numId w:val="1"/>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Загальна характеристика та основні положення проекту</w:t>
      </w:r>
    </w:p>
    <w:p w14:paraId="00000048" w14:textId="77777777" w:rsidR="00D628DC" w:rsidRDefault="00D65B4C">
      <w:pPr>
        <w:pBdr>
          <w:top w:val="nil"/>
          <w:left w:val="nil"/>
          <w:bottom w:val="nil"/>
          <w:right w:val="nil"/>
          <w:between w:val="nil"/>
        </w:pBdr>
        <w:ind w:firstLine="540"/>
        <w:jc w:val="both"/>
        <w:rPr>
          <w:sz w:val="28"/>
          <w:szCs w:val="28"/>
        </w:rPr>
      </w:pPr>
      <w:r>
        <w:rPr>
          <w:color w:val="000000"/>
          <w:sz w:val="28"/>
          <w:szCs w:val="28"/>
        </w:rPr>
        <w:t xml:space="preserve">Законопроектом пропонується внести зміни до </w:t>
      </w:r>
      <w:r>
        <w:rPr>
          <w:sz w:val="28"/>
          <w:szCs w:val="28"/>
        </w:rPr>
        <w:t>Закону України "Про систему гарантування вкладів фізичних осіб"</w:t>
      </w:r>
      <w:r>
        <w:rPr>
          <w:color w:val="000000"/>
          <w:sz w:val="28"/>
          <w:szCs w:val="28"/>
        </w:rPr>
        <w:t xml:space="preserve"> в частині введення нового </w:t>
      </w:r>
      <w:r>
        <w:rPr>
          <w:sz w:val="28"/>
          <w:szCs w:val="28"/>
        </w:rPr>
        <w:t xml:space="preserve">терміну та </w:t>
      </w:r>
      <w:r>
        <w:rPr>
          <w:color w:val="000000"/>
          <w:sz w:val="28"/>
          <w:szCs w:val="28"/>
        </w:rPr>
        <w:t xml:space="preserve"> алгоритму дій Фонду гарантування вкладів фізичних осіб щодо  </w:t>
      </w:r>
      <w:r>
        <w:rPr>
          <w:sz w:val="28"/>
          <w:szCs w:val="28"/>
        </w:rPr>
        <w:t>відновлення діяльності банку, рішення щодо неплатоспроможності/ліквідації якого скасовано в судовому порядку;</w:t>
      </w:r>
    </w:p>
    <w:p w14:paraId="00000049" w14:textId="77777777" w:rsidR="00D628DC" w:rsidRDefault="00D65B4C">
      <w:pPr>
        <w:pBdr>
          <w:top w:val="nil"/>
          <w:left w:val="nil"/>
          <w:bottom w:val="nil"/>
          <w:right w:val="nil"/>
          <w:between w:val="nil"/>
        </w:pBdr>
        <w:ind w:firstLine="540"/>
        <w:jc w:val="both"/>
        <w:rPr>
          <w:sz w:val="28"/>
          <w:szCs w:val="28"/>
        </w:rPr>
      </w:pPr>
      <w:r>
        <w:rPr>
          <w:sz w:val="28"/>
          <w:szCs w:val="28"/>
        </w:rPr>
        <w:t>зміни до Закон України "Про банки і банківську діяльність", в частині введення нових термінів, гарантії, підстави та загальні принципи відновлення функціонування банку; план відновлення функціонування банку та його основні засади; можливість п</w:t>
      </w:r>
      <w:r>
        <w:rPr>
          <w:sz w:val="28"/>
          <w:szCs w:val="28"/>
          <w:highlight w:val="white"/>
        </w:rPr>
        <w:t xml:space="preserve">рипинення банківської діяльності без ліквідації юридичної особи з можливим подальшим отриманням банківської ліцензії; </w:t>
      </w:r>
      <w:r>
        <w:rPr>
          <w:sz w:val="28"/>
          <w:szCs w:val="28"/>
        </w:rPr>
        <w:t>персональна відповідальність пов’язаної з банком особи щодо такої категорії банків.</w:t>
      </w:r>
    </w:p>
    <w:p w14:paraId="0000004A" w14:textId="77777777" w:rsidR="00D628DC" w:rsidRDefault="00D628DC">
      <w:pPr>
        <w:pBdr>
          <w:top w:val="nil"/>
          <w:left w:val="nil"/>
          <w:bottom w:val="nil"/>
          <w:right w:val="nil"/>
          <w:between w:val="nil"/>
        </w:pBdr>
        <w:ind w:firstLine="709"/>
        <w:rPr>
          <w:color w:val="000000"/>
          <w:sz w:val="28"/>
          <w:szCs w:val="28"/>
        </w:rPr>
      </w:pPr>
    </w:p>
    <w:p w14:paraId="0000004B" w14:textId="77777777" w:rsidR="00D628DC" w:rsidRDefault="00D65B4C">
      <w:pPr>
        <w:pBdr>
          <w:top w:val="nil"/>
          <w:left w:val="nil"/>
          <w:bottom w:val="nil"/>
          <w:right w:val="nil"/>
          <w:between w:val="nil"/>
        </w:pBdr>
        <w:ind w:firstLine="720"/>
        <w:jc w:val="both"/>
        <w:rPr>
          <w:color w:val="000000"/>
          <w:sz w:val="28"/>
          <w:szCs w:val="28"/>
        </w:rPr>
      </w:pPr>
      <w:r>
        <w:rPr>
          <w:b/>
          <w:color w:val="000000"/>
          <w:sz w:val="28"/>
          <w:szCs w:val="28"/>
        </w:rPr>
        <w:t xml:space="preserve">4. Місце законопроекту в системі законодавства </w:t>
      </w:r>
    </w:p>
    <w:p w14:paraId="0000004C" w14:textId="77777777" w:rsidR="00D628DC" w:rsidRDefault="00D65B4C">
      <w:pPr>
        <w:pBdr>
          <w:top w:val="nil"/>
          <w:left w:val="nil"/>
          <w:bottom w:val="nil"/>
          <w:right w:val="nil"/>
          <w:between w:val="nil"/>
        </w:pBdr>
        <w:tabs>
          <w:tab w:val="left" w:pos="1736"/>
        </w:tabs>
        <w:ind w:firstLine="720"/>
        <w:jc w:val="both"/>
        <w:rPr>
          <w:color w:val="000000"/>
          <w:sz w:val="28"/>
          <w:szCs w:val="28"/>
          <w:u w:val="single"/>
        </w:rPr>
      </w:pPr>
      <w:r>
        <w:rPr>
          <w:color w:val="000000"/>
          <w:sz w:val="28"/>
          <w:szCs w:val="28"/>
        </w:rPr>
        <w:t xml:space="preserve">Законопроект стосується правового захисту вкладників та інших кредиторів банків, правового </w:t>
      </w:r>
      <w:r>
        <w:rPr>
          <w:sz w:val="28"/>
          <w:szCs w:val="28"/>
        </w:rPr>
        <w:t>регулювання</w:t>
      </w:r>
      <w:r>
        <w:rPr>
          <w:color w:val="000000"/>
          <w:sz w:val="28"/>
          <w:szCs w:val="28"/>
        </w:rPr>
        <w:t xml:space="preserve"> діяльності банків.</w:t>
      </w:r>
    </w:p>
    <w:p w14:paraId="0000004D" w14:textId="77777777" w:rsidR="00D628DC" w:rsidRDefault="00D65B4C">
      <w:pPr>
        <w:pBdr>
          <w:top w:val="nil"/>
          <w:left w:val="nil"/>
          <w:bottom w:val="nil"/>
          <w:right w:val="nil"/>
          <w:between w:val="nil"/>
        </w:pBdr>
        <w:ind w:firstLine="720"/>
        <w:jc w:val="both"/>
        <w:rPr>
          <w:color w:val="000000"/>
          <w:sz w:val="28"/>
          <w:szCs w:val="28"/>
        </w:rPr>
      </w:pPr>
      <w:r>
        <w:rPr>
          <w:color w:val="000000"/>
          <w:sz w:val="28"/>
          <w:szCs w:val="28"/>
        </w:rPr>
        <w:lastRenderedPageBreak/>
        <w:t>Нормативно-правовими актами, якими регулюються суспільні відносини у даній сфері є Конституція України, Закон України “Банки і банківську діяльність”, «Про систему гарантування вкладів фізичних осіб», Цивільний кодекс України та інші.</w:t>
      </w:r>
    </w:p>
    <w:p w14:paraId="0000004E" w14:textId="77777777" w:rsidR="00D628DC" w:rsidRDefault="00D628DC">
      <w:pPr>
        <w:pBdr>
          <w:top w:val="nil"/>
          <w:left w:val="nil"/>
          <w:bottom w:val="nil"/>
          <w:right w:val="nil"/>
          <w:between w:val="nil"/>
        </w:pBdr>
        <w:ind w:firstLine="720"/>
        <w:jc w:val="both"/>
        <w:rPr>
          <w:color w:val="000000"/>
          <w:sz w:val="28"/>
          <w:szCs w:val="28"/>
        </w:rPr>
      </w:pPr>
    </w:p>
    <w:p w14:paraId="0000004F" w14:textId="77777777" w:rsidR="00D628DC" w:rsidRDefault="00D65B4C">
      <w:pPr>
        <w:pBdr>
          <w:top w:val="nil"/>
          <w:left w:val="nil"/>
          <w:bottom w:val="nil"/>
          <w:right w:val="nil"/>
          <w:between w:val="nil"/>
        </w:pBdr>
        <w:ind w:firstLine="720"/>
        <w:jc w:val="both"/>
        <w:rPr>
          <w:color w:val="000000"/>
          <w:sz w:val="28"/>
          <w:szCs w:val="28"/>
        </w:rPr>
      </w:pPr>
      <w:r>
        <w:rPr>
          <w:b/>
          <w:color w:val="000000"/>
          <w:sz w:val="28"/>
          <w:szCs w:val="28"/>
        </w:rPr>
        <w:t xml:space="preserve">5. Фінансово-економічне обґрунтування </w:t>
      </w:r>
    </w:p>
    <w:p w14:paraId="00000050" w14:textId="77777777" w:rsidR="00D628DC" w:rsidRDefault="00D65B4C">
      <w:pPr>
        <w:pBdr>
          <w:top w:val="nil"/>
          <w:left w:val="nil"/>
          <w:bottom w:val="nil"/>
          <w:right w:val="nil"/>
          <w:between w:val="nil"/>
        </w:pBdr>
        <w:ind w:firstLine="720"/>
        <w:jc w:val="both"/>
        <w:rPr>
          <w:color w:val="000000"/>
          <w:sz w:val="28"/>
          <w:szCs w:val="28"/>
        </w:rPr>
      </w:pPr>
      <w:r>
        <w:rPr>
          <w:color w:val="000000"/>
          <w:sz w:val="28"/>
          <w:szCs w:val="28"/>
        </w:rPr>
        <w:t xml:space="preserve">Реалізація положень законопроекту під час його практичного застосування після його прийняття не впливатиме на видаткову частину державного або місцевих бюджетів, оскільки на виконання відновлення діяльності банків, </w:t>
      </w:r>
      <w:r>
        <w:rPr>
          <w:sz w:val="28"/>
          <w:szCs w:val="28"/>
        </w:rPr>
        <w:t>кошти залучаються лише від самих банківських установ</w:t>
      </w:r>
      <w:r>
        <w:rPr>
          <w:color w:val="000000"/>
          <w:sz w:val="28"/>
          <w:szCs w:val="28"/>
        </w:rPr>
        <w:t>.</w:t>
      </w:r>
    </w:p>
    <w:p w14:paraId="00000051" w14:textId="77777777" w:rsidR="00D628DC" w:rsidRDefault="00D65B4C">
      <w:pPr>
        <w:pBdr>
          <w:top w:val="nil"/>
          <w:left w:val="nil"/>
          <w:bottom w:val="nil"/>
          <w:right w:val="nil"/>
          <w:between w:val="nil"/>
        </w:pBdr>
        <w:ind w:firstLine="720"/>
        <w:jc w:val="both"/>
        <w:rPr>
          <w:color w:val="000000"/>
          <w:sz w:val="28"/>
          <w:szCs w:val="28"/>
        </w:rPr>
      </w:pPr>
      <w:r>
        <w:rPr>
          <w:sz w:val="28"/>
          <w:szCs w:val="28"/>
        </w:rPr>
        <w:t>Проте, даний законопроект вплине доходну частину державного або місцевих бюджетів, оскільки відновлення діяльності банків тягне за собою сплату відповідних податків та зборів банківської установи, сплату податків та зборів щодо фонду оплати праці найманих працівників, зменшення соціальних виплат по безробіттю, зменшення витрат ФГВФО, що кредитується з державних коштів.</w:t>
      </w:r>
    </w:p>
    <w:p w14:paraId="00000052" w14:textId="77777777" w:rsidR="00D628DC" w:rsidRDefault="00D628DC">
      <w:pPr>
        <w:pBdr>
          <w:top w:val="nil"/>
          <w:left w:val="nil"/>
          <w:bottom w:val="nil"/>
          <w:right w:val="nil"/>
          <w:between w:val="nil"/>
        </w:pBdr>
        <w:jc w:val="both"/>
        <w:rPr>
          <w:color w:val="000000"/>
          <w:sz w:val="28"/>
          <w:szCs w:val="28"/>
        </w:rPr>
      </w:pPr>
    </w:p>
    <w:p w14:paraId="00000053" w14:textId="77777777" w:rsidR="00D628DC" w:rsidRDefault="00D65B4C">
      <w:pPr>
        <w:pBdr>
          <w:top w:val="nil"/>
          <w:left w:val="nil"/>
          <w:bottom w:val="nil"/>
          <w:right w:val="nil"/>
          <w:between w:val="nil"/>
        </w:pBdr>
        <w:ind w:firstLine="720"/>
        <w:jc w:val="both"/>
        <w:rPr>
          <w:color w:val="000000"/>
          <w:sz w:val="28"/>
          <w:szCs w:val="28"/>
        </w:rPr>
      </w:pPr>
      <w:r>
        <w:rPr>
          <w:b/>
          <w:color w:val="000000"/>
          <w:sz w:val="28"/>
          <w:szCs w:val="28"/>
        </w:rPr>
        <w:t>6. Обґрунтування очікуваних соціально-економічних, правових та інших наслідків застосування законопроекту після його прийняття</w:t>
      </w:r>
    </w:p>
    <w:p w14:paraId="00000054" w14:textId="21BFEA02" w:rsidR="00D628DC" w:rsidRDefault="00D65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highlight w:val="white"/>
        </w:rPr>
      </w:pPr>
      <w:r>
        <w:rPr>
          <w:sz w:val="28"/>
          <w:szCs w:val="28"/>
        </w:rPr>
        <w:t>З прийняттям даного законопроекту очікується</w:t>
      </w:r>
      <w:r w:rsidR="00AC03B7">
        <w:rPr>
          <w:sz w:val="28"/>
          <w:szCs w:val="28"/>
        </w:rPr>
        <w:t xml:space="preserve"> створення дієвого механізму належного </w:t>
      </w:r>
      <w:r>
        <w:rPr>
          <w:sz w:val="28"/>
          <w:szCs w:val="28"/>
        </w:rPr>
        <w:t>захист</w:t>
      </w:r>
      <w:r w:rsidR="00AC03B7">
        <w:rPr>
          <w:sz w:val="28"/>
          <w:szCs w:val="28"/>
        </w:rPr>
        <w:t>у</w:t>
      </w:r>
      <w:r>
        <w:rPr>
          <w:sz w:val="28"/>
          <w:szCs w:val="28"/>
        </w:rPr>
        <w:t xml:space="preserve"> інтересів вкладників та інших кредиторів банків щодо яких в судовому порядку скасовано постанови Національного банку України про віднесення банку до категорії неплатоспроможних та/або відкликання банківської ліцензії та ліквідацію банку; в певній мірі відновлення довіри до банківської системи; повернення на ринок банківських установ; втілення європейських стандартів</w:t>
      </w:r>
      <w:r>
        <w:rPr>
          <w:sz w:val="28"/>
          <w:szCs w:val="28"/>
          <w:highlight w:val="white"/>
        </w:rPr>
        <w:t>; досягнення стабільності і дієвості демократичних інституцій, верховенство права та поваги до прав людини і основоположних свобод.</w:t>
      </w:r>
    </w:p>
    <w:p w14:paraId="00000055" w14:textId="77777777" w:rsidR="00D628DC" w:rsidRDefault="00D628DC">
      <w:pPr>
        <w:pBdr>
          <w:top w:val="nil"/>
          <w:left w:val="nil"/>
          <w:bottom w:val="nil"/>
          <w:right w:val="nil"/>
          <w:between w:val="nil"/>
        </w:pBdr>
        <w:tabs>
          <w:tab w:val="left" w:pos="0"/>
        </w:tabs>
        <w:ind w:right="-72" w:firstLine="600"/>
        <w:jc w:val="both"/>
        <w:rPr>
          <w:sz w:val="28"/>
          <w:szCs w:val="28"/>
        </w:rPr>
      </w:pPr>
    </w:p>
    <w:p w14:paraId="3A74BE46" w14:textId="77777777" w:rsidR="00AC03B7" w:rsidRDefault="00AC03B7">
      <w:pPr>
        <w:pBdr>
          <w:top w:val="nil"/>
          <w:left w:val="nil"/>
          <w:bottom w:val="nil"/>
          <w:right w:val="nil"/>
          <w:between w:val="nil"/>
        </w:pBdr>
        <w:tabs>
          <w:tab w:val="left" w:pos="0"/>
        </w:tabs>
        <w:ind w:right="-72" w:firstLine="600"/>
        <w:jc w:val="both"/>
        <w:rPr>
          <w:sz w:val="28"/>
          <w:szCs w:val="28"/>
        </w:rPr>
      </w:pPr>
    </w:p>
    <w:p w14:paraId="2BB44E5C" w14:textId="77777777" w:rsidR="00AC03B7" w:rsidRDefault="00AC03B7">
      <w:pPr>
        <w:pBdr>
          <w:top w:val="nil"/>
          <w:left w:val="nil"/>
          <w:bottom w:val="nil"/>
          <w:right w:val="nil"/>
          <w:between w:val="nil"/>
        </w:pBdr>
        <w:tabs>
          <w:tab w:val="left" w:pos="0"/>
        </w:tabs>
        <w:ind w:right="-72" w:firstLine="600"/>
        <w:jc w:val="both"/>
        <w:rPr>
          <w:sz w:val="28"/>
          <w:szCs w:val="28"/>
        </w:rPr>
      </w:pPr>
    </w:p>
    <w:p w14:paraId="5A6D9655" w14:textId="30CF3AF5" w:rsidR="00AC03B7" w:rsidRDefault="00AC03B7" w:rsidP="00AC03B7">
      <w:pPr>
        <w:ind w:firstLine="540"/>
        <w:rPr>
          <w:b/>
          <w:bCs/>
          <w:sz w:val="28"/>
          <w:szCs w:val="28"/>
        </w:rPr>
      </w:pPr>
      <w:r w:rsidRPr="00AC03B7">
        <w:rPr>
          <w:b/>
          <w:bCs/>
          <w:sz w:val="28"/>
          <w:szCs w:val="28"/>
        </w:rPr>
        <w:t xml:space="preserve">Народний депутат України    </w:t>
      </w:r>
      <w:r>
        <w:rPr>
          <w:b/>
          <w:bCs/>
          <w:sz w:val="28"/>
          <w:szCs w:val="28"/>
        </w:rPr>
        <w:tab/>
      </w:r>
      <w:r>
        <w:rPr>
          <w:b/>
          <w:bCs/>
          <w:sz w:val="28"/>
          <w:szCs w:val="28"/>
        </w:rPr>
        <w:tab/>
      </w:r>
      <w:r>
        <w:rPr>
          <w:b/>
          <w:bCs/>
          <w:sz w:val="28"/>
          <w:szCs w:val="28"/>
        </w:rPr>
        <w:tab/>
        <w:t xml:space="preserve"> </w:t>
      </w:r>
      <w:r>
        <w:rPr>
          <w:b/>
          <w:bCs/>
          <w:sz w:val="28"/>
          <w:szCs w:val="28"/>
        </w:rPr>
        <w:tab/>
        <w:t xml:space="preserve"> </w:t>
      </w:r>
      <w:r>
        <w:rPr>
          <w:b/>
          <w:bCs/>
          <w:sz w:val="28"/>
          <w:szCs w:val="28"/>
        </w:rPr>
        <w:tab/>
      </w:r>
      <w:r w:rsidRPr="00AC03B7">
        <w:rPr>
          <w:b/>
          <w:bCs/>
          <w:sz w:val="28"/>
          <w:szCs w:val="28"/>
        </w:rPr>
        <w:t xml:space="preserve">І.В. Луценко </w:t>
      </w:r>
    </w:p>
    <w:p w14:paraId="251D9D99" w14:textId="7C54C533" w:rsidR="00AC03B7" w:rsidRPr="00AC03B7" w:rsidRDefault="00AC03B7" w:rsidP="00AC03B7">
      <w:pPr>
        <w:ind w:left="6480" w:firstLine="720"/>
        <w:rPr>
          <w:bCs/>
          <w:sz w:val="28"/>
          <w:szCs w:val="28"/>
        </w:rPr>
      </w:pPr>
      <w:bookmarkStart w:id="2" w:name="_GoBack"/>
      <w:bookmarkEnd w:id="2"/>
      <w:r w:rsidRPr="00AC03B7">
        <w:rPr>
          <w:bCs/>
          <w:sz w:val="28"/>
          <w:szCs w:val="28"/>
        </w:rPr>
        <w:t>(</w:t>
      </w:r>
      <w:proofErr w:type="spellStart"/>
      <w:r>
        <w:rPr>
          <w:bCs/>
          <w:sz w:val="28"/>
          <w:szCs w:val="28"/>
        </w:rPr>
        <w:t>п</w:t>
      </w:r>
      <w:r w:rsidRPr="00AC03B7">
        <w:rPr>
          <w:bCs/>
          <w:sz w:val="28"/>
          <w:szCs w:val="28"/>
        </w:rPr>
        <w:t>осв</w:t>
      </w:r>
      <w:proofErr w:type="spellEnd"/>
      <w:r w:rsidRPr="00AC03B7">
        <w:rPr>
          <w:bCs/>
          <w:sz w:val="28"/>
          <w:szCs w:val="28"/>
        </w:rPr>
        <w:t>. № 211)</w:t>
      </w:r>
      <w:r w:rsidRPr="00AC03B7">
        <w:rPr>
          <w:b/>
          <w:bCs/>
          <w:sz w:val="28"/>
          <w:szCs w:val="28"/>
        </w:rPr>
        <w:t xml:space="preserve"> </w:t>
      </w:r>
    </w:p>
    <w:p w14:paraId="060C68D0" w14:textId="77777777" w:rsidR="00AC03B7" w:rsidRPr="00AC03B7" w:rsidRDefault="00AC03B7">
      <w:pPr>
        <w:pBdr>
          <w:top w:val="nil"/>
          <w:left w:val="nil"/>
          <w:bottom w:val="nil"/>
          <w:right w:val="nil"/>
          <w:between w:val="nil"/>
        </w:pBdr>
        <w:tabs>
          <w:tab w:val="left" w:pos="0"/>
        </w:tabs>
        <w:ind w:right="-72" w:firstLine="600"/>
        <w:jc w:val="both"/>
        <w:rPr>
          <w:sz w:val="28"/>
          <w:szCs w:val="28"/>
        </w:rPr>
      </w:pPr>
    </w:p>
    <w:sectPr w:rsidR="00AC03B7" w:rsidRPr="00AC03B7">
      <w:footerReference w:type="even" r:id="rId15"/>
      <w:footerReference w:type="default" r:id="rId16"/>
      <w:pgSz w:w="11906" w:h="16838"/>
      <w:pgMar w:top="851" w:right="850" w:bottom="966" w:left="1701"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6FAB22" w14:textId="77777777" w:rsidR="009947CB" w:rsidRDefault="009947CB">
      <w:r>
        <w:separator/>
      </w:r>
    </w:p>
  </w:endnote>
  <w:endnote w:type="continuationSeparator" w:id="0">
    <w:p w14:paraId="22460CE8" w14:textId="77777777" w:rsidR="009947CB" w:rsidRDefault="00994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altName w:val="Arial"/>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8" w14:textId="77777777" w:rsidR="00D628DC" w:rsidRDefault="00D65B4C">
    <w:pPr>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00000059" w14:textId="77777777" w:rsidR="00D628DC" w:rsidRDefault="00D628DC">
    <w:pPr>
      <w:pBdr>
        <w:top w:val="nil"/>
        <w:left w:val="nil"/>
        <w:bottom w:val="nil"/>
        <w:right w:val="nil"/>
        <w:between w:val="nil"/>
      </w:pBdr>
      <w:tabs>
        <w:tab w:val="center" w:pos="4677"/>
        <w:tab w:val="right" w:pos="9355"/>
      </w:tabs>
      <w:ind w:right="360"/>
      <w:rPr>
        <w:color w:val="000000"/>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6" w14:textId="77777777" w:rsidR="00D628DC" w:rsidRDefault="00D65B4C">
    <w:pPr>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752FD8">
      <w:rPr>
        <w:noProof/>
        <w:color w:val="000000"/>
        <w:sz w:val="24"/>
        <w:szCs w:val="24"/>
      </w:rPr>
      <w:t>3</w:t>
    </w:r>
    <w:r>
      <w:rPr>
        <w:color w:val="000000"/>
        <w:sz w:val="24"/>
        <w:szCs w:val="24"/>
      </w:rPr>
      <w:fldChar w:fldCharType="end"/>
    </w:r>
  </w:p>
  <w:p w14:paraId="00000057" w14:textId="77777777" w:rsidR="00D628DC" w:rsidRDefault="00D628DC">
    <w:pPr>
      <w:pBdr>
        <w:top w:val="nil"/>
        <w:left w:val="nil"/>
        <w:bottom w:val="nil"/>
        <w:right w:val="nil"/>
        <w:between w:val="nil"/>
      </w:pBdr>
      <w:tabs>
        <w:tab w:val="center" w:pos="4677"/>
        <w:tab w:val="right" w:pos="9355"/>
      </w:tabs>
      <w:ind w:right="360"/>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CBFDD1" w14:textId="77777777" w:rsidR="009947CB" w:rsidRDefault="009947CB">
      <w:r>
        <w:separator/>
      </w:r>
    </w:p>
  </w:footnote>
  <w:footnote w:type="continuationSeparator" w:id="0">
    <w:p w14:paraId="2DF7AFF6" w14:textId="77777777" w:rsidR="009947CB" w:rsidRDefault="009947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5154"/>
    <w:multiLevelType w:val="multilevel"/>
    <w:tmpl w:val="A42EF0BC"/>
    <w:lvl w:ilvl="0">
      <w:start w:val="2"/>
      <w:numFmt w:val="decimal"/>
      <w:lvlText w:val="%1."/>
      <w:lvlJc w:val="left"/>
      <w:pPr>
        <w:ind w:left="928" w:hanging="360"/>
      </w:pPr>
      <w:rPr>
        <w:rFonts w:ascii="Arial" w:eastAsia="Arial" w:hAnsi="Arial" w:cs="Arial"/>
        <w:b/>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628DC"/>
    <w:rsid w:val="00752FD8"/>
    <w:rsid w:val="009947CB"/>
    <w:rsid w:val="00AC03B7"/>
    <w:rsid w:val="00BD5F0C"/>
    <w:rsid w:val="00D628DC"/>
    <w:rsid w:val="00D65B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zakon.rada.gov.ua/laws/show/984_011" TargetMode="External"/><Relationship Id="rId13" Type="http://schemas.openxmlformats.org/officeDocument/2006/relationships/hyperlink" Target="http://zakon5.rada.gov.ua/laws/show/984_011/paran642"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on5.rada.gov.ua/laws/show/984_0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rive.google.com/open?id=1TWubm4V6PAfeqN4UF7Tr7zoyPtmSuLuUL7rSjjXIBB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on3.rada.gov.ua/laws/show/1678-18/paran2" TargetMode="External"/><Relationship Id="rId4" Type="http://schemas.openxmlformats.org/officeDocument/2006/relationships/settings" Target="settings.xml"/><Relationship Id="rId9" Type="http://schemas.openxmlformats.org/officeDocument/2006/relationships/hyperlink" Target="http://zakon3.rada.gov.ua/laws/show/1678-18/paran2" TargetMode="External"/><Relationship Id="rId14" Type="http://schemas.openxmlformats.org/officeDocument/2006/relationships/hyperlink" Target="https://eur-lex.europa.eu/legal-content/EN/TXT/?uri=CELEX%3A32014L0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14207</Words>
  <Characters>8099</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cp:lastPrinted>2019-07-10T12:26:00Z</cp:lastPrinted>
  <dcterms:created xsi:type="dcterms:W3CDTF">2019-07-10T13:12:00Z</dcterms:created>
  <dcterms:modified xsi:type="dcterms:W3CDTF">2019-07-10T13:12:00Z</dcterms:modified>
</cp:coreProperties>
</file>