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FEF" w:rsidRPr="00E4182B" w:rsidRDefault="009D0FEF" w:rsidP="009D0FEF">
      <w:pPr>
        <w:keepNext/>
        <w:spacing w:before="240" w:after="60" w:line="360" w:lineRule="auto"/>
        <w:contextualSpacing/>
        <w:jc w:val="center"/>
        <w:rPr>
          <w:rFonts w:ascii="Times New Roman" w:hAnsi="Times New Roman" w:cs="Times New Roman"/>
          <w:b/>
        </w:rPr>
      </w:pPr>
      <w:r w:rsidRPr="00E4182B">
        <w:rPr>
          <w:rFonts w:ascii="Times New Roman" w:hAnsi="Times New Roman" w:cs="Times New Roman"/>
          <w:b/>
        </w:rPr>
        <w:t>ПОРІВНЯЛЬНА ТАБЛИЦЯ</w:t>
      </w:r>
    </w:p>
    <w:p w:rsidR="009D0FEF" w:rsidRDefault="009D0FEF" w:rsidP="009D0FEF">
      <w:pPr>
        <w:keepNext/>
        <w:spacing w:before="240" w:after="60" w:line="360" w:lineRule="auto"/>
        <w:contextualSpacing/>
        <w:jc w:val="center"/>
        <w:rPr>
          <w:b/>
        </w:rPr>
      </w:pPr>
      <w:r w:rsidRPr="00E4182B">
        <w:rPr>
          <w:rFonts w:ascii="Times New Roman" w:hAnsi="Times New Roman" w:cs="Times New Roman"/>
          <w:b/>
        </w:rPr>
        <w:t>до проекту Закону України</w:t>
      </w:r>
    </w:p>
    <w:p w:rsidR="009D0FEF" w:rsidRPr="00E4182B" w:rsidRDefault="009D0FEF" w:rsidP="009D0FEF">
      <w:pPr>
        <w:keepNext/>
        <w:spacing w:before="240" w:after="60" w:line="360" w:lineRule="auto"/>
        <w:contextualSpacing/>
        <w:jc w:val="center"/>
        <w:rPr>
          <w:rFonts w:ascii="Times New Roman" w:hAnsi="Times New Roman" w:cs="Times New Roman"/>
          <w:b/>
        </w:rPr>
      </w:pPr>
      <w:r>
        <w:rPr>
          <w:rFonts w:ascii="Times New Roman" w:hAnsi="Times New Roman" w:cs="Times New Roman"/>
          <w:b/>
        </w:rPr>
        <w:t>«</w:t>
      </w:r>
      <w:r w:rsidRPr="00E4182B">
        <w:rPr>
          <w:rFonts w:ascii="Times New Roman" w:hAnsi="Times New Roman" w:cs="Times New Roman"/>
          <w:b/>
        </w:rPr>
        <w:t>Про внесення змін до деяких законодавчих актів України щодо відновлення функціонування банківських установ щодо яких в судовому порядку скасовано постанови Національного банку України про віднесення банку до категорії неплатоспроможних та/або відкликання банківської ліцензії та ліквідацію банку»</w:t>
      </w:r>
    </w:p>
    <w:p w:rsidR="009D0FEF" w:rsidRPr="000A5A2E" w:rsidRDefault="009D0FEF" w:rsidP="009D0FEF">
      <w:pPr>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4"/>
        <w:gridCol w:w="7374"/>
      </w:tblGrid>
      <w:tr w:rsidR="009D0FEF" w:rsidRPr="000A5A2E" w:rsidTr="00C946EA">
        <w:tc>
          <w:tcPr>
            <w:tcW w:w="14748" w:type="dxa"/>
            <w:gridSpan w:val="2"/>
          </w:tcPr>
          <w:p w:rsidR="009D0FEF" w:rsidRPr="009A5BDC" w:rsidRDefault="009D0FEF" w:rsidP="00C946EA">
            <w:pPr>
              <w:jc w:val="center"/>
              <w:rPr>
                <w:rFonts w:ascii="Times New Roman" w:hAnsi="Times New Roman" w:cs="Times New Roman"/>
                <w:b/>
                <w:bCs/>
              </w:rPr>
            </w:pPr>
            <w:r>
              <w:rPr>
                <w:rFonts w:ascii="Times New Roman" w:hAnsi="Times New Roman" w:cs="Times New Roman"/>
                <w:b/>
                <w:bCs/>
                <w:lang w:val="ru-RU"/>
              </w:rPr>
              <w:t xml:space="preserve">Закон </w:t>
            </w:r>
            <w:proofErr w:type="spellStart"/>
            <w:r>
              <w:rPr>
                <w:rFonts w:ascii="Times New Roman" w:hAnsi="Times New Roman" w:cs="Times New Roman"/>
                <w:b/>
                <w:bCs/>
                <w:lang w:val="ru-RU"/>
              </w:rPr>
              <w:t>України</w:t>
            </w:r>
            <w:proofErr w:type="spellEnd"/>
            <w:r>
              <w:rPr>
                <w:rFonts w:ascii="Times New Roman" w:hAnsi="Times New Roman" w:cs="Times New Roman"/>
                <w:b/>
                <w:bCs/>
                <w:lang w:val="ru-RU"/>
              </w:rPr>
              <w:t xml:space="preserve"> «Про систему </w:t>
            </w:r>
            <w:proofErr w:type="spellStart"/>
            <w:r>
              <w:rPr>
                <w:rFonts w:ascii="Times New Roman" w:hAnsi="Times New Roman" w:cs="Times New Roman"/>
                <w:b/>
                <w:bCs/>
                <w:lang w:val="ru-RU"/>
              </w:rPr>
              <w:t>гарантування</w:t>
            </w:r>
            <w:proofErr w:type="spellEnd"/>
            <w:r>
              <w:rPr>
                <w:rFonts w:ascii="Times New Roman" w:hAnsi="Times New Roman" w:cs="Times New Roman"/>
                <w:b/>
                <w:bCs/>
                <w:lang w:val="ru-RU"/>
              </w:rPr>
              <w:t xml:space="preserve"> </w:t>
            </w:r>
            <w:proofErr w:type="spellStart"/>
            <w:r>
              <w:rPr>
                <w:rFonts w:ascii="Times New Roman" w:hAnsi="Times New Roman" w:cs="Times New Roman"/>
                <w:b/>
                <w:bCs/>
                <w:lang w:val="ru-RU"/>
              </w:rPr>
              <w:t>вкладів</w:t>
            </w:r>
            <w:proofErr w:type="spellEnd"/>
            <w:r>
              <w:rPr>
                <w:rFonts w:ascii="Times New Roman" w:hAnsi="Times New Roman" w:cs="Times New Roman"/>
                <w:b/>
                <w:bCs/>
                <w:lang w:val="ru-RU"/>
              </w:rPr>
              <w:t xml:space="preserve"> </w:t>
            </w:r>
            <w:proofErr w:type="spellStart"/>
            <w:r>
              <w:rPr>
                <w:rFonts w:ascii="Times New Roman" w:hAnsi="Times New Roman" w:cs="Times New Roman"/>
                <w:b/>
                <w:bCs/>
                <w:lang w:val="ru-RU"/>
              </w:rPr>
              <w:t>фізичних</w:t>
            </w:r>
            <w:proofErr w:type="spellEnd"/>
            <w:r>
              <w:rPr>
                <w:rFonts w:ascii="Times New Roman" w:hAnsi="Times New Roman" w:cs="Times New Roman"/>
                <w:b/>
                <w:bCs/>
                <w:lang w:val="ru-RU"/>
              </w:rPr>
              <w:t xml:space="preserve"> </w:t>
            </w:r>
            <w:proofErr w:type="spellStart"/>
            <w:proofErr w:type="gramStart"/>
            <w:r>
              <w:rPr>
                <w:rFonts w:ascii="Times New Roman" w:hAnsi="Times New Roman" w:cs="Times New Roman"/>
                <w:b/>
                <w:bCs/>
                <w:lang w:val="ru-RU"/>
              </w:rPr>
              <w:t>осіб</w:t>
            </w:r>
            <w:proofErr w:type="spellEnd"/>
            <w:proofErr w:type="gramEnd"/>
            <w:r>
              <w:rPr>
                <w:rFonts w:ascii="Times New Roman" w:hAnsi="Times New Roman" w:cs="Times New Roman"/>
                <w:b/>
                <w:bCs/>
                <w:lang w:val="ru-RU"/>
              </w:rPr>
              <w:t>»</w:t>
            </w:r>
          </w:p>
        </w:tc>
      </w:tr>
      <w:tr w:rsidR="009D0FEF" w:rsidRPr="000A5A2E" w:rsidTr="00C946EA">
        <w:tc>
          <w:tcPr>
            <w:tcW w:w="7374" w:type="dxa"/>
          </w:tcPr>
          <w:p w:rsidR="009D0FEF" w:rsidRPr="000A5A2E" w:rsidRDefault="009D0FEF" w:rsidP="00C946EA">
            <w:pPr>
              <w:jc w:val="center"/>
              <w:rPr>
                <w:rFonts w:ascii="Times New Roman" w:hAnsi="Times New Roman" w:cs="Times New Roman"/>
                <w:b/>
                <w:bCs/>
                <w:iCs/>
              </w:rPr>
            </w:pPr>
            <w:r w:rsidRPr="000A5A2E">
              <w:rPr>
                <w:rFonts w:ascii="Times New Roman" w:hAnsi="Times New Roman" w:cs="Times New Roman"/>
                <w:b/>
                <w:bCs/>
                <w:iCs/>
              </w:rPr>
              <w:t xml:space="preserve">Чинна редакція </w:t>
            </w:r>
          </w:p>
        </w:tc>
        <w:tc>
          <w:tcPr>
            <w:tcW w:w="7374" w:type="dxa"/>
          </w:tcPr>
          <w:p w:rsidR="009D0FEF" w:rsidRPr="000A5A2E" w:rsidRDefault="009D0FEF" w:rsidP="00C946EA">
            <w:pPr>
              <w:jc w:val="center"/>
              <w:rPr>
                <w:rFonts w:ascii="Times New Roman" w:hAnsi="Times New Roman" w:cs="Times New Roman"/>
                <w:b/>
                <w:bCs/>
                <w:iCs/>
              </w:rPr>
            </w:pPr>
            <w:r w:rsidRPr="000A5A2E">
              <w:rPr>
                <w:rFonts w:ascii="Times New Roman" w:hAnsi="Times New Roman" w:cs="Times New Roman"/>
                <w:b/>
                <w:bCs/>
                <w:iCs/>
              </w:rPr>
              <w:t>Редакція</w:t>
            </w:r>
            <w:r>
              <w:rPr>
                <w:rFonts w:ascii="Times New Roman" w:hAnsi="Times New Roman" w:cs="Times New Roman"/>
                <w:b/>
                <w:bCs/>
                <w:iCs/>
              </w:rPr>
              <w:t xml:space="preserve"> Закону</w:t>
            </w:r>
            <w:r w:rsidRPr="000A5A2E">
              <w:rPr>
                <w:rFonts w:ascii="Times New Roman" w:hAnsi="Times New Roman" w:cs="Times New Roman"/>
                <w:b/>
                <w:bCs/>
                <w:iCs/>
              </w:rPr>
              <w:t xml:space="preserve"> з урахуванням</w:t>
            </w:r>
            <w:r>
              <w:rPr>
                <w:rFonts w:ascii="Times New Roman" w:hAnsi="Times New Roman" w:cs="Times New Roman"/>
                <w:b/>
                <w:bCs/>
                <w:iCs/>
              </w:rPr>
              <w:t xml:space="preserve"> пропонованих </w:t>
            </w:r>
            <w:r w:rsidRPr="000A5A2E">
              <w:rPr>
                <w:rFonts w:ascii="Times New Roman" w:hAnsi="Times New Roman" w:cs="Times New Roman"/>
                <w:b/>
                <w:bCs/>
                <w:iCs/>
              </w:rPr>
              <w:t>змін</w:t>
            </w:r>
          </w:p>
        </w:tc>
      </w:tr>
      <w:tr w:rsidR="009D0FEF" w:rsidRPr="000A5A2E" w:rsidTr="00C946EA">
        <w:tc>
          <w:tcPr>
            <w:tcW w:w="7374" w:type="dxa"/>
          </w:tcPr>
          <w:p w:rsidR="009D0FEF" w:rsidRDefault="009D0FEF" w:rsidP="00C946EA">
            <w:pPr>
              <w:ind w:firstLine="567"/>
              <w:rPr>
                <w:rFonts w:ascii="Times New Roman" w:hAnsi="Times New Roman" w:cs="Times New Roman"/>
                <w:b/>
              </w:rPr>
            </w:pPr>
          </w:p>
          <w:p w:rsidR="009D0FEF" w:rsidRPr="00E4182B" w:rsidRDefault="009D0FEF" w:rsidP="00C946EA">
            <w:pPr>
              <w:ind w:firstLine="567"/>
              <w:rPr>
                <w:rFonts w:ascii="Times New Roman" w:hAnsi="Times New Roman" w:cs="Times New Roman"/>
              </w:rPr>
            </w:pPr>
            <w:r w:rsidRPr="00E4182B">
              <w:rPr>
                <w:rFonts w:ascii="Times New Roman" w:hAnsi="Times New Roman" w:cs="Times New Roman"/>
                <w:b/>
              </w:rPr>
              <w:t xml:space="preserve">Стаття 2. </w:t>
            </w:r>
            <w:r w:rsidRPr="00E4182B">
              <w:rPr>
                <w:rFonts w:ascii="Times New Roman" w:hAnsi="Times New Roman" w:cs="Times New Roman"/>
              </w:rPr>
              <w:t>Визначення термінів</w:t>
            </w:r>
          </w:p>
          <w:p w:rsidR="009D0FEF" w:rsidRPr="00E4182B" w:rsidRDefault="009D0FEF" w:rsidP="00C946EA">
            <w:pPr>
              <w:ind w:firstLine="567"/>
              <w:rPr>
                <w:rFonts w:ascii="Times New Roman" w:hAnsi="Times New Roman" w:cs="Times New Roman"/>
              </w:rPr>
            </w:pPr>
            <w:r w:rsidRPr="00E4182B">
              <w:rPr>
                <w:rFonts w:ascii="Times New Roman" w:hAnsi="Times New Roman" w:cs="Times New Roman"/>
                <w:highlight w:val="white"/>
              </w:rPr>
              <w:t>1. У цьому Законі нижченаведені терміни вживаються в такому значенні:</w:t>
            </w:r>
          </w:p>
          <w:p w:rsidR="009D0FEF" w:rsidRDefault="009D0FEF" w:rsidP="00C946EA">
            <w:pPr>
              <w:tabs>
                <w:tab w:val="left" w:pos="1350"/>
              </w:tabs>
              <w:ind w:firstLine="567"/>
              <w:rPr>
                <w:rFonts w:ascii="Times New Roman" w:hAnsi="Times New Roman" w:cs="Times New Roman"/>
              </w:rPr>
            </w:pPr>
            <w:r w:rsidRPr="00E4182B">
              <w:rPr>
                <w:rFonts w:ascii="Times New Roman" w:hAnsi="Times New Roman" w:cs="Times New Roman"/>
              </w:rPr>
              <w:t>…</w:t>
            </w:r>
            <w:r>
              <w:rPr>
                <w:rFonts w:ascii="Times New Roman" w:hAnsi="Times New Roman" w:cs="Times New Roman"/>
              </w:rPr>
              <w:tab/>
            </w:r>
          </w:p>
          <w:p w:rsidR="009D0FEF" w:rsidRPr="003A513F" w:rsidRDefault="009D0FEF" w:rsidP="00C946EA">
            <w:pPr>
              <w:tabs>
                <w:tab w:val="left" w:pos="1350"/>
              </w:tabs>
              <w:ind w:firstLine="567"/>
              <w:rPr>
                <w:rFonts w:ascii="Times New Roman" w:hAnsi="Times New Roman" w:cs="Times New Roman"/>
                <w:b/>
              </w:rPr>
            </w:pPr>
            <w:r w:rsidRPr="003A513F">
              <w:rPr>
                <w:rFonts w:ascii="Times New Roman" w:hAnsi="Times New Roman" w:cs="Times New Roman"/>
                <w:b/>
              </w:rPr>
              <w:t>норма відсутня</w:t>
            </w:r>
          </w:p>
          <w:p w:rsidR="009D0FEF" w:rsidRPr="00FC0239" w:rsidRDefault="009D0FEF" w:rsidP="00C946EA">
            <w:pPr>
              <w:ind w:firstLine="709"/>
              <w:jc w:val="both"/>
              <w:rPr>
                <w:rFonts w:ascii="Times New Roman" w:hAnsi="Times New Roman" w:cs="Times New Roman"/>
                <w:b/>
              </w:rPr>
            </w:pPr>
          </w:p>
        </w:tc>
        <w:tc>
          <w:tcPr>
            <w:tcW w:w="7374" w:type="dxa"/>
          </w:tcPr>
          <w:p w:rsidR="009D0FEF" w:rsidRDefault="009D0FEF" w:rsidP="00C946EA">
            <w:pPr>
              <w:ind w:firstLine="567"/>
              <w:rPr>
                <w:rFonts w:ascii="Times New Roman" w:hAnsi="Times New Roman" w:cs="Times New Roman"/>
                <w:b/>
              </w:rPr>
            </w:pPr>
          </w:p>
          <w:p w:rsidR="009D0FEF" w:rsidRPr="00E4182B" w:rsidRDefault="009D0FEF" w:rsidP="00C946EA">
            <w:pPr>
              <w:ind w:firstLine="567"/>
              <w:rPr>
                <w:rFonts w:ascii="Times New Roman" w:hAnsi="Times New Roman" w:cs="Times New Roman"/>
              </w:rPr>
            </w:pPr>
            <w:r w:rsidRPr="00E4182B">
              <w:rPr>
                <w:rFonts w:ascii="Times New Roman" w:hAnsi="Times New Roman" w:cs="Times New Roman"/>
                <w:b/>
              </w:rPr>
              <w:t xml:space="preserve">Стаття 2. </w:t>
            </w:r>
            <w:r w:rsidRPr="00E4182B">
              <w:rPr>
                <w:rFonts w:ascii="Times New Roman" w:hAnsi="Times New Roman" w:cs="Times New Roman"/>
              </w:rPr>
              <w:t>Визначення термінів</w:t>
            </w:r>
          </w:p>
          <w:p w:rsidR="009D0FEF" w:rsidRPr="00E4182B" w:rsidRDefault="009D0FEF" w:rsidP="00C946EA">
            <w:pPr>
              <w:ind w:firstLine="567"/>
              <w:rPr>
                <w:rFonts w:ascii="Times New Roman" w:hAnsi="Times New Roman" w:cs="Times New Roman"/>
              </w:rPr>
            </w:pPr>
            <w:r w:rsidRPr="00E4182B">
              <w:rPr>
                <w:rFonts w:ascii="Times New Roman" w:hAnsi="Times New Roman" w:cs="Times New Roman"/>
                <w:highlight w:val="white"/>
              </w:rPr>
              <w:t>1. У цьому Законі нижченаведені терміни вживаються в такому значенні:</w:t>
            </w:r>
          </w:p>
          <w:p w:rsidR="009D0FEF" w:rsidRPr="00E4182B" w:rsidRDefault="009D0FEF" w:rsidP="00C946EA">
            <w:pPr>
              <w:ind w:firstLine="567"/>
              <w:rPr>
                <w:rFonts w:ascii="Times New Roman" w:hAnsi="Times New Roman" w:cs="Times New Roman"/>
              </w:rPr>
            </w:pPr>
            <w:r w:rsidRPr="00E4182B">
              <w:rPr>
                <w:rFonts w:ascii="Times New Roman" w:hAnsi="Times New Roman" w:cs="Times New Roman"/>
              </w:rPr>
              <w:t>…</w:t>
            </w:r>
          </w:p>
          <w:p w:rsidR="009D0FEF" w:rsidRPr="00E4182B" w:rsidRDefault="009D0FEF" w:rsidP="00C946EA">
            <w:pPr>
              <w:ind w:left="141" w:right="61" w:firstLine="570"/>
              <w:jc w:val="both"/>
              <w:rPr>
                <w:rFonts w:ascii="Times New Roman" w:hAnsi="Times New Roman" w:cs="Times New Roman"/>
                <w:b/>
              </w:rPr>
            </w:pPr>
            <w:r w:rsidRPr="00E4182B">
              <w:rPr>
                <w:rFonts w:ascii="Times New Roman" w:hAnsi="Times New Roman" w:cs="Times New Roman"/>
                <w:b/>
              </w:rPr>
              <w:t xml:space="preserve">    </w:t>
            </w:r>
            <w:r w:rsidRPr="00E4182B">
              <w:rPr>
                <w:rFonts w:ascii="Times New Roman" w:hAnsi="Times New Roman" w:cs="Times New Roman"/>
                <w:b/>
                <w:highlight w:val="white"/>
              </w:rPr>
              <w:t>2</w:t>
            </w:r>
            <w:r w:rsidRPr="00E4182B">
              <w:rPr>
                <w:rFonts w:ascii="Times New Roman" w:hAnsi="Times New Roman" w:cs="Times New Roman"/>
                <w:b/>
                <w:highlight w:val="white"/>
                <w:vertAlign w:val="superscript"/>
              </w:rPr>
              <w:t>-2</w:t>
            </w:r>
            <w:r w:rsidRPr="00E4182B">
              <w:rPr>
                <w:rFonts w:ascii="Times New Roman" w:hAnsi="Times New Roman" w:cs="Times New Roman"/>
                <w:b/>
              </w:rPr>
              <w:t>) відновлення функціонування банку – система заходів, спрямованих на відновлення діяльності банку, рішення щодо неплатоспроможності/ліквідації якого скасовано в судовому порядку.</w:t>
            </w:r>
          </w:p>
          <w:p w:rsidR="009D0FEF" w:rsidRPr="000A5A2E" w:rsidRDefault="009D0FEF" w:rsidP="00C946EA">
            <w:pPr>
              <w:ind w:firstLine="709"/>
              <w:jc w:val="both"/>
              <w:rPr>
                <w:rFonts w:ascii="Times New Roman" w:hAnsi="Times New Roman" w:cs="Times New Roman"/>
              </w:rPr>
            </w:pPr>
          </w:p>
        </w:tc>
      </w:tr>
      <w:tr w:rsidR="009D0FEF" w:rsidRPr="000A5A2E" w:rsidTr="00C946EA">
        <w:tc>
          <w:tcPr>
            <w:tcW w:w="7374" w:type="dxa"/>
          </w:tcPr>
          <w:p w:rsidR="009D0FEF" w:rsidRPr="00F05F44" w:rsidRDefault="009D0FEF" w:rsidP="00C946EA">
            <w:pPr>
              <w:ind w:firstLine="709"/>
              <w:jc w:val="both"/>
              <w:rPr>
                <w:rFonts w:ascii="Times New Roman" w:hAnsi="Times New Roman" w:cs="Times New Roman"/>
              </w:rPr>
            </w:pPr>
            <w:r>
              <w:rPr>
                <w:rFonts w:ascii="Times New Roman" w:hAnsi="Times New Roman" w:cs="Times New Roman"/>
                <w:b/>
              </w:rPr>
              <w:t>Стаття відсутня</w:t>
            </w:r>
          </w:p>
        </w:tc>
        <w:tc>
          <w:tcPr>
            <w:tcW w:w="7374" w:type="dxa"/>
          </w:tcPr>
          <w:p w:rsidR="009D0FEF" w:rsidRPr="00060D7B" w:rsidRDefault="009D0FEF" w:rsidP="00C946EA">
            <w:pPr>
              <w:rPr>
                <w:rFonts w:ascii="Times New Roman" w:hAnsi="Times New Roman" w:cs="Times New Roman"/>
                <w:b/>
              </w:rPr>
            </w:pPr>
            <w:r w:rsidRPr="00060D7B">
              <w:rPr>
                <w:rFonts w:ascii="Times New Roman" w:hAnsi="Times New Roman" w:cs="Times New Roman"/>
                <w:b/>
                <w:highlight w:val="white"/>
              </w:rPr>
              <w:t>Стаття 54-1.</w:t>
            </w:r>
            <w:r w:rsidRPr="00060D7B">
              <w:rPr>
                <w:rFonts w:ascii="Times New Roman" w:hAnsi="Times New Roman" w:cs="Times New Roman"/>
                <w:b/>
              </w:rPr>
              <w:t xml:space="preserve"> </w:t>
            </w:r>
            <w:r w:rsidRPr="00060D7B">
              <w:rPr>
                <w:rFonts w:ascii="Times New Roman" w:hAnsi="Times New Roman" w:cs="Times New Roman"/>
                <w:b/>
                <w:highlight w:val="white"/>
              </w:rPr>
              <w:t>Відновлення функціонування банку</w:t>
            </w:r>
          </w:p>
          <w:p w:rsidR="009D0FEF" w:rsidRPr="00060D7B" w:rsidRDefault="009D0FEF" w:rsidP="00C946EA">
            <w:pPr>
              <w:ind w:firstLine="708"/>
              <w:jc w:val="both"/>
              <w:rPr>
                <w:rFonts w:ascii="Times New Roman" w:hAnsi="Times New Roman" w:cs="Times New Roman"/>
                <w:b/>
              </w:rPr>
            </w:pPr>
          </w:p>
          <w:p w:rsidR="009D0FEF" w:rsidRPr="00060D7B" w:rsidRDefault="009D0FEF" w:rsidP="00C946EA">
            <w:pPr>
              <w:ind w:left="141" w:right="61" w:firstLine="566"/>
              <w:jc w:val="both"/>
              <w:rPr>
                <w:rFonts w:ascii="Times New Roman" w:hAnsi="Times New Roman" w:cs="Times New Roman"/>
                <w:b/>
              </w:rPr>
            </w:pPr>
            <w:r w:rsidRPr="00060D7B">
              <w:rPr>
                <w:rFonts w:ascii="Times New Roman" w:hAnsi="Times New Roman" w:cs="Times New Roman"/>
                <w:b/>
              </w:rPr>
              <w:t xml:space="preserve">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Фонд гарантування вкладів фізичних осіб здійснює низку заходів, спрямованих на відновлення </w:t>
            </w:r>
            <w:r w:rsidRPr="00060D7B">
              <w:rPr>
                <w:rFonts w:ascii="Times New Roman" w:hAnsi="Times New Roman" w:cs="Times New Roman"/>
                <w:b/>
              </w:rPr>
              <w:lastRenderedPageBreak/>
              <w:t>функціонування такого банку, при цьому рішення Фонду гарантування вкладів фізичних осіб щодо запровадження у банку тимчасової адміністрації та/або ліквідації втрачають свою силу з дня їх прийняття.</w:t>
            </w:r>
          </w:p>
          <w:p w:rsidR="009D0FEF" w:rsidRPr="00060D7B" w:rsidRDefault="009D0FEF" w:rsidP="00C946EA">
            <w:pPr>
              <w:ind w:left="141" w:right="61"/>
              <w:jc w:val="both"/>
              <w:rPr>
                <w:rFonts w:ascii="Times New Roman" w:hAnsi="Times New Roman" w:cs="Times New Roman"/>
                <w:b/>
              </w:rPr>
            </w:pPr>
            <w:r w:rsidRPr="00060D7B">
              <w:rPr>
                <w:rFonts w:ascii="Times New Roman" w:hAnsi="Times New Roman" w:cs="Times New Roman"/>
                <w:b/>
              </w:rPr>
              <w:tab/>
              <w:t>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одночасно відновлюються повноваження органів управління банку (загальних зборів, спостережної ради, правління та органів контролю (ревізійної комісії та внутрішнього аудиту). Фонд втрачає право кредитора банку, а також не має права нараховувати початковий, регулярний та спеціальний збір з дня введення тимчасової адміністрації і до відновлення дії банківської ліцензії Національним банком України.</w:t>
            </w:r>
          </w:p>
          <w:p w:rsidR="009D0FEF" w:rsidRPr="00060D7B" w:rsidRDefault="009D0FEF" w:rsidP="00C946EA">
            <w:pPr>
              <w:ind w:left="141" w:right="61" w:firstLine="705"/>
              <w:jc w:val="both"/>
              <w:rPr>
                <w:rFonts w:ascii="Times New Roman" w:hAnsi="Times New Roman" w:cs="Times New Roman"/>
                <w:b/>
              </w:rPr>
            </w:pPr>
            <w:r w:rsidRPr="00060D7B">
              <w:rPr>
                <w:rFonts w:ascii="Times New Roman" w:hAnsi="Times New Roman" w:cs="Times New Roman"/>
                <w:b/>
              </w:rPr>
              <w:t>Протягом місячного строку 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Фонд зобов'язаний провести спільно з банком інвентаризацію його майна та документів, та здійснити передачу печаток і штампів, матеріальних та інших цінностей, а також бухгалтерську та іншу документацію банку.</w:t>
            </w:r>
          </w:p>
          <w:p w:rsidR="009D0FEF" w:rsidRPr="00060D7B" w:rsidRDefault="009D0FEF" w:rsidP="00C946EA">
            <w:pPr>
              <w:ind w:left="141" w:right="61" w:firstLine="705"/>
              <w:jc w:val="both"/>
              <w:rPr>
                <w:rFonts w:ascii="Times New Roman" w:hAnsi="Times New Roman" w:cs="Times New Roman"/>
                <w:b/>
              </w:rPr>
            </w:pPr>
            <w:r w:rsidRPr="00060D7B">
              <w:rPr>
                <w:rFonts w:ascii="Times New Roman" w:hAnsi="Times New Roman" w:cs="Times New Roman"/>
                <w:b/>
              </w:rPr>
              <w:t xml:space="preserve">Банк, який після скасування рішення Національного банку України про віднесення банку </w:t>
            </w:r>
            <w:r w:rsidRPr="00060D7B">
              <w:rPr>
                <w:rFonts w:ascii="Times New Roman" w:hAnsi="Times New Roman" w:cs="Times New Roman"/>
                <w:b/>
              </w:rPr>
              <w:lastRenderedPageBreak/>
              <w:t>до категорії неплатоспроможних та/або відкликання банківської ліцензії та ліквідацію банку припинив здійснення банківської діяльності без припинення юридичної особи проводить інвентаризацію майна та документів, та отримує печатки, штампи, матеріальні та інші цінності, а також бухгалтерську та іншу документацію банку в порядку передбаченому ч. 3 цієї статті.</w:t>
            </w:r>
          </w:p>
          <w:p w:rsidR="009D0FEF" w:rsidRPr="00060D7B" w:rsidRDefault="009D0FEF" w:rsidP="00C946EA">
            <w:pPr>
              <w:ind w:left="141" w:right="61" w:firstLine="566"/>
              <w:jc w:val="both"/>
              <w:rPr>
                <w:rFonts w:ascii="Times New Roman" w:hAnsi="Times New Roman" w:cs="Times New Roman"/>
                <w:b/>
              </w:rPr>
            </w:pPr>
            <w:r w:rsidRPr="00060D7B">
              <w:rPr>
                <w:rFonts w:ascii="Times New Roman" w:hAnsi="Times New Roman" w:cs="Times New Roman"/>
                <w:b/>
              </w:rPr>
              <w:t xml:space="preserve">Упродовж двох робочих днів після відновлення дії банківської ліцензії банку відповідно до розділу VІІ Закону України «Про банки і банківську діяльність», Фонд гарантування вкладів фізичних осіб повертає  банку Свідоцтво учасника Фонду,  інші вилучені в процесі виведення банку з ринку (за період здійснення тимчасової адміністрації та/або ліквідації) документи  відповідно до положень цього закону, </w:t>
            </w:r>
            <w:proofErr w:type="spellStart"/>
            <w:r w:rsidRPr="00060D7B">
              <w:rPr>
                <w:rFonts w:ascii="Times New Roman" w:hAnsi="Times New Roman" w:cs="Times New Roman"/>
                <w:b/>
              </w:rPr>
              <w:t>Закону</w:t>
            </w:r>
            <w:proofErr w:type="spellEnd"/>
            <w:r w:rsidRPr="00060D7B">
              <w:rPr>
                <w:rFonts w:ascii="Times New Roman" w:hAnsi="Times New Roman" w:cs="Times New Roman"/>
                <w:b/>
              </w:rPr>
              <w:t xml:space="preserve"> України «Про банки і банківську діяльність» та норм діючого законодавства.</w:t>
            </w:r>
          </w:p>
          <w:p w:rsidR="009D0FEF" w:rsidRPr="00060D7B" w:rsidRDefault="009D0FEF" w:rsidP="00C946EA">
            <w:pPr>
              <w:ind w:left="141" w:right="61" w:firstLine="705"/>
              <w:jc w:val="both"/>
              <w:rPr>
                <w:rFonts w:ascii="Times New Roman" w:hAnsi="Times New Roman" w:cs="Times New Roman"/>
                <w:b/>
              </w:rPr>
            </w:pPr>
            <w:r w:rsidRPr="00060D7B">
              <w:rPr>
                <w:rFonts w:ascii="Times New Roman" w:hAnsi="Times New Roman" w:cs="Times New Roman"/>
                <w:b/>
              </w:rPr>
              <w:t xml:space="preserve">Упродовж п’яти робочих днів 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виконавча дирекція Фонду надає доручення уповноваженому структурному підрозділу Фонду організувати повідомлення банків, Державної служби фінансового моніторингу України, Національної комісії з цінних паперів та фондового ринку, Національної комісії, що здійснює державне регулювання у сфері ринків фінансових послуг, </w:t>
            </w:r>
            <w:r w:rsidRPr="00060D7B">
              <w:rPr>
                <w:rFonts w:ascii="Times New Roman" w:hAnsi="Times New Roman" w:cs="Times New Roman"/>
                <w:b/>
              </w:rPr>
              <w:lastRenderedPageBreak/>
              <w:t>Міністерство фінансів України, Державну фіскальну службу України, Міністерство внутрішніх справ України, Державну виконавчу службу України, Генеральну прокуратуру України, Службу безпеки України, Пенсійний фонд України, спеціалізовані небанківські іпотечні фінансові установи другого рівня, про скасування здійснення Фондом тимчасової адміністрації та/або ліквідації банку.</w:t>
            </w:r>
          </w:p>
          <w:p w:rsidR="009D0FEF" w:rsidRPr="00060D7B" w:rsidRDefault="009D0FEF" w:rsidP="00C946EA">
            <w:pPr>
              <w:ind w:left="141" w:right="61" w:firstLine="566"/>
              <w:jc w:val="both"/>
              <w:rPr>
                <w:rFonts w:ascii="Times New Roman" w:hAnsi="Times New Roman" w:cs="Times New Roman"/>
                <w:b/>
              </w:rPr>
            </w:pPr>
            <w:bookmarkStart w:id="0" w:name="gjdgxs" w:colFirst="0" w:colLast="0"/>
            <w:bookmarkEnd w:id="0"/>
            <w:r w:rsidRPr="00060D7B">
              <w:rPr>
                <w:rFonts w:ascii="Times New Roman" w:hAnsi="Times New Roman" w:cs="Times New Roman"/>
                <w:b/>
              </w:rPr>
              <w:t>Фонд негайно 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розміщує інформацію про скасування Рішення щодо запровадження у банку тимчасової адміністрації та/або ліквідації на своїй офіційній сторінці в мережі Інтернет; у газетах "Урядовий кур'єр" або "Голос України".</w:t>
            </w:r>
          </w:p>
          <w:p w:rsidR="009D0FEF" w:rsidRPr="00060D7B" w:rsidRDefault="009D0FEF" w:rsidP="00C946EA">
            <w:pPr>
              <w:ind w:left="141" w:right="61" w:firstLine="566"/>
              <w:jc w:val="both"/>
              <w:rPr>
                <w:rFonts w:ascii="Times New Roman" w:hAnsi="Times New Roman" w:cs="Times New Roman"/>
                <w:b/>
              </w:rPr>
            </w:pPr>
            <w:r w:rsidRPr="00060D7B">
              <w:rPr>
                <w:rFonts w:ascii="Times New Roman" w:hAnsi="Times New Roman" w:cs="Times New Roman"/>
                <w:b/>
              </w:rPr>
              <w:t>Фонд забезпечує внесення відповідних відомостей в Єдиний державний реєстр юридичних осіб та фізичних осіб-підприємців щодо анулювання записів внесених під час тимчасової адміністрації та/або ліквідації банку.</w:t>
            </w:r>
          </w:p>
          <w:p w:rsidR="009D0FEF" w:rsidRPr="00060D7B" w:rsidRDefault="009D0FEF" w:rsidP="00C946EA">
            <w:pPr>
              <w:ind w:left="141" w:right="61" w:firstLine="566"/>
              <w:jc w:val="both"/>
              <w:rPr>
                <w:rFonts w:ascii="Times New Roman" w:hAnsi="Times New Roman" w:cs="Times New Roman"/>
                <w:b/>
              </w:rPr>
            </w:pPr>
          </w:p>
        </w:tc>
      </w:tr>
      <w:tr w:rsidR="009D0FEF" w:rsidRPr="000A5A2E" w:rsidTr="00C946EA">
        <w:tc>
          <w:tcPr>
            <w:tcW w:w="14748" w:type="dxa"/>
            <w:gridSpan w:val="2"/>
          </w:tcPr>
          <w:p w:rsidR="009D0FEF" w:rsidRDefault="009D0FEF" w:rsidP="00C946EA">
            <w:pPr>
              <w:rPr>
                <w:rFonts w:ascii="Times New Roman" w:hAnsi="Times New Roman" w:cs="Times New Roman"/>
                <w:b/>
                <w:highlight w:val="white"/>
              </w:rPr>
            </w:pPr>
          </w:p>
          <w:p w:rsidR="009D0FEF" w:rsidRDefault="009D0FEF" w:rsidP="00C946EA">
            <w:pPr>
              <w:jc w:val="center"/>
              <w:rPr>
                <w:rFonts w:ascii="Times New Roman" w:hAnsi="Times New Roman" w:cs="Times New Roman"/>
                <w:b/>
                <w:highlight w:val="white"/>
              </w:rPr>
            </w:pPr>
            <w:r>
              <w:rPr>
                <w:rFonts w:ascii="Times New Roman" w:hAnsi="Times New Roman" w:cs="Times New Roman"/>
                <w:b/>
                <w:highlight w:val="white"/>
              </w:rPr>
              <w:t>Закон України «Про банки та банківську діяльність»</w:t>
            </w:r>
          </w:p>
          <w:p w:rsidR="009D0FEF" w:rsidRPr="00060D7B" w:rsidRDefault="009D0FEF" w:rsidP="00C946EA">
            <w:pPr>
              <w:jc w:val="center"/>
              <w:rPr>
                <w:rFonts w:ascii="Times New Roman" w:hAnsi="Times New Roman" w:cs="Times New Roman"/>
                <w:b/>
                <w:highlight w:val="white"/>
              </w:rPr>
            </w:pPr>
          </w:p>
        </w:tc>
      </w:tr>
      <w:tr w:rsidR="009D0FEF" w:rsidRPr="000A5A2E" w:rsidTr="00C946EA">
        <w:tc>
          <w:tcPr>
            <w:tcW w:w="7374" w:type="dxa"/>
          </w:tcPr>
          <w:p w:rsidR="009D0FEF" w:rsidRPr="00E4182B" w:rsidRDefault="009D0FEF" w:rsidP="00C946EA">
            <w:pPr>
              <w:shd w:val="clear" w:color="auto" w:fill="FFFFFF"/>
              <w:spacing w:before="100" w:after="100"/>
              <w:ind w:firstLine="567"/>
              <w:jc w:val="center"/>
              <w:rPr>
                <w:rFonts w:ascii="Times New Roman" w:hAnsi="Times New Roman" w:cs="Times New Roman"/>
                <w:b/>
              </w:rPr>
            </w:pPr>
            <w:r w:rsidRPr="000A5A2E">
              <w:rPr>
                <w:rFonts w:ascii="Times New Roman" w:hAnsi="Times New Roman" w:cs="Times New Roman"/>
                <w:b/>
                <w:bCs/>
                <w:iCs/>
              </w:rPr>
              <w:t>Чинна редакція</w:t>
            </w:r>
          </w:p>
        </w:tc>
        <w:tc>
          <w:tcPr>
            <w:tcW w:w="7374" w:type="dxa"/>
          </w:tcPr>
          <w:p w:rsidR="009D0FEF" w:rsidRPr="00E4182B" w:rsidRDefault="009D0FEF" w:rsidP="00C946EA">
            <w:pPr>
              <w:shd w:val="clear" w:color="auto" w:fill="FFFFFF"/>
              <w:spacing w:before="100" w:after="100"/>
              <w:jc w:val="center"/>
              <w:rPr>
                <w:rFonts w:ascii="Times New Roman" w:hAnsi="Times New Roman" w:cs="Times New Roman"/>
                <w:b/>
              </w:rPr>
            </w:pPr>
            <w:r w:rsidRPr="000A5A2E">
              <w:rPr>
                <w:rFonts w:ascii="Times New Roman" w:hAnsi="Times New Roman" w:cs="Times New Roman"/>
                <w:b/>
                <w:bCs/>
                <w:iCs/>
              </w:rPr>
              <w:t>Редакція</w:t>
            </w:r>
            <w:r>
              <w:rPr>
                <w:rFonts w:ascii="Times New Roman" w:hAnsi="Times New Roman" w:cs="Times New Roman"/>
                <w:b/>
                <w:bCs/>
                <w:iCs/>
              </w:rPr>
              <w:t xml:space="preserve"> Закону</w:t>
            </w:r>
            <w:r w:rsidRPr="000A5A2E">
              <w:rPr>
                <w:rFonts w:ascii="Times New Roman" w:hAnsi="Times New Roman" w:cs="Times New Roman"/>
                <w:b/>
                <w:bCs/>
                <w:iCs/>
              </w:rPr>
              <w:t xml:space="preserve"> з урахуванням</w:t>
            </w:r>
            <w:r>
              <w:rPr>
                <w:rFonts w:ascii="Times New Roman" w:hAnsi="Times New Roman" w:cs="Times New Roman"/>
                <w:b/>
                <w:bCs/>
                <w:iCs/>
              </w:rPr>
              <w:t xml:space="preserve"> пропонованих </w:t>
            </w:r>
            <w:r w:rsidRPr="000A5A2E">
              <w:rPr>
                <w:rFonts w:ascii="Times New Roman" w:hAnsi="Times New Roman" w:cs="Times New Roman"/>
                <w:b/>
                <w:bCs/>
                <w:iCs/>
              </w:rPr>
              <w:t>змін</w:t>
            </w:r>
          </w:p>
        </w:tc>
      </w:tr>
      <w:tr w:rsidR="009D0FEF" w:rsidRPr="000A5A2E" w:rsidTr="00C946EA">
        <w:tc>
          <w:tcPr>
            <w:tcW w:w="7374" w:type="dxa"/>
          </w:tcPr>
          <w:p w:rsidR="009D0FEF" w:rsidRPr="00E4182B" w:rsidRDefault="009D0FEF" w:rsidP="00C946EA">
            <w:pPr>
              <w:shd w:val="clear" w:color="auto" w:fill="FFFFFF"/>
              <w:spacing w:before="100" w:after="100"/>
              <w:ind w:firstLine="567"/>
              <w:rPr>
                <w:rFonts w:ascii="Times New Roman" w:hAnsi="Times New Roman" w:cs="Times New Roman"/>
              </w:rPr>
            </w:pPr>
            <w:r w:rsidRPr="00E4182B">
              <w:rPr>
                <w:rFonts w:ascii="Times New Roman" w:hAnsi="Times New Roman" w:cs="Times New Roman"/>
                <w:b/>
              </w:rPr>
              <w:t xml:space="preserve">Стаття </w:t>
            </w:r>
            <w:r w:rsidRPr="00E4182B">
              <w:rPr>
                <w:rFonts w:ascii="Times New Roman" w:hAnsi="Times New Roman" w:cs="Times New Roman"/>
              </w:rPr>
              <w:t>2</w:t>
            </w:r>
            <w:r w:rsidRPr="00E4182B">
              <w:rPr>
                <w:rFonts w:ascii="Times New Roman" w:hAnsi="Times New Roman" w:cs="Times New Roman"/>
                <w:b/>
                <w:highlight w:val="white"/>
              </w:rPr>
              <w:t>. </w:t>
            </w:r>
            <w:r w:rsidRPr="00E4182B">
              <w:rPr>
                <w:rFonts w:ascii="Times New Roman" w:hAnsi="Times New Roman" w:cs="Times New Roman"/>
                <w:highlight w:val="white"/>
              </w:rPr>
              <w:t>Визначення термінів</w:t>
            </w:r>
          </w:p>
          <w:p w:rsidR="009D0FEF" w:rsidRPr="00E4182B" w:rsidRDefault="009D0FEF" w:rsidP="00C946EA">
            <w:pPr>
              <w:ind w:firstLine="708"/>
              <w:rPr>
                <w:rFonts w:ascii="Times New Roman" w:hAnsi="Times New Roman" w:cs="Times New Roman"/>
                <w:highlight w:val="white"/>
              </w:rPr>
            </w:pPr>
            <w:r w:rsidRPr="00E4182B">
              <w:rPr>
                <w:rFonts w:ascii="Times New Roman" w:hAnsi="Times New Roman" w:cs="Times New Roman"/>
                <w:highlight w:val="white"/>
              </w:rPr>
              <w:lastRenderedPageBreak/>
              <w:t>1. У цьому Законі нижченаведені терміни вживаються в такому значенні:</w:t>
            </w:r>
          </w:p>
          <w:p w:rsidR="009D0FEF" w:rsidRPr="00E4182B" w:rsidRDefault="009D0FEF" w:rsidP="00C946EA">
            <w:pPr>
              <w:rPr>
                <w:rFonts w:ascii="Times New Roman" w:hAnsi="Times New Roman" w:cs="Times New Roman"/>
                <w:highlight w:val="white"/>
              </w:rPr>
            </w:pPr>
          </w:p>
          <w:p w:rsidR="009D0FEF" w:rsidRPr="004821C4" w:rsidRDefault="009D0FEF" w:rsidP="00C946EA">
            <w:pPr>
              <w:shd w:val="clear" w:color="auto" w:fill="FFFFFF"/>
              <w:ind w:firstLine="672"/>
              <w:jc w:val="both"/>
              <w:rPr>
                <w:rFonts w:ascii="Times New Roman" w:hAnsi="Times New Roman" w:cs="Times New Roman"/>
                <w:b/>
              </w:rPr>
            </w:pPr>
            <w:r>
              <w:rPr>
                <w:rFonts w:ascii="Times New Roman" w:hAnsi="Times New Roman" w:cs="Times New Roman"/>
                <w:b/>
              </w:rPr>
              <w:t>норма відсутня</w:t>
            </w:r>
          </w:p>
          <w:p w:rsidR="009D0FEF" w:rsidRDefault="009D0FEF" w:rsidP="00C946EA">
            <w:pPr>
              <w:shd w:val="clear" w:color="auto" w:fill="FFFFFF"/>
              <w:ind w:firstLine="672"/>
              <w:jc w:val="both"/>
              <w:rPr>
                <w:b/>
              </w:rPr>
            </w:pPr>
          </w:p>
          <w:p w:rsidR="009D0FEF" w:rsidRDefault="009D0FEF" w:rsidP="00C946EA">
            <w:pPr>
              <w:shd w:val="clear" w:color="auto" w:fill="FFFFFF"/>
              <w:ind w:firstLine="672"/>
              <w:jc w:val="both"/>
              <w:rPr>
                <w:b/>
              </w:rPr>
            </w:pPr>
          </w:p>
          <w:p w:rsidR="009D0FEF" w:rsidRDefault="009D0FEF" w:rsidP="00C946EA">
            <w:pPr>
              <w:shd w:val="clear" w:color="auto" w:fill="FFFFFF"/>
              <w:ind w:firstLine="672"/>
              <w:jc w:val="both"/>
              <w:rPr>
                <w:b/>
              </w:rPr>
            </w:pPr>
          </w:p>
          <w:p w:rsidR="009D0FEF" w:rsidRDefault="009D0FEF" w:rsidP="00C946EA">
            <w:pPr>
              <w:shd w:val="clear" w:color="auto" w:fill="FFFFFF"/>
              <w:ind w:firstLine="672"/>
              <w:jc w:val="both"/>
              <w:rPr>
                <w:b/>
              </w:rPr>
            </w:pPr>
          </w:p>
          <w:p w:rsidR="009D0FEF" w:rsidRDefault="009D0FEF" w:rsidP="00C946EA">
            <w:pPr>
              <w:shd w:val="clear" w:color="auto" w:fill="FFFFFF"/>
              <w:ind w:firstLine="672"/>
              <w:jc w:val="both"/>
              <w:rPr>
                <w:b/>
              </w:rPr>
            </w:pPr>
          </w:p>
          <w:p w:rsidR="009D0FEF" w:rsidRDefault="009D0FEF" w:rsidP="00C946EA">
            <w:pPr>
              <w:shd w:val="clear" w:color="auto" w:fill="FFFFFF"/>
              <w:ind w:firstLine="672"/>
              <w:jc w:val="both"/>
              <w:rPr>
                <w:b/>
              </w:rPr>
            </w:pPr>
          </w:p>
          <w:p w:rsidR="009D0FEF" w:rsidRPr="004821C4" w:rsidRDefault="009D0FEF" w:rsidP="00C946EA">
            <w:pPr>
              <w:shd w:val="clear" w:color="auto" w:fill="FFFFFF"/>
              <w:ind w:firstLine="672"/>
              <w:jc w:val="both"/>
              <w:rPr>
                <w:rFonts w:ascii="Times New Roman" w:hAnsi="Times New Roman" w:cs="Times New Roman"/>
                <w:b/>
              </w:rPr>
            </w:pPr>
            <w:r>
              <w:rPr>
                <w:rFonts w:ascii="Times New Roman" w:hAnsi="Times New Roman" w:cs="Times New Roman"/>
                <w:b/>
              </w:rPr>
              <w:t>норма відсутня</w:t>
            </w:r>
          </w:p>
          <w:p w:rsidR="009D0FEF" w:rsidRDefault="009D0FEF" w:rsidP="00C946EA">
            <w:pPr>
              <w:shd w:val="clear" w:color="auto" w:fill="FFFFFF"/>
              <w:ind w:left="672"/>
              <w:jc w:val="both"/>
              <w:rPr>
                <w:b/>
              </w:rPr>
            </w:pPr>
          </w:p>
          <w:p w:rsidR="009D0FEF" w:rsidRDefault="009D0FEF" w:rsidP="00C946EA">
            <w:pPr>
              <w:shd w:val="clear" w:color="auto" w:fill="FFFFFF"/>
              <w:ind w:left="672"/>
              <w:jc w:val="both"/>
              <w:rPr>
                <w:b/>
              </w:rPr>
            </w:pPr>
          </w:p>
          <w:p w:rsidR="009D0FEF" w:rsidRDefault="009D0FEF" w:rsidP="00C946EA">
            <w:pPr>
              <w:shd w:val="clear" w:color="auto" w:fill="FFFFFF"/>
              <w:ind w:left="672"/>
              <w:jc w:val="both"/>
              <w:rPr>
                <w:b/>
              </w:rPr>
            </w:pPr>
          </w:p>
          <w:p w:rsidR="009D0FEF" w:rsidRDefault="009D0FEF" w:rsidP="00C946EA">
            <w:pPr>
              <w:shd w:val="clear" w:color="auto" w:fill="FFFFFF"/>
              <w:ind w:left="672"/>
              <w:jc w:val="both"/>
              <w:rPr>
                <w:b/>
              </w:rPr>
            </w:pPr>
          </w:p>
          <w:p w:rsidR="009D0FEF" w:rsidRDefault="009D0FEF" w:rsidP="00C946EA">
            <w:pPr>
              <w:shd w:val="clear" w:color="auto" w:fill="FFFFFF"/>
              <w:jc w:val="both"/>
              <w:rPr>
                <w:b/>
              </w:rPr>
            </w:pPr>
          </w:p>
          <w:p w:rsidR="009D0FEF" w:rsidRPr="004821C4" w:rsidRDefault="009D0FEF" w:rsidP="00C946EA">
            <w:pPr>
              <w:shd w:val="clear" w:color="auto" w:fill="FFFFFF"/>
              <w:ind w:firstLine="672"/>
              <w:jc w:val="both"/>
              <w:rPr>
                <w:rFonts w:ascii="Times New Roman" w:hAnsi="Times New Roman" w:cs="Times New Roman"/>
                <w:b/>
              </w:rPr>
            </w:pPr>
            <w:r>
              <w:rPr>
                <w:rFonts w:ascii="Times New Roman" w:hAnsi="Times New Roman" w:cs="Times New Roman"/>
                <w:b/>
              </w:rPr>
              <w:t>норма відсутня</w:t>
            </w:r>
          </w:p>
          <w:p w:rsidR="009D0FEF" w:rsidRPr="004F0BEE" w:rsidRDefault="009D0FEF" w:rsidP="00C946EA">
            <w:pPr>
              <w:shd w:val="clear" w:color="auto" w:fill="FFFFFF"/>
              <w:ind w:firstLine="672"/>
              <w:jc w:val="both"/>
              <w:rPr>
                <w:rFonts w:ascii="Times New Roman" w:hAnsi="Times New Roman" w:cs="Times New Roman"/>
                <w:b/>
              </w:rPr>
            </w:pPr>
          </w:p>
        </w:tc>
        <w:tc>
          <w:tcPr>
            <w:tcW w:w="7374" w:type="dxa"/>
          </w:tcPr>
          <w:p w:rsidR="009D0FEF" w:rsidRPr="00E4182B" w:rsidRDefault="009D0FEF" w:rsidP="00C946EA">
            <w:pPr>
              <w:shd w:val="clear" w:color="auto" w:fill="FFFFFF"/>
              <w:spacing w:before="100" w:after="100"/>
              <w:ind w:firstLine="567"/>
              <w:rPr>
                <w:rFonts w:ascii="Times New Roman" w:hAnsi="Times New Roman" w:cs="Times New Roman"/>
                <w:b/>
              </w:rPr>
            </w:pPr>
            <w:r w:rsidRPr="00E4182B">
              <w:rPr>
                <w:rFonts w:ascii="Times New Roman" w:hAnsi="Times New Roman" w:cs="Times New Roman"/>
                <w:b/>
              </w:rPr>
              <w:lastRenderedPageBreak/>
              <w:t>Стаття 2</w:t>
            </w:r>
            <w:r w:rsidRPr="00E4182B">
              <w:rPr>
                <w:rFonts w:ascii="Times New Roman" w:hAnsi="Times New Roman" w:cs="Times New Roman"/>
                <w:b/>
                <w:highlight w:val="white"/>
              </w:rPr>
              <w:t>. </w:t>
            </w:r>
            <w:r w:rsidRPr="003A513F">
              <w:rPr>
                <w:rFonts w:ascii="Times New Roman" w:hAnsi="Times New Roman" w:cs="Times New Roman"/>
                <w:highlight w:val="white"/>
              </w:rPr>
              <w:t>Визначення термінів</w:t>
            </w:r>
          </w:p>
          <w:p w:rsidR="009D0FEF" w:rsidRPr="00E4182B" w:rsidRDefault="009D0FEF" w:rsidP="00C946EA">
            <w:pPr>
              <w:ind w:firstLine="708"/>
              <w:rPr>
                <w:rFonts w:ascii="Times New Roman" w:hAnsi="Times New Roman" w:cs="Times New Roman"/>
                <w:highlight w:val="white"/>
              </w:rPr>
            </w:pPr>
            <w:r w:rsidRPr="00E4182B">
              <w:rPr>
                <w:rFonts w:ascii="Times New Roman" w:hAnsi="Times New Roman" w:cs="Times New Roman"/>
                <w:highlight w:val="white"/>
              </w:rPr>
              <w:lastRenderedPageBreak/>
              <w:t>1. У цьому Законі нижченаведені терміни вживаються в такому значенні:</w:t>
            </w:r>
          </w:p>
          <w:p w:rsidR="009D0FEF" w:rsidRPr="00E4182B" w:rsidRDefault="009D0FEF" w:rsidP="00C946EA">
            <w:pPr>
              <w:rPr>
                <w:rFonts w:ascii="Times New Roman" w:hAnsi="Times New Roman" w:cs="Times New Roman"/>
                <w:highlight w:val="white"/>
              </w:rPr>
            </w:pPr>
            <w:r w:rsidRPr="00E4182B">
              <w:rPr>
                <w:rFonts w:ascii="Times New Roman" w:hAnsi="Times New Roman" w:cs="Times New Roman"/>
                <w:highlight w:val="white"/>
              </w:rPr>
              <w:t>…..</w:t>
            </w:r>
          </w:p>
          <w:p w:rsidR="009D0FEF" w:rsidRPr="00E4182B" w:rsidRDefault="009D0FEF" w:rsidP="00C946EA">
            <w:pPr>
              <w:ind w:left="141" w:right="61" w:firstLine="495"/>
              <w:jc w:val="both"/>
              <w:rPr>
                <w:rFonts w:ascii="Times New Roman" w:hAnsi="Times New Roman" w:cs="Times New Roman"/>
                <w:highlight w:val="white"/>
              </w:rPr>
            </w:pPr>
            <w:r w:rsidRPr="00E4182B">
              <w:rPr>
                <w:rFonts w:ascii="Times New Roman" w:hAnsi="Times New Roman" w:cs="Times New Roman"/>
                <w:b/>
                <w:highlight w:val="white"/>
              </w:rPr>
              <w:t>відновлення функціонування банку, рішення щодо неплатоспроможності/ліквідації якого скасовано в судовому порядку – процедура відновлення функціонування банківської установи</w:t>
            </w:r>
            <w:r w:rsidRPr="00E4182B">
              <w:rPr>
                <w:rFonts w:ascii="Times New Roman" w:hAnsi="Times New Roman" w:cs="Times New Roman"/>
                <w:highlight w:val="white"/>
              </w:rPr>
              <w:t xml:space="preserve"> </w:t>
            </w:r>
            <w:r w:rsidRPr="00E4182B">
              <w:rPr>
                <w:rFonts w:ascii="Times New Roman" w:hAnsi="Times New Roman" w:cs="Times New Roman"/>
                <w:b/>
              </w:rPr>
              <w:t>рішення щодо неплатоспроможності/ліквідації якого скасовано в судовому порядку, відновлення дії банківської ліцензії</w:t>
            </w:r>
            <w:r w:rsidRPr="00E4182B">
              <w:rPr>
                <w:rFonts w:ascii="Times New Roman" w:hAnsi="Times New Roman" w:cs="Times New Roman"/>
                <w:highlight w:val="white"/>
              </w:rPr>
              <w:t>.</w:t>
            </w:r>
          </w:p>
          <w:p w:rsidR="009D0FEF" w:rsidRPr="00E4182B" w:rsidRDefault="009D0FEF" w:rsidP="00C946EA">
            <w:pPr>
              <w:ind w:left="141" w:right="61" w:firstLine="495"/>
              <w:jc w:val="both"/>
              <w:rPr>
                <w:rFonts w:ascii="Times New Roman" w:hAnsi="Times New Roman" w:cs="Times New Roman"/>
                <w:highlight w:val="white"/>
              </w:rPr>
            </w:pPr>
            <w:r w:rsidRPr="00E4182B">
              <w:rPr>
                <w:rFonts w:ascii="Times New Roman" w:hAnsi="Times New Roman" w:cs="Times New Roman"/>
                <w:highlight w:val="white"/>
              </w:rPr>
              <w:t>…..</w:t>
            </w:r>
          </w:p>
          <w:p w:rsidR="009D0FEF" w:rsidRPr="00E4182B" w:rsidRDefault="009D0FEF" w:rsidP="00C946EA">
            <w:pPr>
              <w:ind w:left="141" w:right="61" w:firstLine="495"/>
              <w:jc w:val="both"/>
              <w:rPr>
                <w:rFonts w:ascii="Times New Roman" w:hAnsi="Times New Roman" w:cs="Times New Roman"/>
                <w:b/>
                <w:highlight w:val="white"/>
              </w:rPr>
            </w:pPr>
            <w:r w:rsidRPr="00E4182B">
              <w:rPr>
                <w:rFonts w:ascii="Times New Roman" w:hAnsi="Times New Roman" w:cs="Times New Roman"/>
                <w:b/>
                <w:highlight w:val="white"/>
              </w:rPr>
              <w:t>план відновлення функціонування банку – система заходів, спрямованих на повернення банку на ринок,  рішення щодо неплатоспроможності/ліквідації якого скасовано в судовому порядку, умови якого визначаються Національним банком України.</w:t>
            </w:r>
          </w:p>
          <w:p w:rsidR="009D0FEF" w:rsidRPr="00E4182B" w:rsidRDefault="009D0FEF" w:rsidP="00C946EA">
            <w:pPr>
              <w:ind w:left="141" w:right="61" w:firstLine="495"/>
              <w:jc w:val="both"/>
              <w:rPr>
                <w:rFonts w:ascii="Times New Roman" w:hAnsi="Times New Roman" w:cs="Times New Roman"/>
                <w:highlight w:val="white"/>
              </w:rPr>
            </w:pPr>
            <w:r w:rsidRPr="00E4182B">
              <w:rPr>
                <w:rFonts w:ascii="Times New Roman" w:hAnsi="Times New Roman" w:cs="Times New Roman"/>
                <w:highlight w:val="white"/>
              </w:rPr>
              <w:t>…..</w:t>
            </w:r>
          </w:p>
          <w:p w:rsidR="009D0FEF" w:rsidRPr="00E4182B" w:rsidRDefault="009D0FEF" w:rsidP="00C946EA">
            <w:pPr>
              <w:ind w:left="141" w:right="61" w:firstLine="495"/>
              <w:jc w:val="both"/>
              <w:rPr>
                <w:rFonts w:ascii="Times New Roman" w:hAnsi="Times New Roman" w:cs="Times New Roman"/>
                <w:b/>
                <w:highlight w:val="white"/>
              </w:rPr>
            </w:pPr>
            <w:r w:rsidRPr="00E4182B">
              <w:rPr>
                <w:rFonts w:ascii="Times New Roman" w:hAnsi="Times New Roman" w:cs="Times New Roman"/>
                <w:b/>
                <w:highlight w:val="white"/>
              </w:rPr>
              <w:t xml:space="preserve">припинення банківської діяльності – система заходів, спрямованих на проведення державної </w:t>
            </w:r>
            <w:r w:rsidRPr="001E271A">
              <w:rPr>
                <w:rFonts w:ascii="Times New Roman" w:hAnsi="Times New Roman" w:cs="Times New Roman"/>
                <w:b/>
              </w:rPr>
              <w:t>реєстрації</w:t>
            </w:r>
            <w:r w:rsidRPr="00E4182B">
              <w:rPr>
                <w:rFonts w:ascii="Times New Roman" w:hAnsi="Times New Roman" w:cs="Times New Roman"/>
                <w:b/>
                <w:highlight w:val="white"/>
              </w:rPr>
              <w:t xml:space="preserve"> внесення змін до статуту, щодо виключення з видів діяльності юридичної особи, рішення щодо неплатоспроможності/ліквідації якого скасовано в судовому порядку, банківської діяльності без припинення юридичної особи з подальшим виключенням відомостей про банк з Державного реєстру банків.</w:t>
            </w:r>
          </w:p>
        </w:tc>
      </w:tr>
      <w:tr w:rsidR="009D0FEF" w:rsidRPr="000A5A2E" w:rsidTr="00C946EA">
        <w:tc>
          <w:tcPr>
            <w:tcW w:w="7374" w:type="dxa"/>
          </w:tcPr>
          <w:p w:rsidR="009D0FEF" w:rsidRDefault="009D0FEF" w:rsidP="00C946EA">
            <w:pPr>
              <w:shd w:val="clear" w:color="auto" w:fill="FFFFFF"/>
              <w:ind w:firstLine="814"/>
              <w:rPr>
                <w:rFonts w:ascii="Times New Roman" w:hAnsi="Times New Roman" w:cs="Times New Roman"/>
                <w:highlight w:val="white"/>
              </w:rPr>
            </w:pPr>
            <w:r w:rsidRPr="004821C4">
              <w:rPr>
                <w:rFonts w:ascii="Times New Roman" w:hAnsi="Times New Roman" w:cs="Times New Roman"/>
                <w:b/>
                <w:highlight w:val="white"/>
              </w:rPr>
              <w:lastRenderedPageBreak/>
              <w:t>Стаття 19.</w:t>
            </w:r>
            <w:r w:rsidRPr="004821C4">
              <w:rPr>
                <w:rFonts w:ascii="Times New Roman" w:hAnsi="Times New Roman" w:cs="Times New Roman"/>
                <w:highlight w:val="white"/>
              </w:rPr>
              <w:t xml:space="preserve"> Банківська ліцензія</w:t>
            </w:r>
          </w:p>
          <w:p w:rsidR="009D0FEF" w:rsidRDefault="009D0FEF" w:rsidP="00C946EA">
            <w:pPr>
              <w:shd w:val="clear" w:color="auto" w:fill="FFFFFF"/>
              <w:ind w:firstLine="814"/>
              <w:rPr>
                <w:highlight w:val="white"/>
              </w:rPr>
            </w:pPr>
          </w:p>
          <w:p w:rsidR="009D0FEF" w:rsidRDefault="009D0FEF" w:rsidP="00C946EA">
            <w:pPr>
              <w:pStyle w:val="rvps2"/>
              <w:shd w:val="clear" w:color="auto" w:fill="FFFFFF"/>
              <w:spacing w:before="0" w:beforeAutospacing="0" w:after="150" w:afterAutospacing="0"/>
              <w:ind w:firstLine="814"/>
              <w:rPr>
                <w:sz w:val="28"/>
                <w:szCs w:val="28"/>
                <w:highlight w:val="white"/>
              </w:rPr>
            </w:pPr>
            <w:r>
              <w:rPr>
                <w:sz w:val="28"/>
                <w:szCs w:val="28"/>
                <w:highlight w:val="white"/>
              </w:rPr>
              <w:t>...</w:t>
            </w:r>
          </w:p>
          <w:p w:rsidR="009D0FEF" w:rsidRDefault="009D0FEF" w:rsidP="00C946EA">
            <w:pPr>
              <w:pStyle w:val="rvps2"/>
              <w:shd w:val="clear" w:color="auto" w:fill="FFFFFF"/>
              <w:spacing w:before="0" w:beforeAutospacing="0" w:after="150" w:afterAutospacing="0"/>
              <w:ind w:firstLine="814"/>
              <w:rPr>
                <w:sz w:val="28"/>
                <w:szCs w:val="28"/>
                <w:highlight w:val="white"/>
              </w:rPr>
            </w:pPr>
            <w:r>
              <w:rPr>
                <w:sz w:val="28"/>
                <w:szCs w:val="28"/>
                <w:highlight w:val="white"/>
              </w:rPr>
              <w:t xml:space="preserve">Керівники банку та особи, які мають істотну участь </w:t>
            </w:r>
            <w:r>
              <w:rPr>
                <w:sz w:val="28"/>
                <w:szCs w:val="28"/>
                <w:highlight w:val="white"/>
              </w:rPr>
              <w:lastRenderedPageBreak/>
              <w:t>у банку, зобов'язані протягом усього часу, упродовж якого вони зберігають свій статус або мають істотну участь у банку, відповідати вимогам, встановленим цим Законом.</w:t>
            </w:r>
          </w:p>
          <w:p w:rsidR="009D0FEF" w:rsidRDefault="009D0FEF" w:rsidP="00C946EA">
            <w:pPr>
              <w:pStyle w:val="rvps2"/>
              <w:shd w:val="clear" w:color="auto" w:fill="FFFFFF"/>
              <w:spacing w:before="0" w:beforeAutospacing="0" w:after="150" w:afterAutospacing="0"/>
              <w:ind w:firstLine="814"/>
              <w:rPr>
                <w:b/>
                <w:sz w:val="28"/>
                <w:szCs w:val="28"/>
                <w:highlight w:val="white"/>
              </w:rPr>
            </w:pPr>
            <w:r>
              <w:rPr>
                <w:b/>
                <w:sz w:val="28"/>
                <w:szCs w:val="28"/>
                <w:highlight w:val="white"/>
              </w:rPr>
              <w:t>норма відсутня</w:t>
            </w:r>
          </w:p>
          <w:p w:rsidR="009D0FEF" w:rsidRPr="00E4182B" w:rsidRDefault="009D0FEF" w:rsidP="00C946EA">
            <w:pPr>
              <w:shd w:val="clear" w:color="auto" w:fill="FFFFFF"/>
              <w:spacing w:before="100" w:after="100"/>
              <w:ind w:firstLine="567"/>
              <w:rPr>
                <w:rFonts w:ascii="Times New Roman" w:hAnsi="Times New Roman" w:cs="Times New Roman"/>
                <w:b/>
              </w:rPr>
            </w:pPr>
          </w:p>
        </w:tc>
        <w:tc>
          <w:tcPr>
            <w:tcW w:w="7374" w:type="dxa"/>
          </w:tcPr>
          <w:p w:rsidR="009D0FEF" w:rsidRDefault="009D0FEF" w:rsidP="00C946EA">
            <w:pPr>
              <w:shd w:val="clear" w:color="auto" w:fill="FFFFFF"/>
              <w:ind w:firstLine="814"/>
              <w:rPr>
                <w:rFonts w:ascii="Times New Roman" w:hAnsi="Times New Roman" w:cs="Times New Roman"/>
                <w:highlight w:val="white"/>
              </w:rPr>
            </w:pPr>
            <w:r w:rsidRPr="004821C4">
              <w:rPr>
                <w:rFonts w:ascii="Times New Roman" w:hAnsi="Times New Roman" w:cs="Times New Roman"/>
                <w:b/>
                <w:highlight w:val="white"/>
              </w:rPr>
              <w:lastRenderedPageBreak/>
              <w:t>Стаття 19.</w:t>
            </w:r>
            <w:r w:rsidRPr="004821C4">
              <w:rPr>
                <w:rFonts w:ascii="Times New Roman" w:hAnsi="Times New Roman" w:cs="Times New Roman"/>
                <w:highlight w:val="white"/>
              </w:rPr>
              <w:t xml:space="preserve"> Банківська ліцензія</w:t>
            </w:r>
          </w:p>
          <w:p w:rsidR="009D0FEF" w:rsidRDefault="009D0FEF" w:rsidP="00C946EA">
            <w:pPr>
              <w:shd w:val="clear" w:color="auto" w:fill="FFFFFF"/>
              <w:ind w:left="-224" w:firstLine="814"/>
              <w:rPr>
                <w:highlight w:val="white"/>
              </w:rPr>
            </w:pPr>
          </w:p>
          <w:p w:rsidR="009D0FEF" w:rsidRDefault="009D0FEF" w:rsidP="00C946EA">
            <w:pPr>
              <w:pStyle w:val="rvps2"/>
              <w:shd w:val="clear" w:color="auto" w:fill="FFFFFF"/>
              <w:spacing w:before="0" w:beforeAutospacing="0" w:after="150" w:afterAutospacing="0"/>
              <w:ind w:firstLine="814"/>
              <w:rPr>
                <w:sz w:val="28"/>
                <w:szCs w:val="28"/>
                <w:highlight w:val="white"/>
              </w:rPr>
            </w:pPr>
            <w:r>
              <w:rPr>
                <w:sz w:val="28"/>
                <w:szCs w:val="28"/>
                <w:highlight w:val="white"/>
              </w:rPr>
              <w:t>…</w:t>
            </w:r>
          </w:p>
          <w:p w:rsidR="009D0FEF" w:rsidRDefault="009D0FEF" w:rsidP="00C946EA">
            <w:pPr>
              <w:pStyle w:val="rvps2"/>
              <w:shd w:val="clear" w:color="auto" w:fill="FFFFFF"/>
              <w:spacing w:before="0" w:beforeAutospacing="0" w:after="150" w:afterAutospacing="0"/>
              <w:ind w:firstLine="814"/>
              <w:rPr>
                <w:sz w:val="28"/>
                <w:szCs w:val="28"/>
                <w:highlight w:val="white"/>
              </w:rPr>
            </w:pPr>
            <w:r>
              <w:rPr>
                <w:sz w:val="28"/>
                <w:szCs w:val="28"/>
                <w:highlight w:val="white"/>
              </w:rPr>
              <w:t xml:space="preserve">Керівники банку та особи, які мають істотну участь </w:t>
            </w:r>
            <w:r>
              <w:rPr>
                <w:sz w:val="28"/>
                <w:szCs w:val="28"/>
                <w:highlight w:val="white"/>
              </w:rPr>
              <w:lastRenderedPageBreak/>
              <w:t>у банку, зобов'язані протягом усього часу, упродовж якого вони зберігають свій статус або мають істотну участь у банку, відповідати вимогам, встановленим цим Законом.</w:t>
            </w:r>
          </w:p>
          <w:p w:rsidR="009D0FEF" w:rsidRDefault="009D0FEF" w:rsidP="00C946EA">
            <w:pPr>
              <w:pStyle w:val="rvps2"/>
              <w:shd w:val="clear" w:color="auto" w:fill="FFFFFF"/>
              <w:spacing w:before="0" w:beforeAutospacing="0" w:after="150" w:afterAutospacing="0"/>
              <w:ind w:firstLine="814"/>
              <w:rPr>
                <w:b/>
                <w:sz w:val="28"/>
                <w:szCs w:val="28"/>
                <w:highlight w:val="white"/>
              </w:rPr>
            </w:pPr>
            <w:r>
              <w:rPr>
                <w:b/>
                <w:sz w:val="28"/>
                <w:szCs w:val="28"/>
              </w:rPr>
              <w:t xml:space="preserve">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Національний банк України зупиняє дію банківської ліцензії на строк </w:t>
            </w:r>
            <w:r>
              <w:rPr>
                <w:b/>
                <w:sz w:val="28"/>
                <w:szCs w:val="28"/>
                <w:highlight w:val="white"/>
              </w:rPr>
              <w:t>дії плану відновлення функціонування банку</w:t>
            </w:r>
            <w:r>
              <w:rPr>
                <w:b/>
                <w:sz w:val="28"/>
                <w:szCs w:val="28"/>
              </w:rPr>
              <w:t>.</w:t>
            </w:r>
          </w:p>
          <w:p w:rsidR="009D0FEF" w:rsidRPr="00E4182B" w:rsidRDefault="009D0FEF" w:rsidP="00C946EA">
            <w:pPr>
              <w:shd w:val="clear" w:color="auto" w:fill="FFFFFF"/>
              <w:spacing w:before="100" w:after="100"/>
              <w:ind w:firstLine="567"/>
              <w:rPr>
                <w:rFonts w:ascii="Times New Roman" w:hAnsi="Times New Roman" w:cs="Times New Roman"/>
                <w:b/>
              </w:rPr>
            </w:pPr>
          </w:p>
        </w:tc>
      </w:tr>
      <w:tr w:rsidR="009D0FEF" w:rsidRPr="000A5A2E" w:rsidTr="00C946EA">
        <w:tc>
          <w:tcPr>
            <w:tcW w:w="7374" w:type="dxa"/>
          </w:tcPr>
          <w:p w:rsidR="009D0FEF" w:rsidRDefault="009D0FEF" w:rsidP="00C946EA">
            <w:pPr>
              <w:ind w:firstLine="708"/>
              <w:rPr>
                <w:rFonts w:ascii="Times New Roman" w:hAnsi="Times New Roman" w:cs="Times New Roman"/>
                <w:highlight w:val="white"/>
              </w:rPr>
            </w:pPr>
            <w:r w:rsidRPr="004821C4">
              <w:rPr>
                <w:rFonts w:ascii="Times New Roman" w:hAnsi="Times New Roman" w:cs="Times New Roman"/>
                <w:b/>
                <w:highlight w:val="white"/>
              </w:rPr>
              <w:lastRenderedPageBreak/>
              <w:t>Стаття 73.</w:t>
            </w:r>
            <w:r w:rsidRPr="004821C4">
              <w:rPr>
                <w:rFonts w:ascii="Times New Roman" w:hAnsi="Times New Roman" w:cs="Times New Roman"/>
                <w:highlight w:val="white"/>
              </w:rPr>
              <w:t xml:space="preserve"> Заходи впливу</w:t>
            </w:r>
          </w:p>
          <w:p w:rsidR="009D0FEF" w:rsidRPr="004821C4" w:rsidRDefault="009D0FEF" w:rsidP="00C946EA">
            <w:pPr>
              <w:ind w:firstLine="708"/>
              <w:rPr>
                <w:rFonts w:ascii="Times New Roman" w:hAnsi="Times New Roman" w:cs="Times New Roman"/>
                <w:highlight w:val="white"/>
              </w:rPr>
            </w:pPr>
            <w:r w:rsidRPr="004821C4">
              <w:rPr>
                <w:rFonts w:ascii="Times New Roman" w:hAnsi="Times New Roman" w:cs="Times New Roman"/>
                <w:highlight w:val="white"/>
              </w:rPr>
              <w:t>…</w:t>
            </w:r>
          </w:p>
          <w:p w:rsidR="009D0FEF" w:rsidRPr="004821C4" w:rsidRDefault="009D0FEF" w:rsidP="00C946EA">
            <w:pPr>
              <w:ind w:firstLine="708"/>
              <w:rPr>
                <w:rFonts w:ascii="Times New Roman" w:hAnsi="Times New Roman" w:cs="Times New Roman"/>
                <w:highlight w:val="white"/>
              </w:rPr>
            </w:pPr>
            <w:r w:rsidRPr="004821C4">
              <w:rPr>
                <w:rFonts w:ascii="Times New Roman" w:hAnsi="Times New Roman" w:cs="Times New Roman"/>
                <w:highlight w:val="white"/>
              </w:rPr>
              <w:t>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здійснюють нагляд за такими особами, щодо вжиття до цих осіб адекватних заходів впливу.</w:t>
            </w:r>
          </w:p>
          <w:p w:rsidR="009D0FEF" w:rsidRDefault="009D0FEF" w:rsidP="00C946EA">
            <w:pPr>
              <w:shd w:val="clear" w:color="auto" w:fill="FFFFFF"/>
              <w:ind w:firstLine="814"/>
              <w:rPr>
                <w:rFonts w:ascii="Times New Roman" w:hAnsi="Times New Roman" w:cs="Times New Roman"/>
                <w:highlight w:val="white"/>
              </w:rPr>
            </w:pPr>
          </w:p>
          <w:p w:rsidR="009D0FEF" w:rsidRPr="004821C4" w:rsidRDefault="009D0FEF" w:rsidP="00C946EA">
            <w:pPr>
              <w:shd w:val="clear" w:color="auto" w:fill="FFFFFF"/>
              <w:ind w:firstLine="814"/>
              <w:rPr>
                <w:rFonts w:ascii="Times New Roman" w:hAnsi="Times New Roman" w:cs="Times New Roman"/>
                <w:b/>
                <w:highlight w:val="white"/>
              </w:rPr>
            </w:pPr>
            <w:r>
              <w:rPr>
                <w:rFonts w:ascii="Times New Roman" w:hAnsi="Times New Roman" w:cs="Times New Roman"/>
                <w:b/>
                <w:highlight w:val="white"/>
              </w:rPr>
              <w:t>норма відсутня</w:t>
            </w:r>
          </w:p>
        </w:tc>
        <w:tc>
          <w:tcPr>
            <w:tcW w:w="7374" w:type="dxa"/>
          </w:tcPr>
          <w:p w:rsidR="009D0FEF" w:rsidRPr="004821C4" w:rsidRDefault="009D0FEF" w:rsidP="00C946EA">
            <w:pPr>
              <w:ind w:left="141" w:right="61"/>
              <w:rPr>
                <w:rFonts w:ascii="Times New Roman" w:hAnsi="Times New Roman" w:cs="Times New Roman"/>
                <w:highlight w:val="white"/>
              </w:rPr>
            </w:pPr>
            <w:r w:rsidRPr="004821C4">
              <w:rPr>
                <w:rFonts w:ascii="Times New Roman" w:hAnsi="Times New Roman" w:cs="Times New Roman"/>
                <w:b/>
                <w:highlight w:val="white"/>
              </w:rPr>
              <w:t>Стаття 73.</w:t>
            </w:r>
            <w:r w:rsidRPr="004821C4">
              <w:rPr>
                <w:rFonts w:ascii="Times New Roman" w:hAnsi="Times New Roman" w:cs="Times New Roman"/>
                <w:highlight w:val="white"/>
              </w:rPr>
              <w:t xml:space="preserve"> Заходи впливу</w:t>
            </w:r>
          </w:p>
          <w:p w:rsidR="009D0FEF" w:rsidRPr="004821C4" w:rsidRDefault="009D0FEF" w:rsidP="00C946EA">
            <w:pPr>
              <w:ind w:left="141" w:right="61"/>
              <w:rPr>
                <w:rFonts w:ascii="Times New Roman" w:hAnsi="Times New Roman" w:cs="Times New Roman"/>
                <w:highlight w:val="white"/>
              </w:rPr>
            </w:pPr>
            <w:r w:rsidRPr="004821C4">
              <w:rPr>
                <w:rFonts w:ascii="Times New Roman" w:hAnsi="Times New Roman" w:cs="Times New Roman"/>
                <w:highlight w:val="white"/>
              </w:rPr>
              <w:t>…</w:t>
            </w:r>
          </w:p>
          <w:p w:rsidR="009D0FEF" w:rsidRPr="004821C4" w:rsidRDefault="009D0FEF" w:rsidP="00C946EA">
            <w:pPr>
              <w:ind w:left="141" w:right="61"/>
              <w:rPr>
                <w:rFonts w:ascii="Times New Roman" w:hAnsi="Times New Roman" w:cs="Times New Roman"/>
                <w:highlight w:val="white"/>
              </w:rPr>
            </w:pPr>
            <w:r w:rsidRPr="004821C4">
              <w:rPr>
                <w:rFonts w:ascii="Times New Roman" w:hAnsi="Times New Roman" w:cs="Times New Roman"/>
                <w:highlight w:val="white"/>
              </w:rPr>
              <w:t>Національний банк України в разі порушення небанківськими фінансовими установами, що входять до складу банківської групи, вимог цього Закону, нормативно-правових актів Національного банку України має право звернутися до державних органів, що здійснюють нагляд за такими особами, щодо вжиття до цих осіб адекватних заходів впливу.</w:t>
            </w:r>
          </w:p>
          <w:p w:rsidR="009D0FEF" w:rsidRPr="004821C4" w:rsidRDefault="009D0FEF" w:rsidP="00C946EA">
            <w:pPr>
              <w:ind w:right="61"/>
              <w:rPr>
                <w:rFonts w:ascii="Times New Roman" w:hAnsi="Times New Roman" w:cs="Times New Roman"/>
                <w:highlight w:val="white"/>
              </w:rPr>
            </w:pP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Під час дії плану відновлення функціонування банку заходи впливу передбачені частиною першою цієї статті не застосовуються.</w:t>
            </w:r>
          </w:p>
          <w:p w:rsidR="009D0FEF" w:rsidRPr="004821C4" w:rsidRDefault="009D0FEF" w:rsidP="00C946EA">
            <w:pPr>
              <w:shd w:val="clear" w:color="auto" w:fill="FFFFFF"/>
              <w:ind w:firstLine="814"/>
              <w:rPr>
                <w:rFonts w:ascii="Times New Roman" w:hAnsi="Times New Roman" w:cs="Times New Roman"/>
                <w:highlight w:val="white"/>
              </w:rPr>
            </w:pPr>
          </w:p>
        </w:tc>
      </w:tr>
      <w:tr w:rsidR="009D0FEF" w:rsidRPr="000A5A2E" w:rsidTr="00C946EA">
        <w:tc>
          <w:tcPr>
            <w:tcW w:w="7374" w:type="dxa"/>
          </w:tcPr>
          <w:p w:rsidR="009D0FEF" w:rsidRDefault="009D0FEF" w:rsidP="00C946EA">
            <w:pPr>
              <w:ind w:firstLine="708"/>
              <w:rPr>
                <w:rFonts w:ascii="Times New Roman" w:hAnsi="Times New Roman" w:cs="Times New Roman"/>
                <w:b/>
                <w:highlight w:val="white"/>
              </w:rPr>
            </w:pPr>
          </w:p>
          <w:p w:rsidR="009D0FEF" w:rsidRPr="004821C4" w:rsidRDefault="009D0FEF" w:rsidP="00C946EA">
            <w:pPr>
              <w:ind w:firstLine="708"/>
              <w:rPr>
                <w:rFonts w:ascii="Times New Roman" w:hAnsi="Times New Roman" w:cs="Times New Roman"/>
                <w:b/>
                <w:highlight w:val="white"/>
              </w:rPr>
            </w:pPr>
            <w:r>
              <w:rPr>
                <w:rFonts w:ascii="Times New Roman" w:hAnsi="Times New Roman" w:cs="Times New Roman"/>
                <w:b/>
                <w:highlight w:val="white"/>
              </w:rPr>
              <w:t>Розділ відсутній</w:t>
            </w:r>
          </w:p>
        </w:tc>
        <w:tc>
          <w:tcPr>
            <w:tcW w:w="7374" w:type="dxa"/>
          </w:tcPr>
          <w:p w:rsidR="009D0FEF" w:rsidRDefault="009D0FEF" w:rsidP="00C946EA">
            <w:pPr>
              <w:ind w:firstLine="708"/>
              <w:jc w:val="center"/>
              <w:rPr>
                <w:rFonts w:ascii="Times New Roman" w:hAnsi="Times New Roman" w:cs="Times New Roman"/>
                <w:b/>
                <w:highlight w:val="white"/>
              </w:rPr>
            </w:pPr>
          </w:p>
          <w:p w:rsidR="009D0FEF" w:rsidRPr="004821C4" w:rsidRDefault="009D0FEF" w:rsidP="00C946EA">
            <w:pPr>
              <w:ind w:firstLine="708"/>
              <w:jc w:val="center"/>
              <w:rPr>
                <w:rFonts w:ascii="Times New Roman" w:hAnsi="Times New Roman" w:cs="Times New Roman"/>
                <w:b/>
                <w:highlight w:val="white"/>
              </w:rPr>
            </w:pPr>
            <w:r w:rsidRPr="004821C4">
              <w:rPr>
                <w:rFonts w:ascii="Times New Roman" w:hAnsi="Times New Roman" w:cs="Times New Roman"/>
                <w:b/>
                <w:highlight w:val="white"/>
              </w:rPr>
              <w:t>Розділ VІІ</w:t>
            </w:r>
          </w:p>
          <w:p w:rsidR="009D0FEF" w:rsidRPr="004821C4" w:rsidRDefault="009D0FEF" w:rsidP="00C946EA">
            <w:pPr>
              <w:ind w:firstLine="708"/>
              <w:jc w:val="center"/>
              <w:rPr>
                <w:rFonts w:ascii="Times New Roman" w:hAnsi="Times New Roman" w:cs="Times New Roman"/>
                <w:b/>
                <w:highlight w:val="white"/>
              </w:rPr>
            </w:pPr>
            <w:r w:rsidRPr="004821C4">
              <w:rPr>
                <w:rFonts w:ascii="Times New Roman" w:hAnsi="Times New Roman" w:cs="Times New Roman"/>
                <w:b/>
                <w:highlight w:val="white"/>
              </w:rPr>
              <w:t>ВІДНОВЛЕННЯ ФУНКЦІОНУВАННЯ БАНКІВСЬКОЇ УСТАНОВИ</w:t>
            </w:r>
          </w:p>
          <w:p w:rsidR="009D0FEF" w:rsidRPr="004821C4" w:rsidRDefault="009D0FEF" w:rsidP="00C946EA">
            <w:pPr>
              <w:ind w:firstLine="708"/>
              <w:jc w:val="both"/>
              <w:rPr>
                <w:rFonts w:ascii="Times New Roman" w:hAnsi="Times New Roman" w:cs="Times New Roman"/>
                <w:b/>
                <w:highlight w:val="white"/>
              </w:rPr>
            </w:pP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Стаття 80. Підстави відновлення функціонування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Національний банк України зобов’язаний здійснити низку заходів, спрямованих на відновлення функціонування такого банку, за результатами яких буде здійснено відновлення діяльності банку, шляхом відновлення дії банківської ліцензії.</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Виконання банком плану відновлення функціонування банку є підставою відновлення його функціонування.</w:t>
            </w:r>
          </w:p>
          <w:p w:rsidR="009D0FEF" w:rsidRPr="004821C4" w:rsidRDefault="009D0FEF" w:rsidP="00C946EA">
            <w:pPr>
              <w:ind w:left="141" w:right="61" w:firstLine="708"/>
              <w:jc w:val="both"/>
              <w:rPr>
                <w:rFonts w:ascii="Times New Roman" w:hAnsi="Times New Roman" w:cs="Times New Roman"/>
                <w:b/>
                <w:highlight w:val="white"/>
              </w:rPr>
            </w:pP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     </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Стаття 81. Загальні принципи відновлення функціонування банку </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Національний банк України упродовж п’яти робочих днів з моменту виконання банком плану відновлення функціонування банку, відновлює дію банківської ліцензії та генеральну ліцензію на здійснення валютних операцій, поновлює банківський нагляд та призначає куратора на строк виконання плану відновлення функціонування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Повернення дозволів, свідоцтв, ліцензій, інших вилучених в процесі виведення банку з ринку (за період здійснення тимчасової адміністрації та/або ліквідації) документів, відбувається відповідно до </w:t>
            </w:r>
            <w:r w:rsidRPr="004821C4">
              <w:rPr>
                <w:rFonts w:ascii="Times New Roman" w:hAnsi="Times New Roman" w:cs="Times New Roman"/>
                <w:b/>
                <w:highlight w:val="white"/>
              </w:rPr>
              <w:lastRenderedPageBreak/>
              <w:t xml:space="preserve">положень цього закону, </w:t>
            </w:r>
            <w:proofErr w:type="spellStart"/>
            <w:r w:rsidRPr="004821C4">
              <w:rPr>
                <w:rFonts w:ascii="Times New Roman" w:hAnsi="Times New Roman" w:cs="Times New Roman"/>
                <w:b/>
                <w:highlight w:val="white"/>
              </w:rPr>
              <w:t>Закону</w:t>
            </w:r>
            <w:proofErr w:type="spellEnd"/>
            <w:r w:rsidRPr="004821C4">
              <w:rPr>
                <w:rFonts w:ascii="Times New Roman" w:hAnsi="Times New Roman" w:cs="Times New Roman"/>
                <w:b/>
                <w:highlight w:val="white"/>
              </w:rPr>
              <w:t xml:space="preserve"> України «Про систему гарантування вкладів фізичних осіб» та норм діючого законодавства.</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Повернення Банку печаток і штампів, матеріальних та інших цінностей, а також передачу бухгалтерської та іншої документації банку здійснюється відповідно до положень цього закону, </w:t>
            </w:r>
            <w:proofErr w:type="spellStart"/>
            <w:r w:rsidRPr="004821C4">
              <w:rPr>
                <w:rFonts w:ascii="Times New Roman" w:hAnsi="Times New Roman" w:cs="Times New Roman"/>
                <w:b/>
                <w:highlight w:val="white"/>
              </w:rPr>
              <w:t>Закону</w:t>
            </w:r>
            <w:proofErr w:type="spellEnd"/>
            <w:r w:rsidRPr="004821C4">
              <w:rPr>
                <w:rFonts w:ascii="Times New Roman" w:hAnsi="Times New Roman" w:cs="Times New Roman"/>
                <w:b/>
                <w:highlight w:val="white"/>
              </w:rPr>
              <w:t xml:space="preserve"> України «Про систему гарантування вкладів фізичних осіб» та норм діючого законодавства.</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Відновлення реєстрації договорів про членство/участь банку у міжнародних системах, створених нерезидентами («CONTACT», «</w:t>
            </w:r>
            <w:proofErr w:type="spellStart"/>
            <w:r w:rsidRPr="004821C4">
              <w:rPr>
                <w:rFonts w:ascii="Times New Roman" w:hAnsi="Times New Roman" w:cs="Times New Roman"/>
                <w:b/>
                <w:highlight w:val="white"/>
              </w:rPr>
              <w:t>Visa</w:t>
            </w:r>
            <w:proofErr w:type="spellEnd"/>
            <w:r w:rsidRPr="004821C4">
              <w:rPr>
                <w:rFonts w:ascii="Times New Roman" w:hAnsi="Times New Roman" w:cs="Times New Roman"/>
                <w:b/>
                <w:highlight w:val="white"/>
              </w:rPr>
              <w:t>»); відновлення реєстрації банку як непрямого учасника у міжнародній системі  «</w:t>
            </w:r>
            <w:proofErr w:type="spellStart"/>
            <w:r w:rsidRPr="004821C4">
              <w:rPr>
                <w:rFonts w:ascii="Times New Roman" w:hAnsi="Times New Roman" w:cs="Times New Roman"/>
                <w:b/>
                <w:highlight w:val="white"/>
              </w:rPr>
              <w:t>Western</w:t>
            </w:r>
            <w:proofErr w:type="spellEnd"/>
            <w:r w:rsidRPr="004821C4">
              <w:rPr>
                <w:rFonts w:ascii="Times New Roman" w:hAnsi="Times New Roman" w:cs="Times New Roman"/>
                <w:b/>
                <w:highlight w:val="white"/>
              </w:rPr>
              <w:t xml:space="preserve"> </w:t>
            </w:r>
            <w:proofErr w:type="spellStart"/>
            <w:r w:rsidRPr="004821C4">
              <w:rPr>
                <w:rFonts w:ascii="Times New Roman" w:hAnsi="Times New Roman" w:cs="Times New Roman"/>
                <w:b/>
                <w:highlight w:val="white"/>
              </w:rPr>
              <w:t>Union</w:t>
            </w:r>
            <w:proofErr w:type="spellEnd"/>
            <w:r w:rsidRPr="004821C4">
              <w:rPr>
                <w:rFonts w:ascii="Times New Roman" w:hAnsi="Times New Roman" w:cs="Times New Roman"/>
                <w:b/>
                <w:highlight w:val="white"/>
              </w:rPr>
              <w:t>» та «</w:t>
            </w:r>
            <w:proofErr w:type="spellStart"/>
            <w:r w:rsidRPr="004821C4">
              <w:rPr>
                <w:rFonts w:ascii="Times New Roman" w:hAnsi="Times New Roman" w:cs="Times New Roman"/>
                <w:b/>
                <w:highlight w:val="white"/>
              </w:rPr>
              <w:t>MoneyGram</w:t>
            </w:r>
            <w:proofErr w:type="spellEnd"/>
            <w:r w:rsidRPr="004821C4">
              <w:rPr>
                <w:rFonts w:ascii="Times New Roman" w:hAnsi="Times New Roman" w:cs="Times New Roman"/>
                <w:b/>
                <w:highlight w:val="white"/>
              </w:rPr>
              <w:t>»; відновлення для банку дії генеральної угоди про порядок проведення операцій на міжбанківському валютному ринку України; відновлення відповідного інформаційно-технічного забезпечення, відновлення та/або поновлення інших позицій, що мали місце до прийняття Національним банком України скасованої в судовому порядку постанови про віднесення банку до категорії неплатоспроможних та введення тимчасової адміністрації та/або відкликання банківської ліцензії та ліквідацію банку, здійснюється Національним банком України відповідно до норм чинного законодавства України.</w:t>
            </w:r>
          </w:p>
          <w:p w:rsidR="009D0FEF" w:rsidRPr="004821C4" w:rsidRDefault="009D0FEF" w:rsidP="00C946EA">
            <w:pPr>
              <w:ind w:left="566" w:firstLine="708"/>
              <w:jc w:val="both"/>
              <w:rPr>
                <w:rFonts w:ascii="Times New Roman" w:hAnsi="Times New Roman" w:cs="Times New Roman"/>
                <w:b/>
                <w:highlight w:val="white"/>
              </w:rPr>
            </w:pPr>
          </w:p>
          <w:p w:rsidR="009D0FEF" w:rsidRPr="004821C4" w:rsidRDefault="009D0FEF" w:rsidP="00C946EA">
            <w:pPr>
              <w:ind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     Стаття 82. План відновлення функціонування банку</w:t>
            </w:r>
          </w:p>
          <w:p w:rsidR="009D0FEF" w:rsidRPr="004821C4" w:rsidRDefault="009D0FEF" w:rsidP="00C946EA">
            <w:pPr>
              <w:ind w:firstLine="708"/>
              <w:jc w:val="both"/>
              <w:rPr>
                <w:rFonts w:ascii="Times New Roman" w:hAnsi="Times New Roman" w:cs="Times New Roman"/>
                <w:b/>
                <w:highlight w:val="white"/>
              </w:rPr>
            </w:pPr>
            <w:r w:rsidRPr="004821C4">
              <w:rPr>
                <w:rFonts w:ascii="Times New Roman" w:hAnsi="Times New Roman" w:cs="Times New Roman"/>
                <w:b/>
                <w:highlight w:val="white"/>
              </w:rPr>
              <w:lastRenderedPageBreak/>
              <w:t xml:space="preserve">    </w:t>
            </w:r>
            <w:r w:rsidRPr="004821C4">
              <w:rPr>
                <w:rFonts w:ascii="Times New Roman" w:hAnsi="Times New Roman" w:cs="Times New Roman"/>
                <w:b/>
                <w:highlight w:val="white"/>
              </w:rPr>
              <w:tab/>
              <w:t>Банк упродовж  60 календарних днів з моменту набрання законної сили судового рішення щодо скасування рішення Національного банку України про віднесення банку до категорії неплатоспроможних та/або відкликання банківської ліцензії та ліквідацію банку, зобов’язаний подати Національному банку України план відновлення функціонування банку, кінцевий результат якого повинен відповідати основним показникам та нормативам, що ставляться до діючих банків.</w:t>
            </w:r>
          </w:p>
          <w:p w:rsidR="009D0FEF" w:rsidRPr="004821C4" w:rsidRDefault="009D0FEF" w:rsidP="00C946EA">
            <w:pPr>
              <w:ind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    План відновлення функціонування банку повинен передбачати фінансове оздоровлення банку у строк не більше ніж на п'ять років.</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План відновлення функціонування банку повинен містити систему заходів, спрямованих на збільшення обсягу капіталу до необхідного рівня з метою відновлення ліквідності та приведення фінансових показників діяльності банку у відповідність із вимогами Національного банку України, а також умови повернення коштів виплачених Фондом вкладникам та іншим кредиторам відповідно до Закону України «Про систему гарантування вкладів фізичних осіб».</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План відновлення функціонування банку затверджується Наглядовою Радою банку та Національним банком України.</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Безпідставна відмова Національним банком України у затвердженні плану функціонування банку не допускається.</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Відмова Національним банком України у </w:t>
            </w:r>
            <w:r w:rsidRPr="004821C4">
              <w:rPr>
                <w:rFonts w:ascii="Times New Roman" w:hAnsi="Times New Roman" w:cs="Times New Roman"/>
                <w:b/>
                <w:highlight w:val="white"/>
              </w:rPr>
              <w:lastRenderedPageBreak/>
              <w:t>затвердженні плану функціонування банку одночасно супроводжується з конкретними вказівками щодо включення/зміни до плану  функціонування банку.</w:t>
            </w:r>
          </w:p>
          <w:p w:rsidR="009D0FEF" w:rsidRPr="004821C4" w:rsidRDefault="009D0FEF" w:rsidP="00C946EA">
            <w:pPr>
              <w:ind w:left="141" w:right="61" w:firstLine="708"/>
              <w:jc w:val="both"/>
              <w:rPr>
                <w:rFonts w:ascii="Times New Roman" w:hAnsi="Times New Roman" w:cs="Times New Roman"/>
                <w:b/>
                <w:highlight w:val="white"/>
              </w:rPr>
            </w:pP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Відмова Національним банком України у затвердженні плану функціонування банку може бути оскаржена в судовому порядку, що тягне переривання строку передбаченого частиною першою цієї статті.</w:t>
            </w:r>
          </w:p>
          <w:p w:rsidR="009D0FEF" w:rsidRPr="004821C4" w:rsidRDefault="009D0FEF" w:rsidP="00C946EA">
            <w:pPr>
              <w:ind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Національний Банк України повинен забезпечити участь вкладників та інших кредиторів банку в громадських обговореннях плану відновлення функціонування банку. План відновлення функціонування банку має бути опублікований на офіційному сайті Національного Банку України протягом двох робочих діб після його затвердження.    </w:t>
            </w:r>
          </w:p>
          <w:p w:rsidR="009D0FEF" w:rsidRPr="004821C4" w:rsidRDefault="009D0FEF" w:rsidP="00C946EA">
            <w:pPr>
              <w:ind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     </w:t>
            </w:r>
          </w:p>
          <w:p w:rsidR="009D0FEF" w:rsidRPr="004821C4" w:rsidRDefault="009D0FEF" w:rsidP="00C946EA">
            <w:pPr>
              <w:ind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     Стаття 83. Основні засади, на яких ґрунтується план відновлення функціонування банку</w:t>
            </w:r>
          </w:p>
          <w:p w:rsidR="009D0FEF" w:rsidRPr="004821C4" w:rsidRDefault="009D0FEF" w:rsidP="00C946EA">
            <w:pPr>
              <w:ind w:firstLine="708"/>
              <w:jc w:val="both"/>
              <w:rPr>
                <w:rFonts w:ascii="Times New Roman" w:hAnsi="Times New Roman" w:cs="Times New Roman"/>
                <w:b/>
                <w:highlight w:val="white"/>
              </w:rPr>
            </w:pPr>
            <w:r w:rsidRPr="004821C4">
              <w:rPr>
                <w:rFonts w:ascii="Times New Roman" w:hAnsi="Times New Roman" w:cs="Times New Roman"/>
                <w:b/>
                <w:highlight w:val="white"/>
              </w:rPr>
              <w:t>Банк провадить свою діяльність у порядку та в межах вимог, встановлених для цього банку нормативно-правовими актами Національного банку України.</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В окремих випадках, за ініціативою банку, з метою встановлення фактичних збитків та реального рівня падіння фінансових показників, що настали в результаті тривалого перебування банку в процесі здійснення тимчасової адміністрації та/або ліквідації, та, відповідно у разі наявності розбіжностей при розробці плану відновлення функціонування банку, може призначатися незалежна експертиза.</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lastRenderedPageBreak/>
              <w:t>Договори, укладені уповноваженою особою Фонду гарантування вкладів фізичних осіб в банку, після набуття судового рішення законної сили щодо цього банку в судовому порядку можуть бути визнані недійсними.</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Податки та збори, щодо яких припинялось нарахування згідно Закону України “Про систему гарантування вкладів фізичних осіб” та інших нормативних актів під час здійснення тимчасової адміністрації та процедури ліквідації до набрання законної сили судовим рішенням про скасування постанови (рішення) Національного банку України про віднесення банку до категорії неплатоспроможних та/або відкликання банківської ліцензії та ліквідацію банку не нараховуються та не сплачуються банком/юридичною особою, що припинила банківську діяльність.</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На період дії плану відновлення функціонування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1) </w:t>
            </w:r>
            <w:proofErr w:type="spellStart"/>
            <w:r w:rsidRPr="004821C4">
              <w:rPr>
                <w:rFonts w:ascii="Times New Roman" w:hAnsi="Times New Roman" w:cs="Times New Roman"/>
                <w:b/>
                <w:highlight w:val="white"/>
              </w:rPr>
              <w:t>втановлюється</w:t>
            </w:r>
            <w:proofErr w:type="spellEnd"/>
            <w:r w:rsidRPr="004821C4">
              <w:rPr>
                <w:rFonts w:ascii="Times New Roman" w:hAnsi="Times New Roman" w:cs="Times New Roman"/>
                <w:b/>
                <w:highlight w:val="white"/>
              </w:rPr>
              <w:t xml:space="preserve"> мораторій на задоволення вимог кредиторів банку, як фізичних, так і юридичних осіб, як за вкладами та, відповідно, нарахованими процентами, так і за залишками на поточних рахунках, строком не більше 6 місяців з моменту затвердження плану відновлення функціонування банку, з наступною реструктуризацією боргових зобов’язань банку ще на 6 місяців. Після набрання судовим рішенням про скасування постанови (рішення) Національного банку України про віднесення банку до категорії </w:t>
            </w:r>
            <w:r w:rsidRPr="004821C4">
              <w:rPr>
                <w:rFonts w:ascii="Times New Roman" w:hAnsi="Times New Roman" w:cs="Times New Roman"/>
                <w:b/>
                <w:highlight w:val="white"/>
              </w:rPr>
              <w:lastRenderedPageBreak/>
              <w:t>неплатоспроможних та/або відкликання банківської ліцензії та ліквідацію банку законної сили забороняється укладання договорів застави, відчуження майна, активів банку, переуступки прав вимог за кредитами до виконання Плану відновлення функціонування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2) для банку встановлюються податкові канікули щодо відрахувань до бюджету податку на прибуток та податку на землю строком на 6 місяців з моменту затвердження плану відновлення функціонування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3) банк звільняється від сплати внесків до Фонду гарантування вкладів фізичних осіб на період дії плану відновлення функціонування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 xml:space="preserve">4) на банк не поширюються вимоги, встановлені Національним банком України щодо обов’язкових економічних нормативів, </w:t>
            </w:r>
            <w:proofErr w:type="spellStart"/>
            <w:r w:rsidRPr="004821C4">
              <w:rPr>
                <w:rFonts w:ascii="Times New Roman" w:hAnsi="Times New Roman" w:cs="Times New Roman"/>
                <w:b/>
                <w:highlight w:val="white"/>
              </w:rPr>
              <w:t>нормативів</w:t>
            </w:r>
            <w:proofErr w:type="spellEnd"/>
            <w:r w:rsidRPr="004821C4">
              <w:rPr>
                <w:rFonts w:ascii="Times New Roman" w:hAnsi="Times New Roman" w:cs="Times New Roman"/>
                <w:b/>
                <w:highlight w:val="white"/>
              </w:rPr>
              <w:t xml:space="preserve"> капіталу та ліквідності, лімітів валютних позицій, нормативів обов’язкового резервування коштів на кореспондентському рахунку банку в Національному банку України, формування резервів на покриття збитків від активів;</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5) нарахування неустойки (штрафів, пені), інших фінансових (економічних) санкцій за невиконання чи неналежне виконання зобов’язань щодо сплати податків і зборів (обов’язкових платежів), а також зобов’язань перед кредиторами, у тому числі не застосовується індекс інфляції за весь час прострочення виконання грошових зобов’язань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lastRenderedPageBreak/>
              <w:t>6) нарахування відсотків за зобов’язаннями банку перед вкладниками та кредиторами.</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Календарний графік приведення відповідних фінансових показників та нормативів банку у відповідність до вимог Національного банку України буде узгоджено та викладено в плані відновлення функціонування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Рівень класифікації позичальників банку встановлюється аналогічний тому, який існував на момент введення в банку тимчасової адміністрації та/або ліквідації.</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Банк та Національний банк України на щомісячній основі проводять звірення виконання плану відновлення функціонування банку з порівняльним аналізом прогнозованих та фактичних фінансових результатів та показників.</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Банку, що перебуває в режимі виконання плану відновлення функціонування банку, може бути надано фінансову підтримку у вигляді позики. Розмір, строк, процентна ставка, забезпечення, інші умови такої фінансової підтримки, визначається Національним банком України індивідуально в залежності від обставин.</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На період дії плану відновлення функціонування банку жодні інспекційні перевірки банку Національним банком України не проводяться.</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Після здійснення всіх заходів, передбачених планом відновлення функціонування банку, Національний банк України проводить інспекційну перевірку банку.</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lastRenderedPageBreak/>
              <w:t>За наявності обґрунтованих підстав, для успішного завершення процесу відновлення функціонування банку, строк відновлення функціонування банку може бути продовжено ще на один рік.</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У разі ефективного виконання заходів, передбачених планом відновлення функціонування банку, поліпшення фінансового стану та додержання економічних нормативів діяльності банку, банк вважається відновленим.</w:t>
            </w:r>
          </w:p>
          <w:p w:rsidR="009D0FEF" w:rsidRPr="004821C4" w:rsidRDefault="009D0FEF" w:rsidP="00C946EA">
            <w:pPr>
              <w:ind w:left="141" w:right="61" w:firstLine="708"/>
              <w:jc w:val="both"/>
              <w:rPr>
                <w:rFonts w:ascii="Times New Roman" w:hAnsi="Times New Roman" w:cs="Times New Roman"/>
                <w:b/>
                <w:highlight w:val="white"/>
              </w:rPr>
            </w:pP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Стаття 84. Припинення банківської діяльності без ліквідації юридичної особи</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У випадку скасування в судовому порядку рішення Національного банку України  про віднесення банку до категорії неплатоспроможних та/або відкликання банківської ліцензії та ліквідацію банку загальні збори банку можуть прийняти рішення про виключення з видів діяльності юридичної особи, банківської діяльності без припинення юридичної особи з подальшим виключенням відомостей про банк з Державного реєстру банків.</w:t>
            </w: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Юридична особа, яка припинила банківську діяльність після приведення юридичної особи до вимог, передбачених Законом України “Про банки та банківську діяльність” отримати банківську ліцензію.</w:t>
            </w:r>
          </w:p>
          <w:p w:rsidR="009D0FEF" w:rsidRPr="004821C4" w:rsidRDefault="009D0FEF" w:rsidP="00C946EA">
            <w:pPr>
              <w:ind w:left="141" w:right="61" w:firstLine="708"/>
              <w:jc w:val="both"/>
              <w:rPr>
                <w:rFonts w:ascii="Times New Roman" w:hAnsi="Times New Roman" w:cs="Times New Roman"/>
                <w:b/>
                <w:highlight w:val="white"/>
              </w:rPr>
            </w:pPr>
          </w:p>
          <w:p w:rsidR="009D0FEF" w:rsidRPr="004821C4"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t>Стаття 85. Персональна відповідальність пов’язаної з банком особи</w:t>
            </w:r>
          </w:p>
          <w:p w:rsidR="009D0FEF" w:rsidRDefault="009D0FEF" w:rsidP="00C946EA">
            <w:pPr>
              <w:ind w:left="141" w:right="61" w:firstLine="708"/>
              <w:jc w:val="both"/>
              <w:rPr>
                <w:rFonts w:ascii="Times New Roman" w:hAnsi="Times New Roman" w:cs="Times New Roman"/>
                <w:b/>
                <w:highlight w:val="white"/>
              </w:rPr>
            </w:pPr>
            <w:r w:rsidRPr="004821C4">
              <w:rPr>
                <w:rFonts w:ascii="Times New Roman" w:hAnsi="Times New Roman" w:cs="Times New Roman"/>
                <w:b/>
                <w:highlight w:val="white"/>
              </w:rPr>
              <w:lastRenderedPageBreak/>
              <w:t>Пов’язана з банком особа несе персональну кримінальну, цивільно-правову та адміністративну відповідальність за невиконання плану відновлення функціонування банку або порушення прав вкладників банку або інших кредиторів, в том числі при припиненні банківської діяльності.</w:t>
            </w:r>
          </w:p>
          <w:p w:rsidR="009D0FEF" w:rsidRPr="004821C4" w:rsidRDefault="009D0FEF" w:rsidP="00C946EA">
            <w:pPr>
              <w:ind w:left="141" w:right="61" w:firstLine="708"/>
              <w:jc w:val="both"/>
              <w:rPr>
                <w:rFonts w:ascii="Times New Roman" w:hAnsi="Times New Roman" w:cs="Times New Roman"/>
                <w:highlight w:val="white"/>
              </w:rPr>
            </w:pPr>
          </w:p>
        </w:tc>
      </w:tr>
      <w:tr w:rsidR="009D0FEF" w:rsidRPr="000A5A2E" w:rsidTr="00C946EA">
        <w:tc>
          <w:tcPr>
            <w:tcW w:w="7374" w:type="dxa"/>
          </w:tcPr>
          <w:p w:rsidR="009D0FEF" w:rsidRPr="007531ED" w:rsidRDefault="009D0FEF" w:rsidP="00C946EA">
            <w:pPr>
              <w:pStyle w:val="rvps7"/>
              <w:shd w:val="clear" w:color="auto" w:fill="FFFFFF"/>
              <w:spacing w:before="150" w:beforeAutospacing="0" w:after="150" w:afterAutospacing="0"/>
              <w:ind w:right="450"/>
              <w:jc w:val="center"/>
              <w:rPr>
                <w:highlight w:val="white"/>
              </w:rPr>
            </w:pPr>
          </w:p>
          <w:p w:rsidR="009D0FEF" w:rsidRPr="005F264B" w:rsidRDefault="009D0FEF" w:rsidP="00C946EA">
            <w:pPr>
              <w:pStyle w:val="rvps7"/>
              <w:shd w:val="clear" w:color="auto" w:fill="FFFFFF"/>
              <w:spacing w:before="150" w:beforeAutospacing="0" w:after="150" w:afterAutospacing="0"/>
              <w:ind w:right="450"/>
              <w:jc w:val="center"/>
              <w:rPr>
                <w:sz w:val="28"/>
                <w:szCs w:val="28"/>
                <w:highlight w:val="white"/>
              </w:rPr>
            </w:pPr>
            <w:r w:rsidRPr="005F264B">
              <w:rPr>
                <w:highlight w:val="white"/>
              </w:rPr>
              <w:t>Розділ VII </w:t>
            </w:r>
            <w:r w:rsidRPr="005F264B">
              <w:rPr>
                <w:sz w:val="28"/>
                <w:szCs w:val="28"/>
                <w:highlight w:val="white"/>
              </w:rPr>
              <w:br/>
            </w:r>
            <w:r w:rsidRPr="005F264B">
              <w:rPr>
                <w:highlight w:val="white"/>
              </w:rPr>
              <w:t>ПРИКІНЦЕВІ ПОЛОЖЕННЯ</w:t>
            </w:r>
          </w:p>
          <w:p w:rsidR="009D0FEF" w:rsidRPr="005F264B" w:rsidRDefault="009D0FEF" w:rsidP="00C946EA">
            <w:pPr>
              <w:pStyle w:val="rvps2"/>
              <w:shd w:val="clear" w:color="auto" w:fill="FFFFFF"/>
              <w:spacing w:before="0" w:beforeAutospacing="0" w:after="150" w:afterAutospacing="0"/>
              <w:ind w:firstLine="450"/>
              <w:jc w:val="both"/>
              <w:rPr>
                <w:sz w:val="28"/>
                <w:szCs w:val="28"/>
                <w:highlight w:val="white"/>
              </w:rPr>
            </w:pPr>
            <w:bookmarkStart w:id="1" w:name="n1361"/>
            <w:bookmarkEnd w:id="1"/>
            <w:r w:rsidRPr="005F264B">
              <w:rPr>
                <w:sz w:val="28"/>
                <w:szCs w:val="28"/>
                <w:highlight w:val="white"/>
              </w:rPr>
              <w:t>1. Цей Закон набирає чинності з дня його опублікування.</w:t>
            </w:r>
          </w:p>
          <w:p w:rsidR="009D0FEF" w:rsidRDefault="009D0FEF" w:rsidP="00C946EA">
            <w:pPr>
              <w:pStyle w:val="rvps2"/>
              <w:shd w:val="clear" w:color="auto" w:fill="FFFFFF"/>
              <w:spacing w:before="0" w:beforeAutospacing="0" w:after="150" w:afterAutospacing="0"/>
              <w:ind w:firstLine="450"/>
              <w:jc w:val="both"/>
              <w:rPr>
                <w:sz w:val="28"/>
                <w:szCs w:val="28"/>
                <w:highlight w:val="white"/>
              </w:rPr>
            </w:pPr>
            <w:bookmarkStart w:id="2" w:name="n1362"/>
            <w:bookmarkEnd w:id="2"/>
            <w:r w:rsidRPr="005F264B">
              <w:rPr>
                <w:sz w:val="28"/>
                <w:szCs w:val="28"/>
                <w:highlight w:val="white"/>
              </w:rPr>
              <w:t>Національний банк України має право встановлювати перехідні строки виконання передбачених цим Законом норм, які не повинні перевищувати загальних строків, передбачених цим Законом, якщо це дозволить банкам досягнути відповідності з вимогами цього Закону.</w:t>
            </w:r>
          </w:p>
          <w:p w:rsidR="009D0FEF" w:rsidRPr="005F264B" w:rsidRDefault="009D0FEF" w:rsidP="00C946EA">
            <w:pPr>
              <w:pStyle w:val="rvps2"/>
              <w:shd w:val="clear" w:color="auto" w:fill="FFFFFF"/>
              <w:spacing w:before="0" w:beforeAutospacing="0" w:after="150" w:afterAutospacing="0"/>
              <w:ind w:firstLine="450"/>
              <w:jc w:val="both"/>
              <w:rPr>
                <w:sz w:val="28"/>
                <w:szCs w:val="28"/>
                <w:highlight w:val="white"/>
              </w:rPr>
            </w:pPr>
            <w:r>
              <w:rPr>
                <w:sz w:val="28"/>
                <w:szCs w:val="28"/>
                <w:highlight w:val="white"/>
              </w:rPr>
              <w:t>…</w:t>
            </w:r>
          </w:p>
          <w:p w:rsidR="009D0FEF" w:rsidRDefault="009D0FEF" w:rsidP="00C946EA">
            <w:pPr>
              <w:ind w:firstLine="708"/>
              <w:rPr>
                <w:rFonts w:ascii="Times New Roman" w:hAnsi="Times New Roman" w:cs="Times New Roman"/>
                <w:b/>
                <w:highlight w:val="white"/>
              </w:rPr>
            </w:pPr>
          </w:p>
        </w:tc>
        <w:tc>
          <w:tcPr>
            <w:tcW w:w="7374" w:type="dxa"/>
          </w:tcPr>
          <w:p w:rsidR="009D0FEF" w:rsidRDefault="009D0FEF" w:rsidP="00C946EA">
            <w:pPr>
              <w:pStyle w:val="rvps7"/>
              <w:shd w:val="clear" w:color="auto" w:fill="FFFFFF"/>
              <w:spacing w:before="150" w:beforeAutospacing="0" w:after="150" w:afterAutospacing="0"/>
              <w:ind w:left="450" w:right="450"/>
              <w:jc w:val="center"/>
              <w:rPr>
                <w:b/>
                <w:highlight w:val="white"/>
              </w:rPr>
            </w:pPr>
          </w:p>
          <w:p w:rsidR="009D0FEF" w:rsidRPr="005F264B" w:rsidRDefault="009D0FEF" w:rsidP="00C946EA">
            <w:pPr>
              <w:pStyle w:val="rvps7"/>
              <w:shd w:val="clear" w:color="auto" w:fill="FFFFFF"/>
              <w:spacing w:before="150" w:beforeAutospacing="0" w:after="150" w:afterAutospacing="0"/>
              <w:ind w:left="450" w:right="450"/>
              <w:jc w:val="center"/>
              <w:rPr>
                <w:sz w:val="28"/>
                <w:szCs w:val="28"/>
                <w:highlight w:val="white"/>
              </w:rPr>
            </w:pPr>
            <w:r w:rsidRPr="005F264B">
              <w:rPr>
                <w:b/>
                <w:highlight w:val="white"/>
              </w:rPr>
              <w:t>Розділ VIIІ</w:t>
            </w:r>
            <w:r w:rsidRPr="005F264B">
              <w:rPr>
                <w:b/>
                <w:sz w:val="28"/>
                <w:szCs w:val="28"/>
                <w:highlight w:val="white"/>
              </w:rPr>
              <w:br/>
            </w:r>
            <w:r w:rsidRPr="005F264B">
              <w:rPr>
                <w:highlight w:val="white"/>
              </w:rPr>
              <w:t>ПРИКІНЦЕВІ ПОЛОЖЕННЯ</w:t>
            </w:r>
          </w:p>
          <w:p w:rsidR="009D0FEF" w:rsidRPr="005F264B" w:rsidRDefault="009D0FEF" w:rsidP="00C946EA">
            <w:pPr>
              <w:pStyle w:val="rvps2"/>
              <w:shd w:val="clear" w:color="auto" w:fill="FFFFFF"/>
              <w:spacing w:before="0" w:beforeAutospacing="0" w:after="150" w:afterAutospacing="0"/>
              <w:ind w:firstLine="450"/>
              <w:jc w:val="both"/>
              <w:rPr>
                <w:sz w:val="28"/>
                <w:szCs w:val="28"/>
                <w:highlight w:val="white"/>
              </w:rPr>
            </w:pPr>
            <w:r w:rsidRPr="005F264B">
              <w:rPr>
                <w:sz w:val="28"/>
                <w:szCs w:val="28"/>
                <w:highlight w:val="white"/>
              </w:rPr>
              <w:t>1. Цей Закон набирає чинності з дня його опублікування.</w:t>
            </w:r>
          </w:p>
          <w:p w:rsidR="009D0FEF" w:rsidRDefault="009D0FEF" w:rsidP="00C946EA">
            <w:pPr>
              <w:pStyle w:val="rvps2"/>
              <w:shd w:val="clear" w:color="auto" w:fill="FFFFFF"/>
              <w:spacing w:before="0" w:beforeAutospacing="0" w:after="150" w:afterAutospacing="0"/>
              <w:ind w:firstLine="450"/>
              <w:jc w:val="both"/>
              <w:rPr>
                <w:sz w:val="28"/>
                <w:szCs w:val="28"/>
                <w:highlight w:val="white"/>
              </w:rPr>
            </w:pPr>
            <w:r w:rsidRPr="005F264B">
              <w:rPr>
                <w:sz w:val="28"/>
                <w:szCs w:val="28"/>
                <w:highlight w:val="white"/>
              </w:rPr>
              <w:t>Національний банк України має право встановлювати перехідні строки виконання передбачених цим Законом норм, які не повинні перевищувати загальних строків, передбачених цим Законом, якщо це дозволить банкам досягнути відповідності з вимогами цього Закону.</w:t>
            </w:r>
          </w:p>
          <w:p w:rsidR="009D0FEF" w:rsidRPr="005F264B" w:rsidRDefault="009D0FEF" w:rsidP="00C946EA">
            <w:pPr>
              <w:pStyle w:val="rvps2"/>
              <w:shd w:val="clear" w:color="auto" w:fill="FFFFFF"/>
              <w:spacing w:before="0" w:beforeAutospacing="0" w:after="150" w:afterAutospacing="0"/>
              <w:ind w:firstLine="450"/>
              <w:jc w:val="both"/>
              <w:rPr>
                <w:sz w:val="28"/>
                <w:szCs w:val="28"/>
                <w:highlight w:val="white"/>
              </w:rPr>
            </w:pPr>
            <w:r>
              <w:rPr>
                <w:sz w:val="28"/>
                <w:szCs w:val="28"/>
                <w:highlight w:val="white"/>
              </w:rPr>
              <w:t>…</w:t>
            </w:r>
          </w:p>
          <w:p w:rsidR="009D0FEF" w:rsidRDefault="009D0FEF" w:rsidP="00C946EA">
            <w:pPr>
              <w:ind w:firstLine="708"/>
              <w:jc w:val="center"/>
              <w:rPr>
                <w:rFonts w:ascii="Times New Roman" w:hAnsi="Times New Roman" w:cs="Times New Roman"/>
                <w:b/>
                <w:highlight w:val="white"/>
              </w:rPr>
            </w:pPr>
          </w:p>
        </w:tc>
      </w:tr>
    </w:tbl>
    <w:p w:rsidR="009D0FEF" w:rsidRPr="000A5A2E" w:rsidRDefault="009D0FEF" w:rsidP="009D0FEF">
      <w:pPr>
        <w:jc w:val="center"/>
        <w:rPr>
          <w:rFonts w:ascii="Times New Roman" w:hAnsi="Times New Roman" w:cs="Times New Roman"/>
          <w:b/>
          <w:bCs/>
        </w:rPr>
      </w:pPr>
    </w:p>
    <w:p w:rsidR="009D0FEF" w:rsidRPr="000A5A2E" w:rsidRDefault="009D0FEF" w:rsidP="009D0FEF">
      <w:pPr>
        <w:jc w:val="center"/>
        <w:rPr>
          <w:rFonts w:ascii="Times New Roman" w:hAnsi="Times New Roman" w:cs="Times New Roman"/>
          <w:b/>
          <w:bCs/>
        </w:rPr>
      </w:pPr>
    </w:p>
    <w:p w:rsidR="009D0FEF" w:rsidRPr="000A5A2E" w:rsidRDefault="009D0FEF" w:rsidP="009D0FEF">
      <w:pPr>
        <w:rPr>
          <w:b/>
          <w:bCs/>
        </w:rPr>
      </w:pPr>
    </w:p>
    <w:p w:rsidR="009D0FEF" w:rsidRDefault="009D0FEF" w:rsidP="009D0FEF">
      <w:pPr>
        <w:ind w:firstLine="708"/>
        <w:rPr>
          <w:rFonts w:ascii="Times New Roman" w:hAnsi="Times New Roman" w:cs="Times New Roman"/>
          <w:b/>
          <w:bCs/>
        </w:rPr>
      </w:pPr>
      <w:bookmarkStart w:id="3" w:name="_GoBack"/>
      <w:r w:rsidRPr="000A5A2E">
        <w:rPr>
          <w:rFonts w:ascii="Times New Roman" w:hAnsi="Times New Roman" w:cs="Times New Roman"/>
          <w:b/>
          <w:bCs/>
        </w:rPr>
        <w:t>Народн</w:t>
      </w:r>
      <w:r>
        <w:rPr>
          <w:rFonts w:ascii="Times New Roman" w:hAnsi="Times New Roman" w:cs="Times New Roman"/>
          <w:b/>
          <w:bCs/>
        </w:rPr>
        <w:t>ий</w:t>
      </w:r>
      <w:r w:rsidRPr="000A5A2E">
        <w:rPr>
          <w:rFonts w:ascii="Times New Roman" w:hAnsi="Times New Roman" w:cs="Times New Roman"/>
          <w:b/>
          <w:bCs/>
        </w:rPr>
        <w:t xml:space="preserve"> депутат України</w:t>
      </w:r>
      <w:r>
        <w:rPr>
          <w:rFonts w:ascii="Times New Roman" w:hAnsi="Times New Roman" w:cs="Times New Roman"/>
          <w:b/>
          <w:bCs/>
        </w:rPr>
        <w:t xml:space="preserve">                                                                                                   І.В. Луценко </w:t>
      </w:r>
      <w:r>
        <w:rPr>
          <w:rFonts w:ascii="Times New Roman" w:hAnsi="Times New Roman" w:cs="Times New Roman"/>
          <w:bCs/>
        </w:rPr>
        <w:t>(</w:t>
      </w:r>
      <w:proofErr w:type="spellStart"/>
      <w:r>
        <w:rPr>
          <w:rFonts w:ascii="Times New Roman" w:hAnsi="Times New Roman" w:cs="Times New Roman"/>
          <w:bCs/>
        </w:rPr>
        <w:t>посв</w:t>
      </w:r>
      <w:proofErr w:type="spellEnd"/>
      <w:r>
        <w:rPr>
          <w:rFonts w:ascii="Times New Roman" w:hAnsi="Times New Roman" w:cs="Times New Roman"/>
          <w:bCs/>
        </w:rPr>
        <w:t>. № 211)</w:t>
      </w:r>
      <w:r>
        <w:rPr>
          <w:rFonts w:ascii="Times New Roman" w:hAnsi="Times New Roman" w:cs="Times New Roman"/>
          <w:b/>
          <w:bCs/>
        </w:rPr>
        <w:t xml:space="preserve"> </w:t>
      </w:r>
    </w:p>
    <w:bookmarkEnd w:id="3"/>
    <w:p w:rsidR="009D0FEF" w:rsidRPr="00897CAF" w:rsidRDefault="009D0FEF" w:rsidP="009D0FEF">
      <w:pPr>
        <w:ind w:firstLine="708"/>
        <w:rPr>
          <w:rFonts w:ascii="Times New Roman" w:hAnsi="Times New Roman" w:cs="Times New Roman"/>
          <w:bCs/>
        </w:rPr>
      </w:pPr>
    </w:p>
    <w:p w:rsidR="00AA2656" w:rsidRPr="009D0FEF" w:rsidRDefault="00B37E6F">
      <w:pPr>
        <w:rPr>
          <w:lang w:val="en-US"/>
        </w:rPr>
      </w:pPr>
    </w:p>
    <w:sectPr w:rsidR="00AA2656" w:rsidRPr="009D0FEF" w:rsidSect="00140635">
      <w:headerReference w:type="default" r:id="rId7"/>
      <w:footerReference w:type="even" r:id="rId8"/>
      <w:pgSz w:w="16838" w:h="11906" w:orient="landscape"/>
      <w:pgMar w:top="1134" w:right="851" w:bottom="851" w:left="1418" w:header="709" w:footer="709"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E6F" w:rsidRDefault="00B37E6F">
      <w:r>
        <w:separator/>
      </w:r>
    </w:p>
  </w:endnote>
  <w:endnote w:type="continuationSeparator" w:id="0">
    <w:p w:rsidR="00B37E6F" w:rsidRDefault="00B37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C32" w:rsidRDefault="009D0FEF" w:rsidP="006C6A46">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F3C32" w:rsidRDefault="00B37E6F" w:rsidP="00F620D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E6F" w:rsidRDefault="00B37E6F">
      <w:r>
        <w:separator/>
      </w:r>
    </w:p>
  </w:footnote>
  <w:footnote w:type="continuationSeparator" w:id="0">
    <w:p w:rsidR="00B37E6F" w:rsidRDefault="00B37E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C32" w:rsidRDefault="009D0FEF" w:rsidP="00AA2569">
    <w:pPr>
      <w:pStyle w:val="a3"/>
      <w:framePr w:wrap="auto" w:vAnchor="text" w:hAnchor="margin" w:xAlign="center" w:y="1"/>
      <w:rPr>
        <w:rStyle w:val="a5"/>
        <w:rFonts w:ascii="Times New Roman" w:hAnsi="Times New Roman"/>
      </w:rPr>
    </w:pPr>
    <w:r w:rsidRPr="00263BEF">
      <w:rPr>
        <w:rStyle w:val="a5"/>
        <w:rFonts w:ascii="Times New Roman" w:hAnsi="Times New Roman"/>
      </w:rPr>
      <w:fldChar w:fldCharType="begin"/>
    </w:r>
    <w:r w:rsidRPr="00263BEF">
      <w:rPr>
        <w:rStyle w:val="a5"/>
        <w:rFonts w:ascii="Times New Roman" w:hAnsi="Times New Roman"/>
      </w:rPr>
      <w:instrText xml:space="preserve">PAGE  </w:instrText>
    </w:r>
    <w:r w:rsidRPr="00263BEF">
      <w:rPr>
        <w:rStyle w:val="a5"/>
        <w:rFonts w:ascii="Times New Roman" w:hAnsi="Times New Roman"/>
      </w:rPr>
      <w:fldChar w:fldCharType="separate"/>
    </w:r>
    <w:r w:rsidR="008B60E6">
      <w:rPr>
        <w:rStyle w:val="a5"/>
        <w:rFonts w:ascii="Times New Roman" w:hAnsi="Times New Roman"/>
        <w:noProof/>
      </w:rPr>
      <w:t>15</w:t>
    </w:r>
    <w:r w:rsidRPr="00263BEF">
      <w:rPr>
        <w:rStyle w:val="a5"/>
        <w:rFonts w:ascii="Times New Roman" w:hAnsi="Times New Roman"/>
      </w:rPr>
      <w:fldChar w:fldCharType="end"/>
    </w:r>
  </w:p>
  <w:p w:rsidR="007F3C32" w:rsidRDefault="00B37E6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FEF"/>
    <w:rsid w:val="00611473"/>
    <w:rsid w:val="007E0ECC"/>
    <w:rsid w:val="008B60E6"/>
    <w:rsid w:val="009D0FEF"/>
    <w:rsid w:val="00B37E6F"/>
    <w:rsid w:val="00EF0B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FEF"/>
    <w:pPr>
      <w:spacing w:after="0" w:line="240" w:lineRule="auto"/>
    </w:pPr>
    <w:rPr>
      <w:rFonts w:ascii="Arial" w:eastAsia="Times New Roman" w:hAnsi="Arial" w:cs="Arial"/>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D0FEF"/>
    <w:pPr>
      <w:tabs>
        <w:tab w:val="center" w:pos="4677"/>
        <w:tab w:val="right" w:pos="9355"/>
      </w:tabs>
    </w:pPr>
    <w:rPr>
      <w:rFonts w:cs="Times New Roman"/>
    </w:rPr>
  </w:style>
  <w:style w:type="character" w:customStyle="1" w:styleId="a4">
    <w:name w:val="Верхний колонтитул Знак"/>
    <w:basedOn w:val="a0"/>
    <w:link w:val="a3"/>
    <w:uiPriority w:val="99"/>
    <w:rsid w:val="009D0FEF"/>
    <w:rPr>
      <w:rFonts w:ascii="Arial" w:eastAsia="Times New Roman" w:hAnsi="Arial" w:cs="Times New Roman"/>
      <w:sz w:val="28"/>
      <w:szCs w:val="28"/>
      <w:lang w:val="uk-UA" w:eastAsia="uk-UA"/>
    </w:rPr>
  </w:style>
  <w:style w:type="character" w:styleId="a5">
    <w:name w:val="page number"/>
    <w:basedOn w:val="a0"/>
    <w:uiPriority w:val="99"/>
    <w:rsid w:val="009D0FEF"/>
    <w:rPr>
      <w:rFonts w:cs="Times New Roman"/>
    </w:rPr>
  </w:style>
  <w:style w:type="paragraph" w:styleId="a6">
    <w:name w:val="footer"/>
    <w:basedOn w:val="a"/>
    <w:link w:val="a7"/>
    <w:uiPriority w:val="99"/>
    <w:rsid w:val="009D0FEF"/>
    <w:pPr>
      <w:tabs>
        <w:tab w:val="center" w:pos="4677"/>
        <w:tab w:val="right" w:pos="9355"/>
      </w:tabs>
    </w:pPr>
    <w:rPr>
      <w:rFonts w:cs="Times New Roman"/>
    </w:rPr>
  </w:style>
  <w:style w:type="character" w:customStyle="1" w:styleId="a7">
    <w:name w:val="Нижний колонтитул Знак"/>
    <w:basedOn w:val="a0"/>
    <w:link w:val="a6"/>
    <w:uiPriority w:val="99"/>
    <w:rsid w:val="009D0FEF"/>
    <w:rPr>
      <w:rFonts w:ascii="Arial" w:eastAsia="Times New Roman" w:hAnsi="Arial" w:cs="Times New Roman"/>
      <w:sz w:val="28"/>
      <w:szCs w:val="28"/>
      <w:lang w:val="uk-UA" w:eastAsia="uk-UA"/>
    </w:rPr>
  </w:style>
  <w:style w:type="paragraph" w:customStyle="1" w:styleId="rvps2">
    <w:name w:val="rvps2"/>
    <w:basedOn w:val="a"/>
    <w:rsid w:val="009D0FEF"/>
    <w:pPr>
      <w:spacing w:before="100" w:beforeAutospacing="1" w:after="100" w:afterAutospacing="1"/>
    </w:pPr>
    <w:rPr>
      <w:rFonts w:ascii="Times New Roman" w:hAnsi="Times New Roman" w:cs="Times New Roman"/>
      <w:sz w:val="24"/>
      <w:szCs w:val="24"/>
    </w:rPr>
  </w:style>
  <w:style w:type="paragraph" w:customStyle="1" w:styleId="rvps7">
    <w:name w:val="rvps7"/>
    <w:basedOn w:val="a"/>
    <w:rsid w:val="009D0FEF"/>
    <w:pPr>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8B60E6"/>
    <w:rPr>
      <w:rFonts w:ascii="Tahoma" w:hAnsi="Tahoma" w:cs="Tahoma"/>
      <w:sz w:val="16"/>
      <w:szCs w:val="16"/>
    </w:rPr>
  </w:style>
  <w:style w:type="character" w:customStyle="1" w:styleId="a9">
    <w:name w:val="Текст выноски Знак"/>
    <w:basedOn w:val="a0"/>
    <w:link w:val="a8"/>
    <w:uiPriority w:val="99"/>
    <w:semiHidden/>
    <w:rsid w:val="008B60E6"/>
    <w:rPr>
      <w:rFonts w:ascii="Tahoma" w:eastAsia="Times New Roman" w:hAnsi="Tahoma" w:cs="Tahoma"/>
      <w:sz w:val="16"/>
      <w:szCs w:val="16"/>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FEF"/>
    <w:pPr>
      <w:spacing w:after="0" w:line="240" w:lineRule="auto"/>
    </w:pPr>
    <w:rPr>
      <w:rFonts w:ascii="Arial" w:eastAsia="Times New Roman" w:hAnsi="Arial" w:cs="Arial"/>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D0FEF"/>
    <w:pPr>
      <w:tabs>
        <w:tab w:val="center" w:pos="4677"/>
        <w:tab w:val="right" w:pos="9355"/>
      </w:tabs>
    </w:pPr>
    <w:rPr>
      <w:rFonts w:cs="Times New Roman"/>
    </w:rPr>
  </w:style>
  <w:style w:type="character" w:customStyle="1" w:styleId="a4">
    <w:name w:val="Верхний колонтитул Знак"/>
    <w:basedOn w:val="a0"/>
    <w:link w:val="a3"/>
    <w:uiPriority w:val="99"/>
    <w:rsid w:val="009D0FEF"/>
    <w:rPr>
      <w:rFonts w:ascii="Arial" w:eastAsia="Times New Roman" w:hAnsi="Arial" w:cs="Times New Roman"/>
      <w:sz w:val="28"/>
      <w:szCs w:val="28"/>
      <w:lang w:val="uk-UA" w:eastAsia="uk-UA"/>
    </w:rPr>
  </w:style>
  <w:style w:type="character" w:styleId="a5">
    <w:name w:val="page number"/>
    <w:basedOn w:val="a0"/>
    <w:uiPriority w:val="99"/>
    <w:rsid w:val="009D0FEF"/>
    <w:rPr>
      <w:rFonts w:cs="Times New Roman"/>
    </w:rPr>
  </w:style>
  <w:style w:type="paragraph" w:styleId="a6">
    <w:name w:val="footer"/>
    <w:basedOn w:val="a"/>
    <w:link w:val="a7"/>
    <w:uiPriority w:val="99"/>
    <w:rsid w:val="009D0FEF"/>
    <w:pPr>
      <w:tabs>
        <w:tab w:val="center" w:pos="4677"/>
        <w:tab w:val="right" w:pos="9355"/>
      </w:tabs>
    </w:pPr>
    <w:rPr>
      <w:rFonts w:cs="Times New Roman"/>
    </w:rPr>
  </w:style>
  <w:style w:type="character" w:customStyle="1" w:styleId="a7">
    <w:name w:val="Нижний колонтитул Знак"/>
    <w:basedOn w:val="a0"/>
    <w:link w:val="a6"/>
    <w:uiPriority w:val="99"/>
    <w:rsid w:val="009D0FEF"/>
    <w:rPr>
      <w:rFonts w:ascii="Arial" w:eastAsia="Times New Roman" w:hAnsi="Arial" w:cs="Times New Roman"/>
      <w:sz w:val="28"/>
      <w:szCs w:val="28"/>
      <w:lang w:val="uk-UA" w:eastAsia="uk-UA"/>
    </w:rPr>
  </w:style>
  <w:style w:type="paragraph" w:customStyle="1" w:styleId="rvps2">
    <w:name w:val="rvps2"/>
    <w:basedOn w:val="a"/>
    <w:rsid w:val="009D0FEF"/>
    <w:pPr>
      <w:spacing w:before="100" w:beforeAutospacing="1" w:after="100" w:afterAutospacing="1"/>
    </w:pPr>
    <w:rPr>
      <w:rFonts w:ascii="Times New Roman" w:hAnsi="Times New Roman" w:cs="Times New Roman"/>
      <w:sz w:val="24"/>
      <w:szCs w:val="24"/>
    </w:rPr>
  </w:style>
  <w:style w:type="paragraph" w:customStyle="1" w:styleId="rvps7">
    <w:name w:val="rvps7"/>
    <w:basedOn w:val="a"/>
    <w:rsid w:val="009D0FEF"/>
    <w:pPr>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8B60E6"/>
    <w:rPr>
      <w:rFonts w:ascii="Tahoma" w:hAnsi="Tahoma" w:cs="Tahoma"/>
      <w:sz w:val="16"/>
      <w:szCs w:val="16"/>
    </w:rPr>
  </w:style>
  <w:style w:type="character" w:customStyle="1" w:styleId="a9">
    <w:name w:val="Текст выноски Знак"/>
    <w:basedOn w:val="a0"/>
    <w:link w:val="a8"/>
    <w:uiPriority w:val="99"/>
    <w:semiHidden/>
    <w:rsid w:val="008B60E6"/>
    <w:rPr>
      <w:rFonts w:ascii="Tahoma" w:eastAsia="Times New Roman" w:hAnsi="Tahoma" w:cs="Tahoma"/>
      <w:sz w:val="16"/>
      <w:szCs w:val="16"/>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12145</Words>
  <Characters>6923</Characters>
  <Application>Microsoft Office Word</Application>
  <DocSecurity>0</DocSecurity>
  <Lines>57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SECRETARIAT</Company>
  <LinksUpToDate>false</LinksUpToDate>
  <CharactersWithSpaces>19030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internet</dc:creator>
  <cp:lastModifiedBy>User1</cp:lastModifiedBy>
  <cp:revision>2</cp:revision>
  <cp:lastPrinted>2019-07-10T11:45:00Z</cp:lastPrinted>
  <dcterms:created xsi:type="dcterms:W3CDTF">2019-07-10T12:21:00Z</dcterms:created>
  <dcterms:modified xsi:type="dcterms:W3CDTF">2019-07-10T12:21:00Z</dcterms:modified>
</cp:coreProperties>
</file>