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3CF" w:rsidRPr="00924BF4" w:rsidRDefault="000B73CF" w:rsidP="000B73CF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>ВИСНОВОК</w:t>
      </w:r>
    </w:p>
    <w:p w:rsidR="000B73CF" w:rsidRPr="00885C95" w:rsidRDefault="000B73CF" w:rsidP="000B73CF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 xml:space="preserve">Комітету Верховної Ради України з питань </w:t>
      </w:r>
      <w:r w:rsidR="001F4685" w:rsidRPr="001F4685">
        <w:rPr>
          <w:b/>
          <w:sz w:val="28"/>
          <w:szCs w:val="28"/>
        </w:rPr>
        <w:t xml:space="preserve">інтеграції України з Європейським Союзом </w:t>
      </w:r>
      <w:r w:rsidRPr="00924BF4">
        <w:rPr>
          <w:b/>
          <w:sz w:val="28"/>
          <w:szCs w:val="28"/>
        </w:rPr>
        <w:t xml:space="preserve">щодо проекту Закону України </w:t>
      </w:r>
      <w:r w:rsidRPr="00885C95">
        <w:rPr>
          <w:b/>
          <w:sz w:val="28"/>
          <w:szCs w:val="28"/>
        </w:rPr>
        <w:t xml:space="preserve">«Про внесення змін до </w:t>
      </w:r>
      <w:r>
        <w:rPr>
          <w:b/>
          <w:sz w:val="28"/>
          <w:szCs w:val="28"/>
        </w:rPr>
        <w:t>деяких законодавчих актів України щодо вдосконалення охорони прав на компонування напівпровідникових виробів</w:t>
      </w:r>
      <w:r w:rsidRPr="00885C95">
        <w:rPr>
          <w:b/>
          <w:sz w:val="28"/>
          <w:szCs w:val="28"/>
        </w:rPr>
        <w:t>»</w:t>
      </w:r>
    </w:p>
    <w:p w:rsidR="000B73CF" w:rsidRPr="00924BF4" w:rsidRDefault="000B73CF" w:rsidP="000B73CF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 xml:space="preserve">(реєстр. № </w:t>
      </w:r>
      <w:r w:rsidR="00691666">
        <w:rPr>
          <w:b/>
          <w:sz w:val="28"/>
          <w:szCs w:val="28"/>
        </w:rPr>
        <w:t>1062</w:t>
      </w:r>
      <w:r w:rsidRPr="00924BF4">
        <w:rPr>
          <w:b/>
          <w:sz w:val="28"/>
          <w:szCs w:val="28"/>
        </w:rPr>
        <w:t xml:space="preserve"> від </w:t>
      </w:r>
      <w:r w:rsidR="00691666">
        <w:rPr>
          <w:b/>
          <w:sz w:val="28"/>
          <w:szCs w:val="28"/>
        </w:rPr>
        <w:t>29</w:t>
      </w:r>
      <w:r w:rsidRPr="00924BF4">
        <w:rPr>
          <w:b/>
          <w:sz w:val="28"/>
          <w:szCs w:val="28"/>
        </w:rPr>
        <w:t>.0</w:t>
      </w:r>
      <w:r w:rsidR="00691666">
        <w:rPr>
          <w:b/>
          <w:sz w:val="28"/>
          <w:szCs w:val="28"/>
        </w:rPr>
        <w:t>8</w:t>
      </w:r>
      <w:r w:rsidRPr="00924BF4">
        <w:rPr>
          <w:b/>
          <w:sz w:val="28"/>
          <w:szCs w:val="28"/>
        </w:rPr>
        <w:t>.201</w:t>
      </w:r>
      <w:r w:rsidR="00691666">
        <w:rPr>
          <w:b/>
          <w:sz w:val="28"/>
          <w:szCs w:val="28"/>
        </w:rPr>
        <w:t>9</w:t>
      </w:r>
      <w:r w:rsidRPr="00924BF4">
        <w:rPr>
          <w:b/>
          <w:sz w:val="28"/>
          <w:szCs w:val="28"/>
        </w:rPr>
        <w:t xml:space="preserve"> р., </w:t>
      </w:r>
      <w:proofErr w:type="spellStart"/>
      <w:r w:rsidR="00691666">
        <w:rPr>
          <w:b/>
          <w:sz w:val="28"/>
          <w:szCs w:val="28"/>
        </w:rPr>
        <w:t>н.д</w:t>
      </w:r>
      <w:proofErr w:type="spellEnd"/>
      <w:r w:rsidR="00691666">
        <w:rPr>
          <w:b/>
          <w:sz w:val="28"/>
          <w:szCs w:val="28"/>
        </w:rPr>
        <w:t>. Р. Підласа та інші</w:t>
      </w:r>
      <w:r w:rsidRPr="00924BF4">
        <w:rPr>
          <w:b/>
          <w:sz w:val="28"/>
          <w:szCs w:val="28"/>
        </w:rPr>
        <w:t>)</w:t>
      </w:r>
    </w:p>
    <w:p w:rsidR="000B73CF" w:rsidRDefault="000B73CF" w:rsidP="000B73CF">
      <w:pPr>
        <w:ind w:firstLine="567"/>
        <w:jc w:val="center"/>
        <w:rPr>
          <w:b/>
          <w:sz w:val="28"/>
          <w:szCs w:val="28"/>
        </w:rPr>
      </w:pPr>
    </w:p>
    <w:p w:rsidR="000B73CF" w:rsidRPr="00924BF4" w:rsidRDefault="000B73CF" w:rsidP="000B73CF">
      <w:pPr>
        <w:numPr>
          <w:ilvl w:val="0"/>
          <w:numId w:val="1"/>
        </w:numPr>
        <w:autoSpaceDE/>
        <w:autoSpaceDN/>
        <w:jc w:val="both"/>
        <w:rPr>
          <w:b/>
          <w:bCs/>
          <w:sz w:val="28"/>
          <w:szCs w:val="28"/>
        </w:rPr>
      </w:pPr>
      <w:r w:rsidRPr="00924BF4">
        <w:rPr>
          <w:b/>
          <w:bCs/>
          <w:sz w:val="28"/>
          <w:szCs w:val="28"/>
        </w:rPr>
        <w:t>Загальна характеристика законопроекту.</w:t>
      </w:r>
    </w:p>
    <w:p w:rsidR="00170CDF" w:rsidRDefault="00170CDF" w:rsidP="00170CDF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76248">
        <w:rPr>
          <w:rFonts w:ascii="Times New Roman" w:hAnsi="Times New Roman"/>
          <w:color w:val="000000"/>
          <w:sz w:val="28"/>
          <w:szCs w:val="28"/>
          <w:lang w:val="uk-UA"/>
        </w:rPr>
        <w:t>Метою проекту Закону, згідно з пояснювальною запискою, є 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на компонування (топографії) інтегральних мікросхем із правом Європейського Союзу.</w:t>
      </w:r>
    </w:p>
    <w:p w:rsidR="00170CDF" w:rsidRDefault="00170CDF" w:rsidP="00170CDF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роект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ропонується шляхом внесення змін до Цивільного кодексу України, Закону України «Про охорону прав на топографії інтегральних мікросхем» та Декрету Кабінету Міністрів України «Про державне мито»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: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надати нове визначення термінів «компонування напівпровідникового виробу», «напівпровідниковий виріб»; уточнити умови надання правової охорони та умови </w:t>
      </w:r>
      <w:proofErr w:type="spellStart"/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охороноздатності</w:t>
      </w:r>
      <w:proofErr w:type="spellEnd"/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компонування напівпровідникового виробу; переглянути вимоги до заявки на реєстрацію; удосконалити порядок проведення експертизи заявок; уточнити перелік прав та обов’язків, що випливають з державної реєстрації компонув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ання напівпровідникового виробу.</w:t>
      </w:r>
    </w:p>
    <w:p w:rsidR="00F26E47" w:rsidRDefault="00F26E47" w:rsidP="00170CDF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B73CF" w:rsidRPr="00924BF4" w:rsidRDefault="000B73CF" w:rsidP="000B73CF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924BF4">
        <w:rPr>
          <w:rFonts w:eastAsia="Verdana"/>
          <w:b/>
          <w:bCs/>
          <w:sz w:val="28"/>
          <w:szCs w:val="28"/>
        </w:rPr>
        <w:t>2.  </w:t>
      </w:r>
      <w:r w:rsidRPr="00924BF4">
        <w:rPr>
          <w:b/>
          <w:bCs/>
          <w:sz w:val="28"/>
          <w:szCs w:val="28"/>
        </w:rPr>
        <w:t>Належність законопроекту за предметом правового регулювання до сфери дії права Європейського Союзу.</w:t>
      </w:r>
    </w:p>
    <w:p w:rsidR="00170CDF" w:rsidRDefault="009A22FE" w:rsidP="00170CDF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="00170CDF" w:rsidRPr="00885C95">
        <w:rPr>
          <w:rFonts w:ascii="Times New Roman" w:hAnsi="Times New Roman"/>
          <w:color w:val="000000"/>
          <w:sz w:val="28"/>
          <w:szCs w:val="28"/>
          <w:lang w:val="uk-UA"/>
        </w:rPr>
        <w:t>редмет правового регулювання законопроекту охоплюється положеннями Глави 9 «Інтелектуальна власність» Розділу ІV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0B73CF" w:rsidRDefault="00170CDF" w:rsidP="00170CDF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В Європейському Союзі правовідносини, які є предметом правового регулювання проекту Закону, регулюються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70CDF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Директивою Ради 87/54/ЄЕС від 16 грудня 1986 р. про правову охорону </w:t>
      </w:r>
      <w:proofErr w:type="spellStart"/>
      <w:r w:rsidRPr="00170CDF">
        <w:rPr>
          <w:rFonts w:ascii="Times New Roman" w:hAnsi="Times New Roman"/>
          <w:i/>
          <w:color w:val="000000"/>
          <w:sz w:val="28"/>
          <w:szCs w:val="28"/>
          <w:lang w:val="uk-UA"/>
        </w:rPr>
        <w:t>топографій</w:t>
      </w:r>
      <w:proofErr w:type="spellEnd"/>
      <w:r w:rsidRPr="00170CDF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напівпровідникових виробів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(</w:t>
      </w:r>
      <w:proofErr w:type="spellStart"/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>Official</w:t>
      </w:r>
      <w:proofErr w:type="spellEnd"/>
      <w:r w:rsidRPr="003362A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>Journal</w:t>
      </w:r>
      <w:proofErr w:type="spellEnd"/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L 24, 27.01.1987 р., 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>. 36</w:t>
      </w:r>
      <w:r w:rsidRPr="00F41386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40) 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(далі – Директива 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87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/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54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/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Е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ЄС).</w:t>
      </w:r>
    </w:p>
    <w:p w:rsidR="000B73CF" w:rsidRPr="00DF659D" w:rsidRDefault="000B73CF" w:rsidP="000B73CF">
      <w:pPr>
        <w:spacing w:before="360"/>
        <w:ind w:firstLine="567"/>
        <w:jc w:val="both"/>
        <w:rPr>
          <w:b/>
          <w:sz w:val="28"/>
          <w:szCs w:val="28"/>
        </w:rPr>
      </w:pPr>
      <w:r w:rsidRPr="00DF659D">
        <w:rPr>
          <w:rFonts w:eastAsia="Verdana"/>
          <w:b/>
          <w:bCs/>
          <w:sz w:val="28"/>
          <w:szCs w:val="28"/>
        </w:rPr>
        <w:t>3.  </w:t>
      </w:r>
      <w:r w:rsidRPr="00DF659D">
        <w:rPr>
          <w:b/>
          <w:sz w:val="28"/>
          <w:szCs w:val="28"/>
        </w:rPr>
        <w:t>Відповідність законопроекту праву ЄС.</w:t>
      </w:r>
    </w:p>
    <w:p w:rsidR="00FE0EBB" w:rsidRDefault="00705026" w:rsidP="00F26E47">
      <w:pPr>
        <w:spacing w:before="120"/>
        <w:ind w:firstLine="567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MS Mincho"/>
          <w:color w:val="000000" w:themeColor="text1"/>
          <w:sz w:val="28"/>
          <w:szCs w:val="28"/>
          <w:lang w:eastAsia="en-US"/>
        </w:rPr>
        <w:t>З</w:t>
      </w:r>
      <w:r w:rsidR="00FE0EBB" w:rsidRPr="003636C0">
        <w:rPr>
          <w:rFonts w:eastAsia="MS Mincho"/>
          <w:color w:val="000000" w:themeColor="text1"/>
          <w:sz w:val="28"/>
          <w:szCs w:val="28"/>
          <w:lang w:eastAsia="en-US"/>
        </w:rPr>
        <w:t>акон</w:t>
      </w:r>
      <w:r>
        <w:rPr>
          <w:rFonts w:eastAsia="MS Mincho"/>
          <w:color w:val="000000" w:themeColor="text1"/>
          <w:sz w:val="28"/>
          <w:szCs w:val="28"/>
          <w:lang w:eastAsia="en-US"/>
        </w:rPr>
        <w:t>опроект</w:t>
      </w:r>
      <w:r w:rsidR="00FE0EBB" w:rsidRPr="003636C0">
        <w:rPr>
          <w:rFonts w:eastAsia="MS Mincho"/>
          <w:color w:val="000000" w:themeColor="text1"/>
          <w:sz w:val="28"/>
          <w:szCs w:val="28"/>
          <w:lang w:eastAsia="en-US"/>
        </w:rPr>
        <w:t xml:space="preserve"> не суперечить праву Європейського Союзу та зобов’язанням України відповідно до Угоди про асоціацію</w:t>
      </w:r>
      <w:r w:rsidR="00FE0EBB" w:rsidRPr="003636C0">
        <w:rPr>
          <w:rFonts w:eastAsia="Calibri"/>
          <w:color w:val="000000" w:themeColor="text1"/>
          <w:sz w:val="28"/>
          <w:szCs w:val="28"/>
          <w:lang w:eastAsia="en-US"/>
        </w:rPr>
        <w:t xml:space="preserve">. </w:t>
      </w:r>
    </w:p>
    <w:p w:rsidR="00FE0EBB" w:rsidRDefault="00705026" w:rsidP="00F26E47">
      <w:pPr>
        <w:ind w:firstLine="567"/>
        <w:jc w:val="both"/>
        <w:rPr>
          <w:color w:val="000000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Проектом Закону пропонується внести </w:t>
      </w:r>
      <w:r w:rsidR="00FE0EBB">
        <w:rPr>
          <w:rFonts w:eastAsia="Calibri"/>
          <w:color w:val="000000" w:themeColor="text1"/>
          <w:sz w:val="28"/>
          <w:szCs w:val="28"/>
          <w:lang w:eastAsia="en-US"/>
        </w:rPr>
        <w:t>зміни відповідно до Директиви</w:t>
      </w:r>
      <w:r>
        <w:rPr>
          <w:rFonts w:eastAsia="Calibri"/>
          <w:color w:val="000000" w:themeColor="text1"/>
          <w:sz w:val="28"/>
          <w:szCs w:val="28"/>
          <w:lang w:eastAsia="en-US"/>
        </w:rPr>
        <w:t> </w:t>
      </w:r>
      <w:r w:rsidR="00FE0EBB">
        <w:rPr>
          <w:color w:val="000000"/>
          <w:sz w:val="28"/>
          <w:szCs w:val="28"/>
        </w:rPr>
        <w:t>87</w:t>
      </w:r>
      <w:r w:rsidR="00FE0EBB" w:rsidRPr="00885C95">
        <w:rPr>
          <w:color w:val="000000"/>
          <w:sz w:val="28"/>
          <w:szCs w:val="28"/>
        </w:rPr>
        <w:t>/</w:t>
      </w:r>
      <w:r w:rsidR="00FE0EBB">
        <w:rPr>
          <w:color w:val="000000"/>
          <w:sz w:val="28"/>
          <w:szCs w:val="28"/>
        </w:rPr>
        <w:t>54</w:t>
      </w:r>
      <w:r w:rsidR="00FE0EBB" w:rsidRPr="00885C95">
        <w:rPr>
          <w:color w:val="000000"/>
          <w:sz w:val="28"/>
          <w:szCs w:val="28"/>
        </w:rPr>
        <w:t>/</w:t>
      </w:r>
      <w:r w:rsidR="00FE0EBB">
        <w:rPr>
          <w:color w:val="000000"/>
          <w:sz w:val="28"/>
          <w:szCs w:val="28"/>
        </w:rPr>
        <w:t>Е</w:t>
      </w:r>
      <w:r w:rsidR="00FE0EBB" w:rsidRPr="00885C95">
        <w:rPr>
          <w:color w:val="000000"/>
          <w:sz w:val="28"/>
          <w:szCs w:val="28"/>
        </w:rPr>
        <w:t>ЄС</w:t>
      </w:r>
      <w:r w:rsidR="00FE0EBB">
        <w:rPr>
          <w:color w:val="000000"/>
          <w:sz w:val="28"/>
          <w:szCs w:val="28"/>
        </w:rPr>
        <w:t xml:space="preserve"> та статей 224 – 227 Угоди про асоціацію. </w:t>
      </w:r>
    </w:p>
    <w:p w:rsidR="00FE0EBB" w:rsidRDefault="00FE0EBB" w:rsidP="00F26E47">
      <w:pPr>
        <w:ind w:firstLine="567"/>
        <w:jc w:val="both"/>
        <w:rPr>
          <w:rFonts w:eastAsia="MS Mincho"/>
          <w:color w:val="FF0000"/>
          <w:sz w:val="28"/>
          <w:szCs w:val="28"/>
          <w:lang w:eastAsia="en-US"/>
        </w:rPr>
      </w:pPr>
      <w:r w:rsidRPr="003636C0">
        <w:rPr>
          <w:rFonts w:eastAsia="MS Mincho"/>
          <w:color w:val="000000" w:themeColor="text1"/>
          <w:sz w:val="28"/>
          <w:szCs w:val="28"/>
          <w:lang w:eastAsia="en-US"/>
        </w:rPr>
        <w:t>Так,</w:t>
      </w:r>
      <w:r>
        <w:rPr>
          <w:rFonts w:eastAsia="MS Mincho"/>
          <w:color w:val="000000" w:themeColor="text1"/>
          <w:sz w:val="28"/>
          <w:szCs w:val="28"/>
          <w:lang w:eastAsia="en-US"/>
        </w:rPr>
        <w:t xml:space="preserve"> у проекті Закону назва об’єкта права інтелектуальної власності з «компонування (топографії) інтегральних мікросхем» змінюється на </w:t>
      </w:r>
      <w:r>
        <w:rPr>
          <w:rFonts w:eastAsia="MS Mincho"/>
          <w:color w:val="000000" w:themeColor="text1"/>
          <w:sz w:val="28"/>
          <w:szCs w:val="28"/>
          <w:lang w:eastAsia="en-US"/>
        </w:rPr>
        <w:lastRenderedPageBreak/>
        <w:t>«компонування напівпровідникових виробів», а також вводяться нові терміни «</w:t>
      </w:r>
      <w:r w:rsidRPr="00911A8F">
        <w:rPr>
          <w:color w:val="000000"/>
          <w:sz w:val="28"/>
          <w:szCs w:val="28"/>
        </w:rPr>
        <w:t>компонування напівпровідникового виробу», «напівпровідниковий виріб»</w:t>
      </w:r>
      <w:r>
        <w:rPr>
          <w:rFonts w:eastAsia="MS Mincho"/>
          <w:color w:val="000000" w:themeColor="text1"/>
          <w:sz w:val="28"/>
          <w:szCs w:val="28"/>
          <w:lang w:eastAsia="en-US"/>
        </w:rPr>
        <w:t xml:space="preserve"> що відповідає положенням 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Директиви </w:t>
      </w:r>
      <w:r>
        <w:rPr>
          <w:color w:val="000000"/>
          <w:sz w:val="28"/>
          <w:szCs w:val="28"/>
        </w:rPr>
        <w:t>87</w:t>
      </w:r>
      <w:r w:rsidRPr="00885C9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54</w:t>
      </w:r>
      <w:r w:rsidRPr="00885C9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Е</w:t>
      </w:r>
      <w:r w:rsidRPr="00885C95">
        <w:rPr>
          <w:color w:val="000000"/>
          <w:sz w:val="28"/>
          <w:szCs w:val="28"/>
        </w:rPr>
        <w:t>ЄС</w:t>
      </w:r>
      <w:r>
        <w:rPr>
          <w:color w:val="000000"/>
          <w:sz w:val="28"/>
          <w:szCs w:val="28"/>
        </w:rPr>
        <w:t xml:space="preserve"> (частина перша статті 1)  та положенням Угоди про асоціацію (стаття 224). </w:t>
      </w:r>
      <w:r>
        <w:rPr>
          <w:rFonts w:eastAsia="MS Mincho"/>
          <w:color w:val="000000" w:themeColor="text1"/>
          <w:sz w:val="28"/>
          <w:szCs w:val="28"/>
          <w:lang w:eastAsia="en-US"/>
        </w:rPr>
        <w:t xml:space="preserve">     </w:t>
      </w:r>
      <w:r>
        <w:rPr>
          <w:rFonts w:eastAsia="MS Mincho"/>
          <w:color w:val="FF0000"/>
          <w:sz w:val="28"/>
          <w:szCs w:val="28"/>
          <w:lang w:eastAsia="en-US"/>
        </w:rPr>
        <w:t xml:space="preserve"> </w:t>
      </w:r>
    </w:p>
    <w:p w:rsidR="00FE0EBB" w:rsidRDefault="00FE0EBB" w:rsidP="00F26E47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Законопроектом пропонується доповнити </w:t>
      </w:r>
      <w:r w:rsidRPr="00911A8F">
        <w:rPr>
          <w:color w:val="000000"/>
          <w:sz w:val="28"/>
          <w:szCs w:val="28"/>
        </w:rPr>
        <w:t>Закон України «Про охорону прав на топографії інтегральних мікросхем»</w:t>
      </w:r>
      <w:r>
        <w:rPr>
          <w:color w:val="000000"/>
          <w:sz w:val="28"/>
          <w:szCs w:val="28"/>
        </w:rPr>
        <w:t xml:space="preserve"> положенням, згідно якого </w:t>
      </w:r>
      <w:r w:rsidRPr="00F679C7">
        <w:rPr>
          <w:color w:val="000000"/>
          <w:sz w:val="28"/>
          <w:szCs w:val="28"/>
        </w:rPr>
        <w:t>не визнається порушенням прав, що надаються реєстрацією компонування, використання зареєстрованого компонування шляхом його відтворення з метою аналізу, оцінки або вивчення концепцій, процесів, систем чи методів, втілених у компонуванні, або самого компонування.</w:t>
      </w:r>
      <w:r>
        <w:rPr>
          <w:color w:val="000000"/>
          <w:sz w:val="28"/>
          <w:szCs w:val="28"/>
        </w:rPr>
        <w:t xml:space="preserve"> Таке доповнення чинної редакції </w:t>
      </w:r>
      <w:r w:rsidRPr="00911A8F">
        <w:rPr>
          <w:color w:val="000000"/>
          <w:sz w:val="28"/>
          <w:szCs w:val="28"/>
        </w:rPr>
        <w:t>Закон</w:t>
      </w:r>
      <w:r>
        <w:rPr>
          <w:color w:val="000000"/>
          <w:sz w:val="28"/>
          <w:szCs w:val="28"/>
        </w:rPr>
        <w:t>у</w:t>
      </w:r>
      <w:r w:rsidRPr="00911A8F">
        <w:rPr>
          <w:color w:val="000000"/>
          <w:sz w:val="28"/>
          <w:szCs w:val="28"/>
        </w:rPr>
        <w:t xml:space="preserve"> України «Про охорону прав на топографії інтегральних мікросхем»</w:t>
      </w:r>
      <w:r>
        <w:rPr>
          <w:color w:val="000000"/>
          <w:sz w:val="28"/>
          <w:szCs w:val="28"/>
        </w:rPr>
        <w:t xml:space="preserve"> відповідає положенням, закріпленим частиною третьою статті 5 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Директиви </w:t>
      </w:r>
      <w:r>
        <w:rPr>
          <w:color w:val="000000"/>
          <w:sz w:val="28"/>
          <w:szCs w:val="28"/>
        </w:rPr>
        <w:t>87</w:t>
      </w:r>
      <w:r w:rsidRPr="00885C9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54</w:t>
      </w:r>
      <w:r w:rsidRPr="00885C9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Е</w:t>
      </w:r>
      <w:r w:rsidRPr="00885C95">
        <w:rPr>
          <w:color w:val="000000"/>
          <w:sz w:val="28"/>
          <w:szCs w:val="28"/>
        </w:rPr>
        <w:t>ЄС</w:t>
      </w:r>
      <w:r>
        <w:rPr>
          <w:color w:val="000000"/>
          <w:sz w:val="28"/>
          <w:szCs w:val="28"/>
        </w:rPr>
        <w:t xml:space="preserve"> та частиною другою статті 226 Угоди про асоціацію.</w:t>
      </w:r>
    </w:p>
    <w:p w:rsidR="000B73CF" w:rsidRDefault="00FE0EBB" w:rsidP="00F26E47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 xml:space="preserve">Проектом Закону також пропонується внести зміни до частини другої статті 475 Цивільного кодексу України, передбачивши новий підхід до розрахунку строку чинності </w:t>
      </w:r>
      <w:r w:rsidRPr="002238B1">
        <w:rPr>
          <w:sz w:val="28"/>
          <w:szCs w:val="28"/>
        </w:rPr>
        <w:t xml:space="preserve">виключних майнових прав інтелектуальної власності на компонування </w:t>
      </w:r>
      <w:r w:rsidRPr="00892668">
        <w:rPr>
          <w:sz w:val="28"/>
          <w:szCs w:val="28"/>
        </w:rPr>
        <w:t>напівпровідникового виробу</w:t>
      </w:r>
      <w:r>
        <w:rPr>
          <w:sz w:val="28"/>
          <w:szCs w:val="28"/>
        </w:rPr>
        <w:t xml:space="preserve">. Так, зазначено, що цей строк спливає </w:t>
      </w:r>
      <w:r w:rsidRPr="002238B1">
        <w:rPr>
          <w:sz w:val="28"/>
          <w:szCs w:val="28"/>
        </w:rPr>
        <w:t xml:space="preserve">через десять років, що </w:t>
      </w:r>
      <w:proofErr w:type="spellStart"/>
      <w:r w:rsidRPr="002238B1">
        <w:rPr>
          <w:sz w:val="28"/>
          <w:szCs w:val="28"/>
        </w:rPr>
        <w:t>відліковуються</w:t>
      </w:r>
      <w:proofErr w:type="spellEnd"/>
      <w:r w:rsidRPr="002238B1">
        <w:rPr>
          <w:sz w:val="28"/>
          <w:szCs w:val="28"/>
        </w:rPr>
        <w:t xml:space="preserve"> від </w:t>
      </w:r>
      <w:r w:rsidRPr="00892668">
        <w:rPr>
          <w:sz w:val="28"/>
          <w:szCs w:val="28"/>
        </w:rPr>
        <w:t>найбільш ранньої з таких дат: закінчення календарного року, в якому компонування було вперше використане на комерційній основі будь-де у світі; або закінчення календарного року, в якому була подана належним чином оформлена заявка на державну реєстрацію.</w:t>
      </w:r>
      <w:r>
        <w:rPr>
          <w:sz w:val="28"/>
          <w:szCs w:val="28"/>
        </w:rPr>
        <w:t xml:space="preserve"> Такий підхід відповідає положенням частини третьої статті 7 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Директиви </w:t>
      </w:r>
      <w:r>
        <w:rPr>
          <w:color w:val="000000"/>
          <w:sz w:val="28"/>
          <w:szCs w:val="28"/>
        </w:rPr>
        <w:t>87</w:t>
      </w:r>
      <w:r w:rsidRPr="00885C9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54</w:t>
      </w:r>
      <w:r w:rsidRPr="00885C95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Е</w:t>
      </w:r>
      <w:r w:rsidRPr="00885C95">
        <w:rPr>
          <w:color w:val="000000"/>
          <w:sz w:val="28"/>
          <w:szCs w:val="28"/>
        </w:rPr>
        <w:t>ЄС</w:t>
      </w:r>
      <w:r>
        <w:rPr>
          <w:color w:val="000000"/>
          <w:sz w:val="28"/>
          <w:szCs w:val="28"/>
        </w:rPr>
        <w:t xml:space="preserve"> та статті 227 Угоди про асоціацію.</w:t>
      </w:r>
    </w:p>
    <w:p w:rsidR="000B73CF" w:rsidRPr="00885C95" w:rsidRDefault="000B73CF" w:rsidP="000B73CF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</w:p>
    <w:p w:rsidR="000B73CF" w:rsidRPr="001F4685" w:rsidRDefault="000B73CF" w:rsidP="000B73CF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EF22F1">
        <w:rPr>
          <w:sz w:val="28"/>
          <w:szCs w:val="28"/>
        </w:rPr>
        <w:t xml:space="preserve"> </w:t>
      </w:r>
      <w:r w:rsidRPr="00EF22F1">
        <w:rPr>
          <w:rFonts w:eastAsia="Verdana"/>
          <w:b/>
          <w:bCs/>
          <w:sz w:val="28"/>
          <w:szCs w:val="28"/>
        </w:rPr>
        <w:t>4.</w:t>
      </w:r>
      <w:r w:rsidRPr="00EF22F1">
        <w:rPr>
          <w:rFonts w:eastAsia="Verdana"/>
          <w:bCs/>
          <w:sz w:val="28"/>
          <w:szCs w:val="28"/>
        </w:rPr>
        <w:t>   </w:t>
      </w:r>
      <w:r w:rsidRPr="00EF22F1">
        <w:rPr>
          <w:b/>
          <w:sz w:val="28"/>
          <w:szCs w:val="28"/>
        </w:rPr>
        <w:t xml:space="preserve">Висновок Комітету з питань </w:t>
      </w:r>
      <w:r w:rsidR="001F4685" w:rsidRPr="001F4685">
        <w:rPr>
          <w:b/>
          <w:sz w:val="28"/>
          <w:szCs w:val="28"/>
        </w:rPr>
        <w:t>інтеграції України з Європейським Союзом</w:t>
      </w:r>
      <w:r w:rsidRPr="00EF22F1">
        <w:rPr>
          <w:b/>
          <w:sz w:val="28"/>
          <w:szCs w:val="28"/>
        </w:rPr>
        <w:t xml:space="preserve">. </w:t>
      </w:r>
    </w:p>
    <w:p w:rsidR="001E3467" w:rsidRPr="001E3467" w:rsidRDefault="000B73CF" w:rsidP="001E3467">
      <w:pPr>
        <w:ind w:firstLine="567"/>
        <w:jc w:val="both"/>
        <w:rPr>
          <w:rFonts w:eastAsia="MS Mincho"/>
          <w:sz w:val="28"/>
          <w:szCs w:val="28"/>
          <w:lang w:eastAsia="en-US"/>
        </w:rPr>
      </w:pPr>
      <w:r w:rsidRPr="00EF22F1">
        <w:rPr>
          <w:rFonts w:eastAsia="MS Mincho"/>
          <w:sz w:val="28"/>
          <w:szCs w:val="28"/>
          <w:lang w:eastAsia="en-US"/>
        </w:rPr>
        <w:t xml:space="preserve">Проект Закону не </w:t>
      </w:r>
      <w:r w:rsidR="00FE0EBB">
        <w:rPr>
          <w:rFonts w:eastAsia="MS Mincho"/>
          <w:sz w:val="28"/>
          <w:szCs w:val="28"/>
          <w:lang w:eastAsia="en-US"/>
        </w:rPr>
        <w:t>суперечить</w:t>
      </w:r>
      <w:r w:rsidRPr="00EF22F1">
        <w:rPr>
          <w:rFonts w:eastAsia="MS Mincho"/>
          <w:sz w:val="28"/>
          <w:szCs w:val="28"/>
          <w:lang w:eastAsia="en-US"/>
        </w:rPr>
        <w:t xml:space="preserve"> праву </w:t>
      </w:r>
      <w:r w:rsidRPr="00885C95">
        <w:rPr>
          <w:rFonts w:eastAsia="MS Mincho"/>
          <w:sz w:val="28"/>
          <w:szCs w:val="28"/>
          <w:lang w:eastAsia="en-US"/>
        </w:rPr>
        <w:t>Європейського Союзу</w:t>
      </w:r>
      <w:r>
        <w:rPr>
          <w:rFonts w:eastAsia="MS Mincho"/>
          <w:sz w:val="28"/>
          <w:szCs w:val="28"/>
          <w:lang w:eastAsia="en-US"/>
        </w:rPr>
        <w:t xml:space="preserve"> та зобов’язанням України відповідно до Угоди про асоціацію</w:t>
      </w:r>
      <w:r w:rsidRPr="00EF22F1">
        <w:rPr>
          <w:rFonts w:eastAsia="MS Mincho"/>
          <w:sz w:val="28"/>
          <w:szCs w:val="28"/>
          <w:lang w:eastAsia="en-US"/>
        </w:rPr>
        <w:t>.</w:t>
      </w:r>
      <w:r w:rsidR="001E3467" w:rsidRPr="001E3467">
        <w:rPr>
          <w:rFonts w:eastAsia="MS Mincho"/>
          <w:sz w:val="28"/>
          <w:szCs w:val="28"/>
          <w:lang w:eastAsia="en-US"/>
        </w:rPr>
        <w:t xml:space="preserve"> </w:t>
      </w:r>
    </w:p>
    <w:p w:rsidR="001E3467" w:rsidRPr="001E3467" w:rsidRDefault="001E3467" w:rsidP="001E3467">
      <w:pPr>
        <w:ind w:firstLine="567"/>
        <w:jc w:val="both"/>
        <w:rPr>
          <w:rFonts w:eastAsia="MS Mincho"/>
          <w:sz w:val="28"/>
          <w:szCs w:val="28"/>
          <w:lang w:eastAsia="en-US"/>
        </w:rPr>
      </w:pPr>
      <w:r w:rsidRPr="001E3467">
        <w:rPr>
          <w:rFonts w:eastAsia="MS Mincho"/>
          <w:sz w:val="28"/>
          <w:szCs w:val="28"/>
          <w:lang w:eastAsia="en-US"/>
        </w:rPr>
        <w:t>Комітет з питань інтеграції України з Європейським Союзом пропонує головному комітету (Комітету з питань економічного розвитку) рекомендувати Ве</w:t>
      </w:r>
      <w:bookmarkStart w:id="0" w:name="_GoBack"/>
      <w:bookmarkEnd w:id="0"/>
      <w:r w:rsidRPr="001E3467">
        <w:rPr>
          <w:rFonts w:eastAsia="MS Mincho"/>
          <w:sz w:val="28"/>
          <w:szCs w:val="28"/>
          <w:lang w:eastAsia="en-US"/>
        </w:rPr>
        <w:t xml:space="preserve">рховній Раді України прийняти вищезазначений проект Закону </w:t>
      </w:r>
      <w:r>
        <w:rPr>
          <w:rFonts w:eastAsia="MS Mincho"/>
          <w:sz w:val="28"/>
          <w:szCs w:val="28"/>
          <w:lang w:eastAsia="en-US"/>
        </w:rPr>
        <w:t>за основу.</w:t>
      </w:r>
    </w:p>
    <w:p w:rsidR="000B73CF" w:rsidRDefault="000B73CF" w:rsidP="000B73CF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</w:p>
    <w:p w:rsidR="00CC4140" w:rsidRPr="001E3467" w:rsidRDefault="00CC4140" w:rsidP="000B73CF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</w:p>
    <w:sectPr w:rsidR="00CC4140" w:rsidRPr="001E3467" w:rsidSect="00FE0E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106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D33" w:rsidRDefault="00A91D33" w:rsidP="00170CDF">
      <w:r>
        <w:separator/>
      </w:r>
    </w:p>
  </w:endnote>
  <w:endnote w:type="continuationSeparator" w:id="0">
    <w:p w:rsidR="00A91D33" w:rsidRDefault="00A91D33" w:rsidP="0017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Default="005B62C1" w:rsidP="00083DD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3DD0" w:rsidRDefault="00A91D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Pr="00885C95" w:rsidRDefault="005B62C1" w:rsidP="00885C95">
    <w:pPr>
      <w:pStyle w:val="a5"/>
      <w:framePr w:wrap="around" w:vAnchor="text" w:hAnchor="page" w:x="6151" w:y="16"/>
      <w:rPr>
        <w:rStyle w:val="a7"/>
        <w:sz w:val="24"/>
        <w:szCs w:val="24"/>
      </w:rPr>
    </w:pPr>
    <w:r w:rsidRPr="00885C95">
      <w:rPr>
        <w:rStyle w:val="a7"/>
        <w:sz w:val="24"/>
        <w:szCs w:val="24"/>
      </w:rPr>
      <w:fldChar w:fldCharType="begin"/>
    </w:r>
    <w:r w:rsidRPr="00885C95">
      <w:rPr>
        <w:rStyle w:val="a7"/>
        <w:sz w:val="24"/>
        <w:szCs w:val="24"/>
      </w:rPr>
      <w:instrText xml:space="preserve">PAGE  </w:instrText>
    </w:r>
    <w:r w:rsidRPr="00885C95">
      <w:rPr>
        <w:rStyle w:val="a7"/>
        <w:sz w:val="24"/>
        <w:szCs w:val="24"/>
      </w:rPr>
      <w:fldChar w:fldCharType="separate"/>
    </w:r>
    <w:r w:rsidR="001E3467">
      <w:rPr>
        <w:rStyle w:val="a7"/>
        <w:noProof/>
        <w:sz w:val="24"/>
        <w:szCs w:val="24"/>
      </w:rPr>
      <w:t>2</w:t>
    </w:r>
    <w:r w:rsidRPr="00885C95">
      <w:rPr>
        <w:rStyle w:val="a7"/>
        <w:sz w:val="24"/>
        <w:szCs w:val="24"/>
      </w:rPr>
      <w:fldChar w:fldCharType="end"/>
    </w:r>
  </w:p>
  <w:p w:rsidR="00083DD0" w:rsidRDefault="00A91D3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6D3" w:rsidRDefault="006B66D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D33" w:rsidRDefault="00A91D33" w:rsidP="00170CDF">
      <w:r>
        <w:separator/>
      </w:r>
    </w:p>
  </w:footnote>
  <w:footnote w:type="continuationSeparator" w:id="0">
    <w:p w:rsidR="00A91D33" w:rsidRDefault="00A91D33" w:rsidP="00170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6D3" w:rsidRDefault="006B66D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6D3" w:rsidRDefault="006B66D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6D3" w:rsidRDefault="006B66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113BE"/>
    <w:multiLevelType w:val="hybridMultilevel"/>
    <w:tmpl w:val="7FFE9EDC"/>
    <w:lvl w:ilvl="0" w:tplc="47B8B57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3CF"/>
    <w:rsid w:val="000B73CF"/>
    <w:rsid w:val="00170CDF"/>
    <w:rsid w:val="001E3467"/>
    <w:rsid w:val="001F4685"/>
    <w:rsid w:val="002F3054"/>
    <w:rsid w:val="004B3EE2"/>
    <w:rsid w:val="005B62C1"/>
    <w:rsid w:val="00691666"/>
    <w:rsid w:val="006B66D3"/>
    <w:rsid w:val="00705026"/>
    <w:rsid w:val="009A22FE"/>
    <w:rsid w:val="009F4494"/>
    <w:rsid w:val="00A80560"/>
    <w:rsid w:val="00A91D33"/>
    <w:rsid w:val="00B6095F"/>
    <w:rsid w:val="00CC4140"/>
    <w:rsid w:val="00CD32C6"/>
    <w:rsid w:val="00CF1D55"/>
    <w:rsid w:val="00EB3458"/>
    <w:rsid w:val="00F26E47"/>
    <w:rsid w:val="00FC07A8"/>
    <w:rsid w:val="00FE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A9A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691666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0B73CF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header"/>
    <w:basedOn w:val="a"/>
    <w:link w:val="a4"/>
    <w:rsid w:val="000B73C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0B73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B73C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0B73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rsid w:val="000B73CF"/>
  </w:style>
  <w:style w:type="character" w:customStyle="1" w:styleId="eop">
    <w:name w:val="eop"/>
    <w:rsid w:val="000B73CF"/>
  </w:style>
  <w:style w:type="character" w:styleId="a8">
    <w:name w:val="Hyperlink"/>
    <w:uiPriority w:val="99"/>
    <w:unhideWhenUsed/>
    <w:rsid w:val="000B73CF"/>
    <w:rPr>
      <w:color w:val="0563C1"/>
      <w:u w:val="single"/>
    </w:rPr>
  </w:style>
  <w:style w:type="character" w:customStyle="1" w:styleId="20">
    <w:name w:val="Заголовок 2 Знак"/>
    <w:basedOn w:val="a0"/>
    <w:link w:val="2"/>
    <w:uiPriority w:val="9"/>
    <w:rsid w:val="0069166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7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2831</Words>
  <Characters>1614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2017-06-07T13:43:00Z</dcterms:created>
  <dcterms:modified xsi:type="dcterms:W3CDTF">2019-09-04T14:47:00Z</dcterms:modified>
</cp:coreProperties>
</file>