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4797" w:rsidRPr="0008204F" w:rsidRDefault="000E4797" w:rsidP="000E4797">
      <w:pPr>
        <w:ind w:right="85"/>
        <w:jc w:val="right"/>
        <w:rPr>
          <w:noProof w:val="0"/>
        </w:rPr>
      </w:pPr>
      <w:r w:rsidRPr="0008204F">
        <w:rPr>
          <w:noProof w:val="0"/>
        </w:rPr>
        <w:t xml:space="preserve">До реєстр. № </w:t>
      </w:r>
      <w:r>
        <w:rPr>
          <w:noProof w:val="0"/>
        </w:rPr>
        <w:t>2</w:t>
      </w:r>
      <w:r w:rsidR="00114A84">
        <w:rPr>
          <w:noProof w:val="0"/>
        </w:rPr>
        <w:t>042</w:t>
      </w:r>
      <w:r>
        <w:t xml:space="preserve"> від </w:t>
      </w:r>
      <w:r w:rsidR="00114A84">
        <w:t>03</w:t>
      </w:r>
      <w:r>
        <w:t>.0</w:t>
      </w:r>
      <w:r w:rsidR="00114A84">
        <w:t>9</w:t>
      </w:r>
      <w:r>
        <w:t>.201</w:t>
      </w:r>
      <w:r w:rsidRPr="009E14BB">
        <w:rPr>
          <w:lang w:val="ru-RU"/>
        </w:rPr>
        <w:t>9</w:t>
      </w:r>
    </w:p>
    <w:p w:rsidR="000E4797" w:rsidRPr="0008204F" w:rsidRDefault="000E4797" w:rsidP="000E4797">
      <w:pPr>
        <w:ind w:right="85"/>
        <w:jc w:val="right"/>
        <w:rPr>
          <w:noProof w:val="0"/>
        </w:rPr>
      </w:pPr>
      <w:r w:rsidRPr="0008204F">
        <w:rPr>
          <w:noProof w:val="0"/>
        </w:rPr>
        <w:t>(друге читання)</w:t>
      </w:r>
    </w:p>
    <w:p w:rsidR="000E4797" w:rsidRPr="0008204F" w:rsidRDefault="000E4797" w:rsidP="000E4797">
      <w:pPr>
        <w:jc w:val="center"/>
        <w:rPr>
          <w:noProof w:val="0"/>
          <w:sz w:val="28"/>
          <w:szCs w:val="28"/>
        </w:rPr>
      </w:pPr>
    </w:p>
    <w:p w:rsidR="000E4797" w:rsidRPr="0008204F" w:rsidRDefault="000E4797" w:rsidP="000E4797">
      <w:pPr>
        <w:jc w:val="center"/>
        <w:rPr>
          <w:noProof w:val="0"/>
          <w:sz w:val="28"/>
          <w:szCs w:val="28"/>
        </w:rPr>
      </w:pPr>
    </w:p>
    <w:p w:rsidR="000E4797" w:rsidRPr="0008204F" w:rsidRDefault="000E4797" w:rsidP="000E4797">
      <w:pPr>
        <w:jc w:val="center"/>
        <w:rPr>
          <w:noProof w:val="0"/>
          <w:sz w:val="28"/>
          <w:szCs w:val="28"/>
        </w:rPr>
      </w:pPr>
    </w:p>
    <w:p w:rsidR="000E4797" w:rsidRDefault="000E4797" w:rsidP="000E4797">
      <w:pPr>
        <w:jc w:val="center"/>
        <w:rPr>
          <w:noProof w:val="0"/>
          <w:sz w:val="28"/>
          <w:szCs w:val="28"/>
        </w:rPr>
      </w:pPr>
    </w:p>
    <w:p w:rsidR="000E4797" w:rsidRDefault="000E4797" w:rsidP="000E4797">
      <w:pPr>
        <w:jc w:val="center"/>
        <w:rPr>
          <w:noProof w:val="0"/>
          <w:sz w:val="28"/>
          <w:szCs w:val="28"/>
        </w:rPr>
      </w:pPr>
    </w:p>
    <w:p w:rsidR="000E4797" w:rsidRPr="0008204F" w:rsidRDefault="000E4797" w:rsidP="000E4797">
      <w:pPr>
        <w:jc w:val="center"/>
        <w:rPr>
          <w:noProof w:val="0"/>
          <w:sz w:val="28"/>
          <w:szCs w:val="28"/>
        </w:rPr>
      </w:pPr>
    </w:p>
    <w:p w:rsidR="000E4797" w:rsidRPr="0008204F" w:rsidRDefault="000E4797" w:rsidP="000E4797">
      <w:pPr>
        <w:jc w:val="center"/>
        <w:rPr>
          <w:noProof w:val="0"/>
          <w:sz w:val="28"/>
          <w:szCs w:val="28"/>
        </w:rPr>
      </w:pPr>
    </w:p>
    <w:p w:rsidR="000E4797" w:rsidRPr="0008204F" w:rsidRDefault="000E4797" w:rsidP="000E4797">
      <w:pPr>
        <w:jc w:val="center"/>
        <w:rPr>
          <w:noProof w:val="0"/>
          <w:sz w:val="28"/>
          <w:szCs w:val="28"/>
        </w:rPr>
      </w:pPr>
    </w:p>
    <w:p w:rsidR="000E4797" w:rsidRPr="00114A84" w:rsidRDefault="000E4797" w:rsidP="000E4797">
      <w:pPr>
        <w:spacing w:after="80"/>
        <w:jc w:val="center"/>
        <w:rPr>
          <w:b/>
          <w:noProof w:val="0"/>
          <w:sz w:val="28"/>
          <w:szCs w:val="28"/>
        </w:rPr>
      </w:pPr>
      <w:r w:rsidRPr="00114A84">
        <w:rPr>
          <w:b/>
          <w:sz w:val="28"/>
          <w:szCs w:val="28"/>
        </w:rPr>
        <w:t>ЗАУВАЖЕННЯ</w:t>
      </w:r>
      <w:r w:rsidRPr="00114A84">
        <w:rPr>
          <w:b/>
          <w:noProof w:val="0"/>
          <w:sz w:val="28"/>
          <w:szCs w:val="28"/>
        </w:rPr>
        <w:t xml:space="preserve"> </w:t>
      </w:r>
    </w:p>
    <w:p w:rsidR="000E4797" w:rsidRPr="00114A84" w:rsidRDefault="000E4797" w:rsidP="000E4797">
      <w:pPr>
        <w:jc w:val="center"/>
        <w:rPr>
          <w:sz w:val="28"/>
          <w:szCs w:val="28"/>
        </w:rPr>
      </w:pPr>
      <w:r w:rsidRPr="00114A84">
        <w:rPr>
          <w:noProof w:val="0"/>
          <w:sz w:val="28"/>
          <w:szCs w:val="28"/>
        </w:rPr>
        <w:t xml:space="preserve">до </w:t>
      </w:r>
      <w:r w:rsidRPr="00114A84">
        <w:rPr>
          <w:sz w:val="28"/>
          <w:szCs w:val="28"/>
        </w:rPr>
        <w:t xml:space="preserve">проекту Закону України </w:t>
      </w:r>
    </w:p>
    <w:p w:rsidR="00114A84" w:rsidRDefault="00114A84" w:rsidP="00114A84">
      <w:pPr>
        <w:widowControl w:val="0"/>
        <w:autoSpaceDE w:val="0"/>
        <w:autoSpaceDN w:val="0"/>
        <w:adjustRightInd w:val="0"/>
        <w:ind w:right="-42"/>
        <w:jc w:val="center"/>
        <w:rPr>
          <w:bCs/>
          <w:sz w:val="28"/>
          <w:szCs w:val="28"/>
        </w:rPr>
      </w:pPr>
      <w:r w:rsidRPr="00114A84">
        <w:rPr>
          <w:bCs/>
          <w:sz w:val="28"/>
          <w:szCs w:val="28"/>
        </w:rPr>
        <w:t xml:space="preserve">про внесення змін до деяких законів України щодо доступу </w:t>
      </w:r>
    </w:p>
    <w:p w:rsidR="00114A84" w:rsidRPr="00114A84" w:rsidRDefault="00114A84" w:rsidP="00114A84">
      <w:pPr>
        <w:widowControl w:val="0"/>
        <w:autoSpaceDE w:val="0"/>
        <w:autoSpaceDN w:val="0"/>
        <w:adjustRightInd w:val="0"/>
        <w:ind w:right="-42"/>
        <w:jc w:val="center"/>
        <w:rPr>
          <w:sz w:val="28"/>
          <w:szCs w:val="28"/>
        </w:rPr>
      </w:pPr>
      <w:r w:rsidRPr="00114A84">
        <w:rPr>
          <w:bCs/>
          <w:sz w:val="28"/>
          <w:szCs w:val="28"/>
        </w:rPr>
        <w:t>до інфраструктури об’єктів будівництва, транспорту, електроенергетики</w:t>
      </w:r>
    </w:p>
    <w:p w:rsidR="000E4797" w:rsidRPr="00114A84" w:rsidRDefault="000E4797" w:rsidP="000E4797">
      <w:pPr>
        <w:ind w:right="85"/>
        <w:jc w:val="center"/>
        <w:rPr>
          <w:noProof w:val="0"/>
          <w:sz w:val="28"/>
          <w:szCs w:val="28"/>
        </w:rPr>
      </w:pPr>
      <w:r w:rsidRPr="00114A84">
        <w:rPr>
          <w:noProof w:val="0"/>
          <w:sz w:val="28"/>
          <w:szCs w:val="28"/>
        </w:rPr>
        <w:t>(реєстраційний № 2</w:t>
      </w:r>
      <w:r w:rsidR="00114A84" w:rsidRPr="00114A84">
        <w:rPr>
          <w:noProof w:val="0"/>
          <w:sz w:val="28"/>
          <w:szCs w:val="28"/>
        </w:rPr>
        <w:t>042</w:t>
      </w:r>
      <w:r w:rsidRPr="00114A84">
        <w:rPr>
          <w:noProof w:val="0"/>
          <w:sz w:val="28"/>
          <w:szCs w:val="28"/>
        </w:rPr>
        <w:t>)</w:t>
      </w:r>
    </w:p>
    <w:p w:rsidR="000E4797" w:rsidRPr="0008204F" w:rsidRDefault="000E4797" w:rsidP="000E4797">
      <w:pPr>
        <w:jc w:val="center"/>
        <w:rPr>
          <w:noProof w:val="0"/>
          <w:sz w:val="16"/>
          <w:szCs w:val="16"/>
        </w:rPr>
      </w:pPr>
    </w:p>
    <w:p w:rsidR="000E4797" w:rsidRPr="00330BD0" w:rsidRDefault="000E4797" w:rsidP="00412F01">
      <w:pPr>
        <w:widowControl w:val="0"/>
        <w:tabs>
          <w:tab w:val="left" w:pos="993"/>
        </w:tabs>
        <w:autoSpaceDE w:val="0"/>
        <w:autoSpaceDN w:val="0"/>
        <w:adjustRightInd w:val="0"/>
        <w:spacing w:after="120"/>
        <w:ind w:right="-42" w:firstLine="709"/>
        <w:jc w:val="both"/>
        <w:rPr>
          <w:noProof w:val="0"/>
          <w:sz w:val="28"/>
          <w:szCs w:val="28"/>
        </w:rPr>
      </w:pPr>
      <w:r w:rsidRPr="00330BD0">
        <w:rPr>
          <w:noProof w:val="0"/>
          <w:sz w:val="28"/>
          <w:szCs w:val="28"/>
        </w:rPr>
        <w:t xml:space="preserve">У Головному юридичному управлінні </w:t>
      </w:r>
      <w:r w:rsidRPr="00330BD0">
        <w:rPr>
          <w:sz w:val="28"/>
          <w:szCs w:val="28"/>
        </w:rPr>
        <w:t>розглянуто</w:t>
      </w:r>
      <w:r w:rsidRPr="00330BD0">
        <w:rPr>
          <w:noProof w:val="0"/>
          <w:sz w:val="28"/>
          <w:szCs w:val="28"/>
        </w:rPr>
        <w:t xml:space="preserve"> проект Закону України про </w:t>
      </w:r>
      <w:r w:rsidRPr="00330BD0">
        <w:rPr>
          <w:sz w:val="28"/>
          <w:szCs w:val="28"/>
        </w:rPr>
        <w:t>внесення змін до деяких закон</w:t>
      </w:r>
      <w:r w:rsidR="00114A84" w:rsidRPr="00330BD0">
        <w:rPr>
          <w:sz w:val="28"/>
          <w:szCs w:val="28"/>
        </w:rPr>
        <w:t>і</w:t>
      </w:r>
      <w:r w:rsidRPr="00330BD0">
        <w:rPr>
          <w:sz w:val="28"/>
          <w:szCs w:val="28"/>
        </w:rPr>
        <w:t xml:space="preserve">в України </w:t>
      </w:r>
      <w:r w:rsidR="00114A84" w:rsidRPr="00330BD0">
        <w:rPr>
          <w:bCs/>
          <w:sz w:val="28"/>
          <w:szCs w:val="28"/>
        </w:rPr>
        <w:t xml:space="preserve">щодо доступу до інфраструктури об’єктів будівництва, транспорту, електроенергетики </w:t>
      </w:r>
      <w:r w:rsidRPr="00330BD0">
        <w:rPr>
          <w:noProof w:val="0"/>
          <w:sz w:val="28"/>
          <w:szCs w:val="28"/>
        </w:rPr>
        <w:t>(реєстр. № 2</w:t>
      </w:r>
      <w:r w:rsidR="00114A84" w:rsidRPr="00330BD0">
        <w:rPr>
          <w:noProof w:val="0"/>
          <w:sz w:val="28"/>
          <w:szCs w:val="28"/>
        </w:rPr>
        <w:t>042</w:t>
      </w:r>
      <w:r w:rsidRPr="00330BD0">
        <w:rPr>
          <w:noProof w:val="0"/>
          <w:sz w:val="28"/>
          <w:szCs w:val="28"/>
        </w:rPr>
        <w:t xml:space="preserve">), підготовлений Комітетом з питань </w:t>
      </w:r>
      <w:r w:rsidR="00114A84" w:rsidRPr="00330BD0">
        <w:rPr>
          <w:sz w:val="28"/>
          <w:szCs w:val="28"/>
        </w:rPr>
        <w:t>цифрової трансформації</w:t>
      </w:r>
      <w:r w:rsidRPr="00330BD0">
        <w:rPr>
          <w:noProof w:val="0"/>
          <w:sz w:val="28"/>
          <w:szCs w:val="28"/>
        </w:rPr>
        <w:t xml:space="preserve"> для розгляду в другому читанні, за результатами опрацювання якого слід зазначити таке.</w:t>
      </w:r>
    </w:p>
    <w:p w:rsidR="000E4797" w:rsidRDefault="000E4797" w:rsidP="00412F01">
      <w:pPr>
        <w:tabs>
          <w:tab w:val="left" w:pos="993"/>
        </w:tabs>
        <w:spacing w:after="120"/>
        <w:ind w:right="85" w:firstLine="709"/>
        <w:jc w:val="both"/>
        <w:rPr>
          <w:noProof w:val="0"/>
          <w:sz w:val="28"/>
          <w:szCs w:val="28"/>
        </w:rPr>
      </w:pPr>
      <w:r w:rsidRPr="00330BD0">
        <w:rPr>
          <w:noProof w:val="0"/>
          <w:sz w:val="28"/>
          <w:szCs w:val="28"/>
        </w:rPr>
        <w:t xml:space="preserve">Підтримуючи необхідність </w:t>
      </w:r>
      <w:r w:rsidR="00330BD0" w:rsidRPr="00330BD0">
        <w:rPr>
          <w:bCs/>
          <w:sz w:val="28"/>
          <w:szCs w:val="28"/>
        </w:rPr>
        <w:t>створення сприятливих умов операторам електронних комунікаційних послуг</w:t>
      </w:r>
      <w:r w:rsidR="00241A24">
        <w:rPr>
          <w:bCs/>
          <w:sz w:val="28"/>
          <w:szCs w:val="28"/>
        </w:rPr>
        <w:t xml:space="preserve"> </w:t>
      </w:r>
      <w:r w:rsidR="00330BD0" w:rsidRPr="00330BD0">
        <w:rPr>
          <w:bCs/>
          <w:sz w:val="28"/>
          <w:szCs w:val="28"/>
        </w:rPr>
        <w:t xml:space="preserve">для розташування технічних засобів електронних комунікацій та надання послуг споживачам, </w:t>
      </w:r>
      <w:r w:rsidRPr="00330BD0">
        <w:rPr>
          <w:noProof w:val="0"/>
          <w:sz w:val="28"/>
          <w:szCs w:val="28"/>
        </w:rPr>
        <w:t xml:space="preserve">Головне юридичне управління поділяє міркування, викладені у висновку Головного науково-експертного управління від </w:t>
      </w:r>
      <w:r w:rsidR="00330BD0" w:rsidRPr="00330BD0">
        <w:rPr>
          <w:noProof w:val="0"/>
          <w:sz w:val="28"/>
          <w:szCs w:val="28"/>
        </w:rPr>
        <w:t>25</w:t>
      </w:r>
      <w:r w:rsidRPr="00330BD0">
        <w:rPr>
          <w:noProof w:val="0"/>
          <w:sz w:val="28"/>
          <w:szCs w:val="28"/>
        </w:rPr>
        <w:t>.0</w:t>
      </w:r>
      <w:r w:rsidR="00330BD0" w:rsidRPr="00330BD0">
        <w:rPr>
          <w:noProof w:val="0"/>
          <w:sz w:val="28"/>
          <w:szCs w:val="28"/>
        </w:rPr>
        <w:t>9</w:t>
      </w:r>
      <w:r w:rsidRPr="00330BD0">
        <w:rPr>
          <w:noProof w:val="0"/>
          <w:sz w:val="28"/>
          <w:szCs w:val="28"/>
        </w:rPr>
        <w:t>.2019 року щодо необхідності доопрацювання цього законопроекту, та вважає за необхідне зазначити таке.</w:t>
      </w:r>
    </w:p>
    <w:p w:rsidR="00A21B38" w:rsidRDefault="00A21B38" w:rsidP="00412F01">
      <w:pPr>
        <w:pStyle w:val="a3"/>
        <w:numPr>
          <w:ilvl w:val="0"/>
          <w:numId w:val="1"/>
        </w:numPr>
        <w:tabs>
          <w:tab w:val="left" w:pos="993"/>
        </w:tabs>
        <w:spacing w:after="120"/>
        <w:ind w:left="0" w:right="85" w:firstLine="709"/>
        <w:contextualSpacing w:val="0"/>
        <w:jc w:val="both"/>
        <w:rPr>
          <w:noProof w:val="0"/>
          <w:sz w:val="28"/>
          <w:szCs w:val="28"/>
        </w:rPr>
      </w:pPr>
      <w:r w:rsidRPr="00AE3E8A">
        <w:rPr>
          <w:noProof w:val="0"/>
          <w:sz w:val="28"/>
          <w:szCs w:val="28"/>
        </w:rPr>
        <w:t xml:space="preserve">Окремими положеннями законопроекту більшою мірою гарантуються права </w:t>
      </w:r>
      <w:r w:rsidRPr="00AE3E8A">
        <w:rPr>
          <w:sz w:val="28"/>
          <w:szCs w:val="28"/>
        </w:rPr>
        <w:t>операторів та провайдерів телекомунікацій</w:t>
      </w:r>
      <w:r w:rsidR="00B81A35" w:rsidRPr="00AE3E8A">
        <w:rPr>
          <w:sz w:val="28"/>
          <w:szCs w:val="28"/>
        </w:rPr>
        <w:t xml:space="preserve"> порівняно з правами та обов’язками власник</w:t>
      </w:r>
      <w:r w:rsidR="00150628">
        <w:rPr>
          <w:sz w:val="28"/>
          <w:szCs w:val="28"/>
        </w:rPr>
        <w:t>ів</w:t>
      </w:r>
      <w:r w:rsidR="00B81A35" w:rsidRPr="00AE3E8A">
        <w:rPr>
          <w:sz w:val="28"/>
          <w:szCs w:val="28"/>
        </w:rPr>
        <w:t xml:space="preserve"> (володільц</w:t>
      </w:r>
      <w:r w:rsidR="00150628">
        <w:rPr>
          <w:sz w:val="28"/>
          <w:szCs w:val="28"/>
        </w:rPr>
        <w:t>ів</w:t>
      </w:r>
      <w:r w:rsidR="00B81A35" w:rsidRPr="00AE3E8A">
        <w:rPr>
          <w:sz w:val="28"/>
          <w:szCs w:val="28"/>
        </w:rPr>
        <w:t xml:space="preserve">) інфраструктури об’єкта </w:t>
      </w:r>
      <w:r w:rsidR="00150628" w:rsidRPr="00114A84">
        <w:rPr>
          <w:bCs/>
          <w:sz w:val="28"/>
          <w:szCs w:val="28"/>
        </w:rPr>
        <w:t>будівництва, транспорту, електроенергетики</w:t>
      </w:r>
      <w:r w:rsidR="00B81A35" w:rsidRPr="00AE3E8A">
        <w:rPr>
          <w:sz w:val="28"/>
          <w:szCs w:val="28"/>
        </w:rPr>
        <w:t xml:space="preserve">. Оскільки положеннями законопроекту, по суті, передбачається врегулювати </w:t>
      </w:r>
      <w:r w:rsidR="00B81A35" w:rsidRPr="00AE3E8A">
        <w:rPr>
          <w:rStyle w:val="st42"/>
          <w:sz w:val="28"/>
          <w:szCs w:val="28"/>
        </w:rPr>
        <w:t xml:space="preserve">майнові відносини, що засновані на вільному волевиявленні, майновій самостійності їх учасників, тобто цивільні відносини, </w:t>
      </w:r>
      <w:r w:rsidR="00AE3E8A" w:rsidRPr="00AE3E8A">
        <w:rPr>
          <w:rStyle w:val="st42"/>
          <w:sz w:val="28"/>
          <w:szCs w:val="28"/>
        </w:rPr>
        <w:t xml:space="preserve">вважаємо, що </w:t>
      </w:r>
      <w:r w:rsidR="00AE3E8A" w:rsidRPr="00AE3E8A">
        <w:rPr>
          <w:sz w:val="28"/>
          <w:szCs w:val="28"/>
        </w:rPr>
        <w:t xml:space="preserve">нормотворчий підхід у законопроекті мав би базуватися на юридичній рівності учасників </w:t>
      </w:r>
      <w:r w:rsidR="00BF6325">
        <w:rPr>
          <w:sz w:val="28"/>
          <w:szCs w:val="28"/>
        </w:rPr>
        <w:t>відповідних суспільних відносин, передбаченій для них статтею 1 Цивільного кодексу України.</w:t>
      </w:r>
    </w:p>
    <w:p w:rsidR="00236977" w:rsidRPr="00236977" w:rsidRDefault="00AE3E8A" w:rsidP="00412F01">
      <w:pPr>
        <w:pStyle w:val="a3"/>
        <w:tabs>
          <w:tab w:val="left" w:pos="993"/>
        </w:tabs>
        <w:spacing w:after="120"/>
        <w:ind w:left="0" w:right="85" w:firstLine="709"/>
        <w:contextualSpacing w:val="0"/>
        <w:jc w:val="both"/>
        <w:rPr>
          <w:sz w:val="28"/>
          <w:szCs w:val="28"/>
        </w:rPr>
      </w:pPr>
      <w:r w:rsidRPr="00236977">
        <w:rPr>
          <w:sz w:val="28"/>
          <w:szCs w:val="28"/>
        </w:rPr>
        <w:t xml:space="preserve">Натомість, підпунктом </w:t>
      </w:r>
      <w:r w:rsidR="00241A24" w:rsidRPr="00BC107F">
        <w:rPr>
          <w:sz w:val="28"/>
          <w:szCs w:val="28"/>
        </w:rPr>
        <w:t>“</w:t>
      </w:r>
      <w:r w:rsidRPr="00236977">
        <w:rPr>
          <w:sz w:val="28"/>
          <w:szCs w:val="28"/>
        </w:rPr>
        <w:t>а</w:t>
      </w:r>
      <w:r w:rsidR="00241A24" w:rsidRPr="00BC107F">
        <w:rPr>
          <w:sz w:val="28"/>
          <w:szCs w:val="28"/>
        </w:rPr>
        <w:t>”</w:t>
      </w:r>
      <w:r w:rsidRPr="00236977">
        <w:rPr>
          <w:sz w:val="28"/>
          <w:szCs w:val="28"/>
        </w:rPr>
        <w:t xml:space="preserve"> </w:t>
      </w:r>
      <w:r w:rsidR="00412F01">
        <w:rPr>
          <w:sz w:val="28"/>
          <w:szCs w:val="28"/>
        </w:rPr>
        <w:t>під</w:t>
      </w:r>
      <w:r w:rsidRPr="00236977">
        <w:rPr>
          <w:sz w:val="28"/>
          <w:szCs w:val="28"/>
        </w:rPr>
        <w:t>пункту 3</w:t>
      </w:r>
      <w:r w:rsidR="00BF6325" w:rsidRPr="00236977">
        <w:rPr>
          <w:sz w:val="28"/>
          <w:szCs w:val="28"/>
        </w:rPr>
        <w:t xml:space="preserve"> пункту 2 розділу І, </w:t>
      </w:r>
      <w:r w:rsidR="00150628">
        <w:rPr>
          <w:sz w:val="28"/>
          <w:szCs w:val="28"/>
        </w:rPr>
        <w:t xml:space="preserve">за </w:t>
      </w:r>
      <w:r w:rsidR="00BF6325" w:rsidRPr="00236977">
        <w:rPr>
          <w:sz w:val="28"/>
          <w:szCs w:val="28"/>
        </w:rPr>
        <w:t xml:space="preserve">яким планується пункт 1 частини другої статті 14 Закону України </w:t>
      </w:r>
      <w:r w:rsidR="00241A24" w:rsidRPr="00BC107F">
        <w:rPr>
          <w:sz w:val="28"/>
          <w:szCs w:val="28"/>
        </w:rPr>
        <w:t>“</w:t>
      </w:r>
      <w:r w:rsidR="00BF6325" w:rsidRPr="00236977">
        <w:rPr>
          <w:sz w:val="28"/>
          <w:szCs w:val="28"/>
        </w:rPr>
        <w:t>Про доступ до об’єктів будівництва, транспорту, електроенергетики з метою розвитку телекомунікаційних мереж</w:t>
      </w:r>
      <w:r w:rsidR="00241A24" w:rsidRPr="00BC107F">
        <w:rPr>
          <w:sz w:val="28"/>
          <w:szCs w:val="28"/>
        </w:rPr>
        <w:t>”</w:t>
      </w:r>
      <w:r w:rsidR="00BF6325" w:rsidRPr="00236977">
        <w:rPr>
          <w:sz w:val="28"/>
          <w:szCs w:val="28"/>
        </w:rPr>
        <w:t xml:space="preserve"> доповнити абзацом другим,</w:t>
      </w:r>
      <w:r w:rsidR="00241A24">
        <w:rPr>
          <w:sz w:val="28"/>
          <w:szCs w:val="28"/>
        </w:rPr>
        <w:t xml:space="preserve"> </w:t>
      </w:r>
      <w:r w:rsidR="00BF6325" w:rsidRPr="00236977">
        <w:rPr>
          <w:sz w:val="28"/>
          <w:szCs w:val="28"/>
        </w:rPr>
        <w:t>передбачається, що новий власник інфраструктури об’єкта доступу має забезпечувати безперешкодний доступ до набутих ним у попереднього власника інфрастурктури технічних засобів оператору, провайдеру телекомунікацій або уповноваженій ними особі до укладення/переукладення з ним договору з доступу або до спливу місячного строку на прийняття замовником пропозиції власника про укладення договору з доступу, залишеної без відповіді замовника.</w:t>
      </w:r>
      <w:r w:rsidR="00236977" w:rsidRPr="00236977">
        <w:rPr>
          <w:sz w:val="28"/>
          <w:szCs w:val="28"/>
        </w:rPr>
        <w:t xml:space="preserve"> </w:t>
      </w:r>
      <w:r w:rsidR="00236977" w:rsidRPr="00236977">
        <w:rPr>
          <w:sz w:val="28"/>
          <w:szCs w:val="28"/>
        </w:rPr>
        <w:lastRenderedPageBreak/>
        <w:t>На нашу думку, такий підхід не враховує положень статті 319 Цивільного кодексу України, за якими в</w:t>
      </w:r>
      <w:r w:rsidR="00236977" w:rsidRPr="00236977">
        <w:rPr>
          <w:rStyle w:val="st42"/>
          <w:sz w:val="28"/>
          <w:szCs w:val="28"/>
        </w:rPr>
        <w:t>ласник володіє, користується, розпоряджається своїм майном на власний розсуд (частина перша цієї статті), держава не втручається у здійснення власником права власності (частина шоста цієї статті).</w:t>
      </w:r>
    </w:p>
    <w:p w:rsidR="00BF6325" w:rsidRDefault="00BF6325" w:rsidP="00412F01">
      <w:pPr>
        <w:pStyle w:val="a3"/>
        <w:tabs>
          <w:tab w:val="left" w:pos="993"/>
        </w:tabs>
        <w:spacing w:after="120"/>
        <w:ind w:left="0" w:right="85" w:firstLine="709"/>
        <w:contextualSpacing w:val="0"/>
        <w:jc w:val="both"/>
        <w:rPr>
          <w:sz w:val="28"/>
          <w:szCs w:val="28"/>
        </w:rPr>
      </w:pPr>
      <w:r w:rsidRPr="008B764E">
        <w:rPr>
          <w:sz w:val="28"/>
          <w:szCs w:val="28"/>
        </w:rPr>
        <w:t xml:space="preserve">Разом з тим, підпунктом </w:t>
      </w:r>
      <w:r w:rsidR="00241A24" w:rsidRPr="00BC107F">
        <w:rPr>
          <w:sz w:val="28"/>
          <w:szCs w:val="28"/>
        </w:rPr>
        <w:t>“</w:t>
      </w:r>
      <w:r w:rsidRPr="008B764E">
        <w:rPr>
          <w:sz w:val="28"/>
          <w:szCs w:val="28"/>
        </w:rPr>
        <w:t>в</w:t>
      </w:r>
      <w:r w:rsidR="00241A24" w:rsidRPr="00BC107F">
        <w:rPr>
          <w:sz w:val="28"/>
          <w:szCs w:val="28"/>
        </w:rPr>
        <w:t>”</w:t>
      </w:r>
      <w:r w:rsidRPr="008B764E">
        <w:rPr>
          <w:sz w:val="28"/>
          <w:szCs w:val="28"/>
        </w:rPr>
        <w:t xml:space="preserve"> </w:t>
      </w:r>
      <w:r w:rsidR="00150628">
        <w:rPr>
          <w:sz w:val="28"/>
          <w:szCs w:val="28"/>
        </w:rPr>
        <w:t>під</w:t>
      </w:r>
      <w:r w:rsidRPr="008B764E">
        <w:rPr>
          <w:sz w:val="28"/>
          <w:szCs w:val="28"/>
        </w:rPr>
        <w:t xml:space="preserve">пункту 3 пункту 2 розділу І, </w:t>
      </w:r>
      <w:r w:rsidR="00150628">
        <w:rPr>
          <w:sz w:val="28"/>
          <w:szCs w:val="28"/>
        </w:rPr>
        <w:t xml:space="preserve">за </w:t>
      </w:r>
      <w:r w:rsidRPr="008B764E">
        <w:rPr>
          <w:sz w:val="28"/>
          <w:szCs w:val="28"/>
        </w:rPr>
        <w:t xml:space="preserve">яким планується статтю 14 Закону України </w:t>
      </w:r>
      <w:r w:rsidR="00241A24" w:rsidRPr="00BC107F">
        <w:rPr>
          <w:sz w:val="28"/>
          <w:szCs w:val="28"/>
        </w:rPr>
        <w:t>“</w:t>
      </w:r>
      <w:r w:rsidRPr="008B764E">
        <w:rPr>
          <w:sz w:val="28"/>
          <w:szCs w:val="28"/>
        </w:rPr>
        <w:t>Про доступ до об’єктів будівництва, транспорту, електроенергетики з метою розвитку телекомунікаційних мереж</w:t>
      </w:r>
      <w:r w:rsidR="00241A24" w:rsidRPr="00BC107F">
        <w:rPr>
          <w:sz w:val="28"/>
          <w:szCs w:val="28"/>
        </w:rPr>
        <w:t>”</w:t>
      </w:r>
      <w:r w:rsidRPr="008B764E">
        <w:rPr>
          <w:sz w:val="28"/>
          <w:szCs w:val="28"/>
        </w:rPr>
        <w:t xml:space="preserve"> доповнити частиною четвертою,</w:t>
      </w:r>
      <w:r w:rsidR="00241A24">
        <w:rPr>
          <w:sz w:val="28"/>
          <w:szCs w:val="28"/>
        </w:rPr>
        <w:t xml:space="preserve"> </w:t>
      </w:r>
      <w:r w:rsidRPr="008B764E">
        <w:rPr>
          <w:sz w:val="28"/>
          <w:szCs w:val="28"/>
        </w:rPr>
        <w:t xml:space="preserve">передбачається, що для забезпечення замовнику доступу до елементів інфраструктури об’єкта доступу для розташування технічних засобів телекомунікацій, з урахуванням умов, визначених цим Законом, забороняється вимагати від замовника укладення будь-якого іншого договору (оренди, </w:t>
      </w:r>
      <w:r w:rsidR="00150628">
        <w:rPr>
          <w:sz w:val="28"/>
          <w:szCs w:val="28"/>
        </w:rPr>
        <w:t xml:space="preserve">щодо </w:t>
      </w:r>
      <w:r w:rsidRPr="008B764E">
        <w:rPr>
          <w:sz w:val="28"/>
          <w:szCs w:val="28"/>
        </w:rPr>
        <w:t>сервітуту тощо), крім і замість договору з доступу.</w:t>
      </w:r>
      <w:r w:rsidR="00236977" w:rsidRPr="008B764E">
        <w:rPr>
          <w:sz w:val="28"/>
          <w:szCs w:val="28"/>
        </w:rPr>
        <w:t xml:space="preserve"> Як вбачається, такий нормотворчий підхід не узгоджується з однією з основних засад цивільного законодавства — свобода договору (стаття 3 Цивільного кодексу України), сутність якої </w:t>
      </w:r>
      <w:r w:rsidR="008B764E" w:rsidRPr="008B764E">
        <w:rPr>
          <w:sz w:val="28"/>
          <w:szCs w:val="28"/>
        </w:rPr>
        <w:t xml:space="preserve">полягає в тому, що </w:t>
      </w:r>
      <w:r w:rsidR="008B764E" w:rsidRPr="008B764E">
        <w:rPr>
          <w:rStyle w:val="st42"/>
          <w:rFonts w:eastAsiaTheme="minorHAnsi"/>
          <w:noProof w:val="0"/>
          <w:sz w:val="28"/>
          <w:szCs w:val="28"/>
          <w:lang w:eastAsia="en-US"/>
        </w:rPr>
        <w:t>сторони є вільними в укладенні договору, виборі контрагента та визначенні умов договору з урахуванням вимог цього Кодексу, інших актів цивільного законодавства, звичаїв ділового обороту, вимог розумності та справедливості (стаття 627</w:t>
      </w:r>
      <w:r w:rsidR="008B764E" w:rsidRPr="008B764E">
        <w:rPr>
          <w:sz w:val="28"/>
          <w:szCs w:val="28"/>
        </w:rPr>
        <w:t xml:space="preserve"> Цивільного кодексу України</w:t>
      </w:r>
      <w:r w:rsidR="008B764E" w:rsidRPr="008B764E">
        <w:rPr>
          <w:rStyle w:val="st42"/>
          <w:rFonts w:eastAsiaTheme="minorHAnsi"/>
          <w:noProof w:val="0"/>
          <w:sz w:val="28"/>
          <w:szCs w:val="28"/>
          <w:lang w:eastAsia="en-US"/>
        </w:rPr>
        <w:t>).</w:t>
      </w:r>
      <w:r w:rsidR="00236977" w:rsidRPr="008B764E">
        <w:rPr>
          <w:sz w:val="28"/>
          <w:szCs w:val="28"/>
        </w:rPr>
        <w:t xml:space="preserve"> </w:t>
      </w:r>
    </w:p>
    <w:p w:rsidR="00412F01" w:rsidRPr="008B764E" w:rsidRDefault="00412F01" w:rsidP="00412F01">
      <w:pPr>
        <w:pStyle w:val="a3"/>
        <w:numPr>
          <w:ilvl w:val="0"/>
          <w:numId w:val="1"/>
        </w:numPr>
        <w:tabs>
          <w:tab w:val="left" w:pos="993"/>
        </w:tabs>
        <w:spacing w:after="120"/>
        <w:ind w:left="0" w:right="85" w:firstLine="709"/>
        <w:contextualSpacing w:val="0"/>
        <w:jc w:val="both"/>
        <w:rPr>
          <w:noProof w:val="0"/>
          <w:sz w:val="28"/>
          <w:szCs w:val="28"/>
        </w:rPr>
      </w:pPr>
      <w:r>
        <w:rPr>
          <w:sz w:val="28"/>
          <w:szCs w:val="28"/>
        </w:rPr>
        <w:t xml:space="preserve">Вважаємо, що підпункт </w:t>
      </w:r>
      <w:r w:rsidR="00241A24" w:rsidRPr="00BC107F">
        <w:rPr>
          <w:sz w:val="28"/>
          <w:szCs w:val="28"/>
        </w:rPr>
        <w:t>“</w:t>
      </w:r>
      <w:r>
        <w:rPr>
          <w:sz w:val="28"/>
          <w:szCs w:val="28"/>
        </w:rPr>
        <w:t>б</w:t>
      </w:r>
      <w:r w:rsidR="00241A24" w:rsidRPr="00BC107F">
        <w:rPr>
          <w:sz w:val="28"/>
          <w:szCs w:val="28"/>
        </w:rPr>
        <w:t>”</w:t>
      </w:r>
      <w:r>
        <w:rPr>
          <w:sz w:val="28"/>
          <w:szCs w:val="28"/>
        </w:rPr>
        <w:t xml:space="preserve"> під</w:t>
      </w:r>
      <w:r w:rsidRPr="00236977">
        <w:rPr>
          <w:sz w:val="28"/>
          <w:szCs w:val="28"/>
        </w:rPr>
        <w:t xml:space="preserve">пункту </w:t>
      </w:r>
      <w:r>
        <w:rPr>
          <w:sz w:val="28"/>
          <w:szCs w:val="28"/>
        </w:rPr>
        <w:t>4</w:t>
      </w:r>
      <w:r w:rsidRPr="00236977">
        <w:rPr>
          <w:sz w:val="28"/>
          <w:szCs w:val="28"/>
        </w:rPr>
        <w:t xml:space="preserve"> пункту 2 розділу І, </w:t>
      </w:r>
      <w:r w:rsidR="00150628">
        <w:rPr>
          <w:sz w:val="28"/>
          <w:szCs w:val="28"/>
        </w:rPr>
        <w:t xml:space="preserve">за </w:t>
      </w:r>
      <w:r w:rsidRPr="00236977">
        <w:rPr>
          <w:sz w:val="28"/>
          <w:szCs w:val="28"/>
        </w:rPr>
        <w:t>яким п</w:t>
      </w:r>
      <w:r>
        <w:rPr>
          <w:sz w:val="28"/>
          <w:szCs w:val="28"/>
        </w:rPr>
        <w:t>ередбачається</w:t>
      </w:r>
      <w:r w:rsidRPr="0023697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абзац перший частини сьомої статті </w:t>
      </w:r>
      <w:r w:rsidRPr="00236977">
        <w:rPr>
          <w:sz w:val="28"/>
          <w:szCs w:val="28"/>
        </w:rPr>
        <w:t>1</w:t>
      </w:r>
      <w:r>
        <w:rPr>
          <w:sz w:val="28"/>
          <w:szCs w:val="28"/>
        </w:rPr>
        <w:t>7</w:t>
      </w:r>
      <w:r w:rsidRPr="00236977">
        <w:rPr>
          <w:sz w:val="28"/>
          <w:szCs w:val="28"/>
        </w:rPr>
        <w:t xml:space="preserve"> Закону України </w:t>
      </w:r>
      <w:r w:rsidR="00241A24" w:rsidRPr="00BC107F">
        <w:rPr>
          <w:sz w:val="28"/>
          <w:szCs w:val="28"/>
        </w:rPr>
        <w:t>“</w:t>
      </w:r>
      <w:r w:rsidRPr="00236977">
        <w:rPr>
          <w:sz w:val="28"/>
          <w:szCs w:val="28"/>
        </w:rPr>
        <w:t>Про доступ до об’єктів будівництва, транспорту, електроенергетики з метою розвитку телекомунікаційних мереж</w:t>
      </w:r>
      <w:r w:rsidR="00241A24" w:rsidRPr="00BC107F">
        <w:rPr>
          <w:sz w:val="28"/>
          <w:szCs w:val="28"/>
        </w:rPr>
        <w:t>”</w:t>
      </w:r>
      <w:r w:rsidRPr="00236977">
        <w:rPr>
          <w:sz w:val="28"/>
          <w:szCs w:val="28"/>
        </w:rPr>
        <w:t xml:space="preserve"> доповнити </w:t>
      </w:r>
      <w:r>
        <w:rPr>
          <w:sz w:val="28"/>
          <w:szCs w:val="28"/>
        </w:rPr>
        <w:t xml:space="preserve">словами </w:t>
      </w:r>
      <w:r w:rsidR="00241A24" w:rsidRPr="00BC107F">
        <w:rPr>
          <w:sz w:val="28"/>
          <w:szCs w:val="28"/>
        </w:rPr>
        <w:t>“</w:t>
      </w:r>
      <w:r>
        <w:rPr>
          <w:sz w:val="28"/>
          <w:szCs w:val="28"/>
        </w:rPr>
        <w:t>всі податки і збори, передбачені законодавством</w:t>
      </w:r>
      <w:r w:rsidR="00241A24" w:rsidRPr="00BC107F">
        <w:rPr>
          <w:sz w:val="28"/>
          <w:szCs w:val="28"/>
        </w:rPr>
        <w:t>”</w:t>
      </w:r>
      <w:r w:rsidRPr="00236977">
        <w:rPr>
          <w:sz w:val="28"/>
          <w:szCs w:val="28"/>
        </w:rPr>
        <w:t>,</w:t>
      </w:r>
      <w:r w:rsidR="00241A24">
        <w:rPr>
          <w:sz w:val="28"/>
          <w:szCs w:val="28"/>
        </w:rPr>
        <w:t xml:space="preserve"> </w:t>
      </w:r>
      <w:r>
        <w:rPr>
          <w:sz w:val="28"/>
          <w:szCs w:val="28"/>
        </w:rPr>
        <w:t>не враховує вимог пункту 1 частини другої статті 92 Конституції України, з</w:t>
      </w:r>
      <w:r w:rsidR="00150628">
        <w:rPr>
          <w:sz w:val="28"/>
          <w:szCs w:val="28"/>
        </w:rPr>
        <w:t>гідно з</w:t>
      </w:r>
      <w:r>
        <w:rPr>
          <w:sz w:val="28"/>
          <w:szCs w:val="28"/>
        </w:rPr>
        <w:t xml:space="preserve"> яким податки і збори встановлюються виключно законами України.</w:t>
      </w:r>
    </w:p>
    <w:p w:rsidR="00E158E6" w:rsidRPr="00AD39D3" w:rsidRDefault="008B764E" w:rsidP="00412F01">
      <w:pPr>
        <w:pStyle w:val="a3"/>
        <w:numPr>
          <w:ilvl w:val="0"/>
          <w:numId w:val="1"/>
        </w:numPr>
        <w:tabs>
          <w:tab w:val="left" w:pos="993"/>
        </w:tabs>
        <w:spacing w:after="120"/>
        <w:ind w:left="0" w:right="85" w:firstLine="709"/>
        <w:contextualSpacing w:val="0"/>
        <w:jc w:val="both"/>
        <w:rPr>
          <w:rStyle w:val="st42"/>
          <w:noProof w:val="0"/>
          <w:color w:val="auto"/>
          <w:sz w:val="28"/>
          <w:szCs w:val="28"/>
        </w:rPr>
      </w:pPr>
      <w:r w:rsidRPr="00E158E6">
        <w:rPr>
          <w:sz w:val="28"/>
          <w:szCs w:val="28"/>
        </w:rPr>
        <w:t xml:space="preserve">Абзацом другим підпункту 1 пункту 1 розділу І, </w:t>
      </w:r>
      <w:r w:rsidR="00150628">
        <w:rPr>
          <w:sz w:val="28"/>
          <w:szCs w:val="28"/>
        </w:rPr>
        <w:t xml:space="preserve">за </w:t>
      </w:r>
      <w:r w:rsidR="00E158E6" w:rsidRPr="00E158E6">
        <w:rPr>
          <w:sz w:val="28"/>
          <w:szCs w:val="28"/>
        </w:rPr>
        <w:t xml:space="preserve">яким планується частину першу статті 7 Закону України </w:t>
      </w:r>
      <w:r w:rsidR="00241A24" w:rsidRPr="00BC107F">
        <w:rPr>
          <w:sz w:val="28"/>
          <w:szCs w:val="28"/>
        </w:rPr>
        <w:t>“</w:t>
      </w:r>
      <w:r w:rsidR="00E158E6" w:rsidRPr="00E158E6">
        <w:rPr>
          <w:sz w:val="28"/>
          <w:szCs w:val="28"/>
        </w:rPr>
        <w:t>Про особливості здійснення права власності у багатоквартирному будинку</w:t>
      </w:r>
      <w:r w:rsidR="00241A24" w:rsidRPr="00BC107F">
        <w:rPr>
          <w:sz w:val="28"/>
          <w:szCs w:val="28"/>
        </w:rPr>
        <w:t>”</w:t>
      </w:r>
      <w:r w:rsidR="00E158E6" w:rsidRPr="00E158E6">
        <w:rPr>
          <w:sz w:val="28"/>
          <w:szCs w:val="28"/>
        </w:rPr>
        <w:t xml:space="preserve"> доповнити пунктом 11, передбачається віднести до обов’язків співвласників </w:t>
      </w:r>
      <w:r w:rsidR="00E158E6" w:rsidRPr="00E158E6">
        <w:rPr>
          <w:rStyle w:val="st42"/>
          <w:rFonts w:eastAsiaTheme="minorHAnsi"/>
          <w:noProof w:val="0"/>
          <w:sz w:val="28"/>
          <w:szCs w:val="28"/>
          <w:lang w:eastAsia="en-US"/>
        </w:rPr>
        <w:t>багатоквартирного будинку визначення</w:t>
      </w:r>
      <w:r w:rsidR="00E158E6" w:rsidRPr="00E158E6">
        <w:rPr>
          <w:sz w:val="28"/>
          <w:szCs w:val="28"/>
        </w:rPr>
        <w:t xml:space="preserve"> уповноваженої особи (осіб) співвласників для укладення, внесення змін та розірвання договорів з доступу до інфраструктури об’єктів доступу та здійснення контролю за їх виконанням. Проте положеннями абзацу п’ятого частини двадцятої</w:t>
      </w:r>
      <w:r w:rsidR="00241A24">
        <w:rPr>
          <w:sz w:val="28"/>
          <w:szCs w:val="28"/>
        </w:rPr>
        <w:t xml:space="preserve"> </w:t>
      </w:r>
      <w:r w:rsidR="00E158E6" w:rsidRPr="00E158E6">
        <w:rPr>
          <w:sz w:val="28"/>
          <w:szCs w:val="28"/>
        </w:rPr>
        <w:t xml:space="preserve">статті 10 </w:t>
      </w:r>
      <w:r w:rsidR="00150628">
        <w:rPr>
          <w:sz w:val="28"/>
          <w:szCs w:val="28"/>
        </w:rPr>
        <w:t xml:space="preserve">чинного </w:t>
      </w:r>
      <w:r w:rsidR="00E158E6" w:rsidRPr="00E158E6">
        <w:rPr>
          <w:sz w:val="28"/>
          <w:szCs w:val="28"/>
        </w:rPr>
        <w:t xml:space="preserve">Закону України </w:t>
      </w:r>
      <w:r w:rsidR="00241A24" w:rsidRPr="00BC107F">
        <w:rPr>
          <w:sz w:val="28"/>
          <w:szCs w:val="28"/>
        </w:rPr>
        <w:t>“</w:t>
      </w:r>
      <w:r w:rsidR="00E158E6" w:rsidRPr="00E158E6">
        <w:rPr>
          <w:sz w:val="28"/>
          <w:szCs w:val="28"/>
        </w:rPr>
        <w:t xml:space="preserve">Про </w:t>
      </w:r>
      <w:r w:rsidR="000C67B4" w:rsidRPr="00E158E6">
        <w:rPr>
          <w:rStyle w:val="st42"/>
          <w:rFonts w:eastAsiaTheme="minorHAnsi"/>
          <w:noProof w:val="0"/>
          <w:sz w:val="28"/>
          <w:szCs w:val="28"/>
          <w:lang w:eastAsia="en-US"/>
        </w:rPr>
        <w:t>об’єднання</w:t>
      </w:r>
      <w:r w:rsidR="00E158E6" w:rsidRPr="00E158E6">
        <w:rPr>
          <w:rStyle w:val="st42"/>
          <w:rFonts w:eastAsiaTheme="minorHAnsi"/>
          <w:noProof w:val="0"/>
          <w:sz w:val="28"/>
          <w:szCs w:val="28"/>
          <w:lang w:eastAsia="en-US"/>
        </w:rPr>
        <w:t xml:space="preserve"> співвласників багатоквартирного будинку</w:t>
      </w:r>
      <w:r w:rsidR="00241A24" w:rsidRPr="00BC107F">
        <w:rPr>
          <w:sz w:val="28"/>
          <w:szCs w:val="28"/>
        </w:rPr>
        <w:t>”</w:t>
      </w:r>
      <w:r w:rsidR="00E158E6" w:rsidRPr="00E158E6">
        <w:rPr>
          <w:rStyle w:val="st42"/>
          <w:rFonts w:eastAsiaTheme="minorHAnsi"/>
          <w:noProof w:val="0"/>
          <w:sz w:val="28"/>
          <w:szCs w:val="28"/>
          <w:lang w:eastAsia="en-US"/>
        </w:rPr>
        <w:t xml:space="preserve"> повноваження щодо укладення </w:t>
      </w:r>
      <w:r w:rsidR="00E158E6" w:rsidRPr="00E158E6">
        <w:rPr>
          <w:rStyle w:val="st42"/>
          <w:sz w:val="28"/>
          <w:szCs w:val="28"/>
        </w:rPr>
        <w:t xml:space="preserve">договорів про виконання робіт, надання послуг та здійснення контролю за їх виконанням </w:t>
      </w:r>
      <w:r w:rsidR="00493372">
        <w:rPr>
          <w:rStyle w:val="st42"/>
          <w:sz w:val="28"/>
          <w:szCs w:val="28"/>
        </w:rPr>
        <w:t xml:space="preserve">вже віднесені до компетенції правління </w:t>
      </w:r>
      <w:r w:rsidR="000C67B4" w:rsidRPr="00E158E6">
        <w:rPr>
          <w:rStyle w:val="st42"/>
          <w:rFonts w:eastAsiaTheme="minorHAnsi"/>
          <w:noProof w:val="0"/>
          <w:sz w:val="28"/>
          <w:szCs w:val="28"/>
          <w:lang w:eastAsia="en-US"/>
        </w:rPr>
        <w:t>об’єднання</w:t>
      </w:r>
      <w:r w:rsidR="00493372" w:rsidRPr="00E158E6">
        <w:rPr>
          <w:rStyle w:val="st42"/>
          <w:rFonts w:eastAsiaTheme="minorHAnsi"/>
          <w:noProof w:val="0"/>
          <w:sz w:val="28"/>
          <w:szCs w:val="28"/>
          <w:lang w:eastAsia="en-US"/>
        </w:rPr>
        <w:t xml:space="preserve"> співвласників багатоквартирного будинку</w:t>
      </w:r>
      <w:r w:rsidR="00493372">
        <w:rPr>
          <w:rStyle w:val="st42"/>
          <w:rFonts w:eastAsiaTheme="minorHAnsi"/>
          <w:noProof w:val="0"/>
          <w:sz w:val="28"/>
          <w:szCs w:val="28"/>
          <w:lang w:eastAsia="en-US"/>
        </w:rPr>
        <w:t>.</w:t>
      </w:r>
    </w:p>
    <w:p w:rsidR="00AD39D3" w:rsidRDefault="00AD39D3" w:rsidP="00412F01">
      <w:pPr>
        <w:pStyle w:val="a3"/>
        <w:tabs>
          <w:tab w:val="left" w:pos="993"/>
        </w:tabs>
        <w:spacing w:after="120"/>
        <w:ind w:left="0" w:right="85" w:firstLine="709"/>
        <w:contextualSpacing w:val="0"/>
        <w:jc w:val="both"/>
        <w:rPr>
          <w:rStyle w:val="st42"/>
          <w:sz w:val="28"/>
          <w:szCs w:val="28"/>
        </w:rPr>
      </w:pPr>
      <w:r>
        <w:rPr>
          <w:rStyle w:val="st42"/>
          <w:rFonts w:eastAsiaTheme="minorHAnsi"/>
          <w:noProof w:val="0"/>
          <w:sz w:val="28"/>
          <w:szCs w:val="28"/>
          <w:lang w:eastAsia="en-US"/>
        </w:rPr>
        <w:t>Отже, в</w:t>
      </w:r>
      <w:r w:rsidR="005A7FB8">
        <w:rPr>
          <w:rStyle w:val="st42"/>
          <w:rFonts w:eastAsiaTheme="minorHAnsi"/>
          <w:noProof w:val="0"/>
          <w:sz w:val="28"/>
          <w:szCs w:val="28"/>
          <w:lang w:eastAsia="en-US"/>
        </w:rPr>
        <w:t>становле</w:t>
      </w:r>
      <w:r>
        <w:rPr>
          <w:rStyle w:val="st42"/>
          <w:rFonts w:eastAsiaTheme="minorHAnsi"/>
          <w:noProof w:val="0"/>
          <w:sz w:val="28"/>
          <w:szCs w:val="28"/>
          <w:lang w:eastAsia="en-US"/>
        </w:rPr>
        <w:t xml:space="preserve">ння законом обов’язку </w:t>
      </w:r>
      <w:r w:rsidRPr="00E158E6">
        <w:rPr>
          <w:sz w:val="28"/>
          <w:szCs w:val="28"/>
        </w:rPr>
        <w:t>о</w:t>
      </w:r>
      <w:r w:rsidRPr="00E158E6">
        <w:rPr>
          <w:rStyle w:val="st42"/>
          <w:rFonts w:eastAsiaTheme="minorHAnsi"/>
          <w:noProof w:val="0"/>
          <w:sz w:val="28"/>
          <w:szCs w:val="28"/>
          <w:lang w:eastAsia="en-US"/>
        </w:rPr>
        <w:t>б’єднання співвласників багатоквартирного будинку</w:t>
      </w:r>
      <w:r>
        <w:rPr>
          <w:rStyle w:val="st42"/>
          <w:rFonts w:eastAsiaTheme="minorHAnsi"/>
          <w:noProof w:val="0"/>
          <w:sz w:val="28"/>
          <w:szCs w:val="28"/>
          <w:lang w:eastAsia="en-US"/>
        </w:rPr>
        <w:t xml:space="preserve"> щодо визначення уповноваженої особи </w:t>
      </w:r>
      <w:r w:rsidRPr="00E158E6">
        <w:rPr>
          <w:sz w:val="28"/>
          <w:szCs w:val="28"/>
        </w:rPr>
        <w:t>для укладення, внесення змін та розірвання</w:t>
      </w:r>
      <w:r>
        <w:rPr>
          <w:sz w:val="28"/>
          <w:szCs w:val="28"/>
        </w:rPr>
        <w:t xml:space="preserve"> певної категорії договорів свідчить про суб’єктивний підхід до забезпечення законом прав </w:t>
      </w:r>
      <w:r>
        <w:rPr>
          <w:rStyle w:val="st42"/>
          <w:rFonts w:eastAsiaTheme="minorHAnsi"/>
          <w:noProof w:val="0"/>
          <w:sz w:val="28"/>
          <w:szCs w:val="28"/>
          <w:lang w:eastAsia="en-US"/>
        </w:rPr>
        <w:t xml:space="preserve">операторів та </w:t>
      </w:r>
      <w:r w:rsidRPr="00AE3E8A">
        <w:rPr>
          <w:sz w:val="28"/>
          <w:szCs w:val="28"/>
        </w:rPr>
        <w:t>провайдерів телекомунікацій</w:t>
      </w:r>
      <w:r w:rsidR="00150628">
        <w:rPr>
          <w:sz w:val="28"/>
          <w:szCs w:val="28"/>
        </w:rPr>
        <w:t>,</w:t>
      </w:r>
      <w:r w:rsidR="005A7FB8">
        <w:rPr>
          <w:sz w:val="28"/>
          <w:szCs w:val="28"/>
        </w:rPr>
        <w:t xml:space="preserve"> не враховує вимог частини четвертої статті 13 Конституції України, за якою держава забезпечує захист прав усіх суб’єктів права власності </w:t>
      </w:r>
      <w:r w:rsidR="005A7FB8">
        <w:rPr>
          <w:sz w:val="28"/>
          <w:szCs w:val="28"/>
        </w:rPr>
        <w:lastRenderedPageBreak/>
        <w:t xml:space="preserve">і господарювання, а також основного принципу </w:t>
      </w:r>
      <w:r w:rsidR="005A7FB8" w:rsidRPr="005A7FB8">
        <w:rPr>
          <w:sz w:val="28"/>
          <w:szCs w:val="28"/>
        </w:rPr>
        <w:t xml:space="preserve">господарювання щодо </w:t>
      </w:r>
      <w:r w:rsidR="005A7FB8" w:rsidRPr="005A7FB8">
        <w:rPr>
          <w:rStyle w:val="st42"/>
          <w:sz w:val="28"/>
          <w:szCs w:val="28"/>
        </w:rPr>
        <w:t>рівн</w:t>
      </w:r>
      <w:r w:rsidR="005A7FB8">
        <w:rPr>
          <w:rStyle w:val="st42"/>
          <w:sz w:val="28"/>
          <w:szCs w:val="28"/>
        </w:rPr>
        <w:t>ого</w:t>
      </w:r>
      <w:r w:rsidR="005A7FB8" w:rsidRPr="005A7FB8">
        <w:rPr>
          <w:rStyle w:val="st42"/>
          <w:sz w:val="28"/>
          <w:szCs w:val="28"/>
        </w:rPr>
        <w:t xml:space="preserve"> захист</w:t>
      </w:r>
      <w:r w:rsidR="005A7FB8">
        <w:rPr>
          <w:rStyle w:val="st42"/>
          <w:sz w:val="28"/>
          <w:szCs w:val="28"/>
        </w:rPr>
        <w:t>у</w:t>
      </w:r>
      <w:r w:rsidR="005A7FB8" w:rsidRPr="005A7FB8">
        <w:rPr>
          <w:rStyle w:val="st42"/>
          <w:sz w:val="28"/>
          <w:szCs w:val="28"/>
        </w:rPr>
        <w:t xml:space="preserve"> державою усіх суб</w:t>
      </w:r>
      <w:r w:rsidR="005A7FB8">
        <w:rPr>
          <w:rStyle w:val="st42"/>
          <w:sz w:val="28"/>
          <w:szCs w:val="28"/>
        </w:rPr>
        <w:t>’</w:t>
      </w:r>
      <w:r w:rsidR="005A7FB8" w:rsidRPr="005A7FB8">
        <w:rPr>
          <w:rStyle w:val="st42"/>
          <w:sz w:val="28"/>
          <w:szCs w:val="28"/>
        </w:rPr>
        <w:t>єктів господарювання</w:t>
      </w:r>
      <w:r w:rsidR="005A7FB8">
        <w:rPr>
          <w:rStyle w:val="st42"/>
          <w:sz w:val="28"/>
          <w:szCs w:val="28"/>
        </w:rPr>
        <w:t>, передбаченого статтею 6 Господарського кодексу України.</w:t>
      </w:r>
    </w:p>
    <w:p w:rsidR="005A7FB8" w:rsidRDefault="005A7FB8" w:rsidP="00412F01">
      <w:pPr>
        <w:pStyle w:val="a3"/>
        <w:tabs>
          <w:tab w:val="left" w:pos="993"/>
        </w:tabs>
        <w:spacing w:after="120"/>
        <w:ind w:left="0" w:right="85" w:firstLine="709"/>
        <w:contextualSpacing w:val="0"/>
        <w:jc w:val="both"/>
        <w:rPr>
          <w:sz w:val="28"/>
          <w:szCs w:val="28"/>
        </w:rPr>
      </w:pPr>
      <w:r w:rsidRPr="005A7FB8">
        <w:rPr>
          <w:rStyle w:val="st42"/>
          <w:sz w:val="28"/>
          <w:szCs w:val="28"/>
        </w:rPr>
        <w:t xml:space="preserve">Так само не враховується принцип рівного захисту державою усіх суб’єктів господарювання у положеннях підпункту </w:t>
      </w:r>
      <w:r w:rsidR="00241A24" w:rsidRPr="00BC107F">
        <w:rPr>
          <w:sz w:val="28"/>
          <w:szCs w:val="28"/>
        </w:rPr>
        <w:t>“</w:t>
      </w:r>
      <w:r w:rsidRPr="005A7FB8">
        <w:rPr>
          <w:rStyle w:val="st42"/>
          <w:sz w:val="28"/>
          <w:szCs w:val="28"/>
        </w:rPr>
        <w:t>б</w:t>
      </w:r>
      <w:r w:rsidR="00241A24" w:rsidRPr="00BC107F">
        <w:rPr>
          <w:sz w:val="28"/>
          <w:szCs w:val="28"/>
        </w:rPr>
        <w:t>”</w:t>
      </w:r>
      <w:r w:rsidRPr="005A7FB8">
        <w:rPr>
          <w:rStyle w:val="st42"/>
          <w:sz w:val="28"/>
          <w:szCs w:val="28"/>
        </w:rPr>
        <w:t xml:space="preserve"> підпункту 1 пункту 3 законопроекту, якими стаття 8 </w:t>
      </w:r>
      <w:r w:rsidRPr="005A7FB8">
        <w:rPr>
          <w:sz w:val="28"/>
          <w:szCs w:val="28"/>
        </w:rPr>
        <w:t xml:space="preserve">Закону України </w:t>
      </w:r>
      <w:r w:rsidR="00241A24" w:rsidRPr="00BC107F">
        <w:rPr>
          <w:sz w:val="28"/>
          <w:szCs w:val="28"/>
        </w:rPr>
        <w:t>“</w:t>
      </w:r>
      <w:r w:rsidRPr="005A7FB8">
        <w:rPr>
          <w:sz w:val="28"/>
          <w:szCs w:val="28"/>
        </w:rPr>
        <w:t>Про житлово-комунальні послуги</w:t>
      </w:r>
      <w:r w:rsidR="00241A24" w:rsidRPr="00BC107F">
        <w:rPr>
          <w:sz w:val="28"/>
          <w:szCs w:val="28"/>
        </w:rPr>
        <w:t>”</w:t>
      </w:r>
      <w:r w:rsidRPr="005A7FB8">
        <w:rPr>
          <w:sz w:val="28"/>
          <w:szCs w:val="28"/>
        </w:rPr>
        <w:t xml:space="preserve"> доповнюється пунктом 11, з</w:t>
      </w:r>
      <w:r w:rsidR="00150628">
        <w:rPr>
          <w:sz w:val="28"/>
          <w:szCs w:val="28"/>
        </w:rPr>
        <w:t>гідно з</w:t>
      </w:r>
      <w:r w:rsidRPr="005A7FB8">
        <w:rPr>
          <w:sz w:val="28"/>
          <w:szCs w:val="28"/>
        </w:rPr>
        <w:t xml:space="preserve"> яким до обов’язків у</w:t>
      </w:r>
      <w:r w:rsidRPr="005A7FB8">
        <w:rPr>
          <w:rStyle w:val="st42"/>
          <w:sz w:val="28"/>
          <w:szCs w:val="28"/>
        </w:rPr>
        <w:t xml:space="preserve">правителя багатоквартирного будинку віднесено </w:t>
      </w:r>
      <w:r w:rsidR="00466B44">
        <w:rPr>
          <w:rStyle w:val="st42"/>
          <w:sz w:val="28"/>
          <w:szCs w:val="28"/>
        </w:rPr>
        <w:t>необ</w:t>
      </w:r>
      <w:r w:rsidR="00150628">
        <w:rPr>
          <w:rStyle w:val="st42"/>
          <w:sz w:val="28"/>
          <w:szCs w:val="28"/>
        </w:rPr>
        <w:t>ме</w:t>
      </w:r>
      <w:r w:rsidR="00466B44">
        <w:rPr>
          <w:rStyle w:val="st42"/>
          <w:sz w:val="28"/>
          <w:szCs w:val="28"/>
        </w:rPr>
        <w:t xml:space="preserve">жене в часі </w:t>
      </w:r>
      <w:r w:rsidR="00150628">
        <w:rPr>
          <w:rStyle w:val="st42"/>
          <w:sz w:val="28"/>
          <w:szCs w:val="28"/>
        </w:rPr>
        <w:t xml:space="preserve">та за кількістю підстав виникнення </w:t>
      </w:r>
      <w:r w:rsidR="00466B44">
        <w:rPr>
          <w:rStyle w:val="st42"/>
          <w:sz w:val="28"/>
          <w:szCs w:val="28"/>
        </w:rPr>
        <w:t xml:space="preserve">зобов’язання щодо </w:t>
      </w:r>
      <w:r w:rsidRPr="005A7FB8">
        <w:rPr>
          <w:rStyle w:val="st42"/>
          <w:sz w:val="28"/>
          <w:szCs w:val="28"/>
        </w:rPr>
        <w:t xml:space="preserve">скликання зборів </w:t>
      </w:r>
      <w:r w:rsidRPr="005A7FB8">
        <w:rPr>
          <w:sz w:val="28"/>
          <w:szCs w:val="28"/>
        </w:rPr>
        <w:t>співвласників для обрання уповноваженої особи (осіб) співвласників для укладення, внесення змін та розірвання договорів з доступу до інфраструктури об’єктів будівництва, будинкової розподільної мережі та здійснення контролю за їх виконанням у разі звернення оператора, провайдера телекомунікацій або уповноваженої ними особи</w:t>
      </w:r>
      <w:r w:rsidR="00466B44">
        <w:rPr>
          <w:sz w:val="28"/>
          <w:szCs w:val="28"/>
        </w:rPr>
        <w:t>.</w:t>
      </w:r>
    </w:p>
    <w:p w:rsidR="00BC107F" w:rsidRDefault="007F5AD5" w:rsidP="00412F01">
      <w:pPr>
        <w:pStyle w:val="a3"/>
        <w:numPr>
          <w:ilvl w:val="0"/>
          <w:numId w:val="1"/>
        </w:numPr>
        <w:tabs>
          <w:tab w:val="left" w:pos="993"/>
        </w:tabs>
        <w:spacing w:after="120"/>
        <w:ind w:left="0" w:firstLine="709"/>
        <w:contextualSpacing w:val="0"/>
        <w:jc w:val="both"/>
        <w:rPr>
          <w:sz w:val="28"/>
          <w:szCs w:val="28"/>
        </w:rPr>
      </w:pPr>
      <w:r w:rsidRPr="00BC107F">
        <w:rPr>
          <w:color w:val="000000"/>
          <w:sz w:val="28"/>
          <w:szCs w:val="28"/>
        </w:rPr>
        <w:t>Вважаємо, що передбачений</w:t>
      </w:r>
      <w:r w:rsidRPr="00BC107F">
        <w:rPr>
          <w:sz w:val="28"/>
          <w:szCs w:val="28"/>
        </w:rPr>
        <w:t xml:space="preserve"> пунктом 3 розділу ІІ </w:t>
      </w:r>
      <w:r w:rsidR="00241A24" w:rsidRPr="00BC107F">
        <w:rPr>
          <w:sz w:val="28"/>
          <w:szCs w:val="28"/>
        </w:rPr>
        <w:t>“</w:t>
      </w:r>
      <w:r w:rsidRPr="00BC107F">
        <w:rPr>
          <w:sz w:val="28"/>
          <w:szCs w:val="28"/>
        </w:rPr>
        <w:t>Прикінцеві та перехідні положення</w:t>
      </w:r>
      <w:r w:rsidR="00241A24" w:rsidRPr="00BC107F">
        <w:rPr>
          <w:sz w:val="28"/>
          <w:szCs w:val="28"/>
        </w:rPr>
        <w:t>”</w:t>
      </w:r>
      <w:r w:rsidRPr="00BC107F">
        <w:rPr>
          <w:sz w:val="28"/>
          <w:szCs w:val="28"/>
        </w:rPr>
        <w:t xml:space="preserve"> </w:t>
      </w:r>
      <w:r w:rsidRPr="00BC107F">
        <w:rPr>
          <w:color w:val="000000"/>
          <w:sz w:val="28"/>
          <w:szCs w:val="28"/>
        </w:rPr>
        <w:t>законопроекту термін набрання чинності цим законопроектом</w:t>
      </w:r>
      <w:r w:rsidRPr="00BC107F">
        <w:rPr>
          <w:sz w:val="28"/>
          <w:szCs w:val="28"/>
        </w:rPr>
        <w:t xml:space="preserve"> (через 30 днів з дня його опублікування) слід було б перенести на пізніший момент у часі, </w:t>
      </w:r>
      <w:r w:rsidR="00BC107F" w:rsidRPr="00BC107F">
        <w:rPr>
          <w:sz w:val="28"/>
          <w:szCs w:val="28"/>
        </w:rPr>
        <w:t>адже положення щодо надання доручення Кабінету Міністрів України</w:t>
      </w:r>
      <w:r w:rsidR="00241A24">
        <w:rPr>
          <w:sz w:val="28"/>
          <w:szCs w:val="28"/>
        </w:rPr>
        <w:t xml:space="preserve"> </w:t>
      </w:r>
      <w:r w:rsidR="00BC107F" w:rsidRPr="00BC107F">
        <w:rPr>
          <w:sz w:val="28"/>
          <w:szCs w:val="28"/>
        </w:rPr>
        <w:t>“привести свої нормативно-правові акти у відповідність із цим Законом і забезпечити перегляд та приведення міністерс</w:t>
      </w:r>
      <w:r w:rsidR="00150628">
        <w:rPr>
          <w:sz w:val="28"/>
          <w:szCs w:val="28"/>
        </w:rPr>
        <w:t>т</w:t>
      </w:r>
      <w:r w:rsidR="00BC107F" w:rsidRPr="00BC107F">
        <w:rPr>
          <w:sz w:val="28"/>
          <w:szCs w:val="28"/>
        </w:rPr>
        <w:t xml:space="preserve">вами та іншими центральними органами виконавчої влади їх нормативно-правових актів у відповідність із цим Законом”, не враховують вимог частини восьмої статті 90 Регламенту Верховної Ради України та є юридично некоректними, оскільки реалізація норм проекту ставиться в залежність від прийняття </w:t>
      </w:r>
      <w:r w:rsidR="00150628">
        <w:rPr>
          <w:sz w:val="28"/>
          <w:szCs w:val="28"/>
        </w:rPr>
        <w:t xml:space="preserve">Урядом України </w:t>
      </w:r>
      <w:bookmarkStart w:id="0" w:name="_GoBack"/>
      <w:bookmarkEnd w:id="0"/>
      <w:r w:rsidR="00BC107F" w:rsidRPr="00BC107F">
        <w:rPr>
          <w:sz w:val="28"/>
          <w:szCs w:val="28"/>
        </w:rPr>
        <w:t>у майбутньому підзаконних нормативно-правових актів.</w:t>
      </w:r>
    </w:p>
    <w:p w:rsidR="00241A24" w:rsidRDefault="00241A24" w:rsidP="00241A24">
      <w:pPr>
        <w:pStyle w:val="a3"/>
        <w:tabs>
          <w:tab w:val="left" w:pos="993"/>
        </w:tabs>
        <w:spacing w:after="120"/>
        <w:ind w:left="709"/>
        <w:contextualSpacing w:val="0"/>
        <w:jc w:val="both"/>
        <w:rPr>
          <w:sz w:val="28"/>
          <w:szCs w:val="28"/>
        </w:rPr>
      </w:pPr>
    </w:p>
    <w:p w:rsidR="00241A24" w:rsidRPr="00241A24" w:rsidRDefault="00241A24" w:rsidP="00241A24">
      <w:pPr>
        <w:ind w:firstLine="709"/>
        <w:rPr>
          <w:b/>
          <w:sz w:val="28"/>
          <w:szCs w:val="28"/>
        </w:rPr>
      </w:pPr>
      <w:r w:rsidRPr="00241A24">
        <w:rPr>
          <w:b/>
          <w:sz w:val="28"/>
          <w:szCs w:val="28"/>
        </w:rPr>
        <w:t>Заступник керівника</w:t>
      </w:r>
    </w:p>
    <w:p w:rsidR="00241A24" w:rsidRPr="00241A24" w:rsidRDefault="00241A24" w:rsidP="00241A24">
      <w:pPr>
        <w:ind w:firstLine="709"/>
        <w:rPr>
          <w:sz w:val="28"/>
          <w:szCs w:val="28"/>
        </w:rPr>
      </w:pPr>
      <w:r w:rsidRPr="00241A24">
        <w:rPr>
          <w:b/>
          <w:sz w:val="28"/>
          <w:szCs w:val="28"/>
        </w:rPr>
        <w:t xml:space="preserve">Головного управління </w:t>
      </w:r>
      <w:r w:rsidRPr="00241A24">
        <w:rPr>
          <w:b/>
          <w:sz w:val="28"/>
          <w:szCs w:val="28"/>
        </w:rPr>
        <w:tab/>
      </w:r>
      <w:r w:rsidRPr="00241A24">
        <w:rPr>
          <w:b/>
          <w:sz w:val="28"/>
          <w:szCs w:val="28"/>
        </w:rPr>
        <w:tab/>
      </w:r>
      <w:r w:rsidRPr="00241A24">
        <w:rPr>
          <w:b/>
          <w:sz w:val="28"/>
          <w:szCs w:val="28"/>
        </w:rPr>
        <w:tab/>
      </w:r>
      <w:r w:rsidRPr="00241A24">
        <w:rPr>
          <w:b/>
          <w:sz w:val="28"/>
          <w:szCs w:val="28"/>
        </w:rPr>
        <w:tab/>
        <w:t xml:space="preserve"> </w:t>
      </w:r>
      <w:r w:rsidRPr="00241A24">
        <w:rPr>
          <w:b/>
          <w:sz w:val="28"/>
          <w:szCs w:val="28"/>
        </w:rPr>
        <w:tab/>
        <w:t xml:space="preserve"> В. МІЛОВАНОВ</w:t>
      </w:r>
    </w:p>
    <w:p w:rsidR="00241A24" w:rsidRPr="00BC107F" w:rsidRDefault="00241A24" w:rsidP="00241A24">
      <w:pPr>
        <w:pStyle w:val="a3"/>
        <w:tabs>
          <w:tab w:val="left" w:pos="993"/>
        </w:tabs>
        <w:spacing w:after="120"/>
        <w:ind w:left="709"/>
        <w:contextualSpacing w:val="0"/>
        <w:jc w:val="both"/>
        <w:rPr>
          <w:sz w:val="28"/>
          <w:szCs w:val="28"/>
        </w:rPr>
      </w:pPr>
    </w:p>
    <w:p w:rsidR="00466B44" w:rsidRPr="005A7FB8" w:rsidRDefault="00466B44" w:rsidP="00BC107F">
      <w:pPr>
        <w:pStyle w:val="a3"/>
        <w:spacing w:after="120"/>
        <w:ind w:left="1069" w:right="85"/>
        <w:jc w:val="both"/>
        <w:rPr>
          <w:noProof w:val="0"/>
          <w:sz w:val="28"/>
          <w:szCs w:val="28"/>
        </w:rPr>
      </w:pPr>
    </w:p>
    <w:p w:rsidR="00AE3E8A" w:rsidRPr="00AE3E8A" w:rsidRDefault="00AE3E8A" w:rsidP="00AE3E8A">
      <w:pPr>
        <w:spacing w:after="120"/>
        <w:ind w:right="85"/>
        <w:jc w:val="both"/>
        <w:rPr>
          <w:noProof w:val="0"/>
          <w:sz w:val="28"/>
          <w:szCs w:val="28"/>
        </w:rPr>
      </w:pPr>
    </w:p>
    <w:p w:rsidR="005204CF" w:rsidRDefault="005204CF"/>
    <w:sectPr w:rsidR="005204CF" w:rsidSect="00241A24">
      <w:headerReference w:type="default" r:id="rId7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7FA9" w:rsidRDefault="005F7FA9" w:rsidP="00241A24">
      <w:r>
        <w:separator/>
      </w:r>
    </w:p>
  </w:endnote>
  <w:endnote w:type="continuationSeparator" w:id="0">
    <w:p w:rsidR="005F7FA9" w:rsidRDefault="005F7FA9" w:rsidP="00241A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7FA9" w:rsidRDefault="005F7FA9" w:rsidP="00241A24">
      <w:r>
        <w:separator/>
      </w:r>
    </w:p>
  </w:footnote>
  <w:footnote w:type="continuationSeparator" w:id="0">
    <w:p w:rsidR="005F7FA9" w:rsidRDefault="005F7FA9" w:rsidP="00241A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97185350"/>
      <w:docPartObj>
        <w:docPartGallery w:val="Page Numbers (Top of Page)"/>
        <w:docPartUnique/>
      </w:docPartObj>
    </w:sdtPr>
    <w:sdtEndPr/>
    <w:sdtContent>
      <w:p w:rsidR="00241A24" w:rsidRDefault="00241A24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0628">
          <w:t>3</w:t>
        </w:r>
        <w:r>
          <w:fldChar w:fldCharType="end"/>
        </w:r>
      </w:p>
    </w:sdtContent>
  </w:sdt>
  <w:p w:rsidR="00241A24" w:rsidRDefault="00241A24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8B5A54"/>
    <w:multiLevelType w:val="hybridMultilevel"/>
    <w:tmpl w:val="473AFB60"/>
    <w:lvl w:ilvl="0" w:tplc="207233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797"/>
    <w:rsid w:val="000C67B4"/>
    <w:rsid w:val="000E4797"/>
    <w:rsid w:val="00114A84"/>
    <w:rsid w:val="00150628"/>
    <w:rsid w:val="00236977"/>
    <w:rsid w:val="00241A24"/>
    <w:rsid w:val="00330BD0"/>
    <w:rsid w:val="00412F01"/>
    <w:rsid w:val="00466B44"/>
    <w:rsid w:val="00493372"/>
    <w:rsid w:val="00496265"/>
    <w:rsid w:val="005204CF"/>
    <w:rsid w:val="005A7FB8"/>
    <w:rsid w:val="005F7FA9"/>
    <w:rsid w:val="007F5AD5"/>
    <w:rsid w:val="008B764E"/>
    <w:rsid w:val="00A21B38"/>
    <w:rsid w:val="00AD39D3"/>
    <w:rsid w:val="00AE3E8A"/>
    <w:rsid w:val="00B81A35"/>
    <w:rsid w:val="00BC107F"/>
    <w:rsid w:val="00BF6325"/>
    <w:rsid w:val="00E158E6"/>
    <w:rsid w:val="00E61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D0E81"/>
  <w15:chartTrackingRefBased/>
  <w15:docId w15:val="{0F67B4E8-BDDC-4B79-B977-632603068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4797"/>
    <w:pPr>
      <w:spacing w:after="0" w:line="240" w:lineRule="auto"/>
    </w:pPr>
    <w:rPr>
      <w:rFonts w:eastAsia="Times New Roman" w:cs="Times New Roman"/>
      <w:noProof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t42">
    <w:name w:val="st42"/>
    <w:uiPriority w:val="99"/>
    <w:rsid w:val="00B81A35"/>
    <w:rPr>
      <w:rFonts w:ascii="Times New Roman" w:hAnsi="Times New Roman" w:cs="Times New Roman"/>
      <w:color w:val="000000"/>
    </w:rPr>
  </w:style>
  <w:style w:type="paragraph" w:styleId="a3">
    <w:name w:val="List Paragraph"/>
    <w:basedOn w:val="a"/>
    <w:uiPriority w:val="34"/>
    <w:qFormat/>
    <w:rsid w:val="00AE3E8A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241A24"/>
    <w:pPr>
      <w:tabs>
        <w:tab w:val="center" w:pos="4819"/>
        <w:tab w:val="right" w:pos="9639"/>
      </w:tabs>
    </w:pPr>
  </w:style>
  <w:style w:type="character" w:customStyle="1" w:styleId="a5">
    <w:name w:val="Верхній колонтитул Знак"/>
    <w:basedOn w:val="a0"/>
    <w:link w:val="a4"/>
    <w:uiPriority w:val="99"/>
    <w:rsid w:val="00241A24"/>
    <w:rPr>
      <w:rFonts w:eastAsia="Times New Roman" w:cs="Times New Roman"/>
      <w:noProof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241A24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basedOn w:val="a0"/>
    <w:link w:val="a6"/>
    <w:uiPriority w:val="99"/>
    <w:rsid w:val="00241A24"/>
    <w:rPr>
      <w:rFonts w:eastAsia="Times New Roman" w:cs="Times New Roman"/>
      <w:noProof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3</Pages>
  <Words>4536</Words>
  <Characters>2586</Characters>
  <Application>Microsoft Office Word</Application>
  <DocSecurity>0</DocSecurity>
  <Lines>21</Lines>
  <Paragraphs>14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Радченко Олег Вікторович</dc:creator>
  <cp:keywords/>
  <dc:description/>
  <cp:lastModifiedBy>Радченко Олег Вікторович</cp:lastModifiedBy>
  <cp:revision>13</cp:revision>
  <dcterms:created xsi:type="dcterms:W3CDTF">2019-12-13T10:11:00Z</dcterms:created>
  <dcterms:modified xsi:type="dcterms:W3CDTF">2019-12-16T09:36:00Z</dcterms:modified>
</cp:coreProperties>
</file>