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6E9" w:rsidRPr="001834DD" w:rsidRDefault="002356E9" w:rsidP="002356E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356E9" w:rsidRPr="001834DD" w:rsidRDefault="002356E9" w:rsidP="002356E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З А У В А Ж Е Н </w:t>
      </w:r>
      <w:proofErr w:type="spellStart"/>
      <w:r w:rsidRPr="001834DD">
        <w:rPr>
          <w:rFonts w:ascii="Times New Roman" w:hAnsi="Times New Roman"/>
          <w:sz w:val="28"/>
          <w:szCs w:val="28"/>
          <w:lang w:val="uk-UA"/>
        </w:rPr>
        <w:t>Н</w:t>
      </w:r>
      <w:proofErr w:type="spellEnd"/>
      <w:r w:rsidRPr="001834DD">
        <w:rPr>
          <w:rFonts w:ascii="Times New Roman" w:hAnsi="Times New Roman"/>
          <w:sz w:val="28"/>
          <w:szCs w:val="28"/>
          <w:lang w:val="uk-UA"/>
        </w:rPr>
        <w:t xml:space="preserve"> Я</w:t>
      </w:r>
    </w:p>
    <w:p w:rsidR="002356E9" w:rsidRPr="001834DD" w:rsidRDefault="002356E9" w:rsidP="002356E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до проекту Закону України</w:t>
      </w:r>
    </w:p>
    <w:p w:rsidR="002356E9" w:rsidRPr="001834DD" w:rsidRDefault="002356E9" w:rsidP="002356E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«Про внесення змін до деяких законодавчих актів України </w:t>
      </w:r>
    </w:p>
    <w:p w:rsidR="002356E9" w:rsidRPr="001834DD" w:rsidRDefault="002356E9" w:rsidP="002356E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щодо створення національного органу інтелектуальної власності»</w:t>
      </w:r>
    </w:p>
    <w:p w:rsidR="002356E9" w:rsidRPr="001834DD" w:rsidRDefault="002356E9" w:rsidP="002356E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(реєстр. № 2255)</w:t>
      </w:r>
    </w:p>
    <w:p w:rsidR="002356E9" w:rsidRPr="001834DD" w:rsidRDefault="002356E9" w:rsidP="002356E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356E9" w:rsidRPr="001834DD" w:rsidRDefault="002356E9" w:rsidP="00235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У Головному юридичному управлінні розглянуто зазначений законопроект, підготовлений Комітетом з питань економічного розвитку до другого читання.</w:t>
      </w:r>
    </w:p>
    <w:p w:rsidR="002356E9" w:rsidRPr="001834DD" w:rsidRDefault="002356E9" w:rsidP="002356E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Законопроектом запропоновані зміни до низки законів України (Законів України "Про охорону прав на знаки для товарів і послуг", "Про охорону прав на компонування напівпровідникових виробів", "Про правову охорону географічних зазначень", "Про охорону прав на винаходи і корисні моделі", "Про авторське право і суміжні права" відповідно) з питань охорони прав інтелектуальної власності, які, зокрема, стосуються функціонування державної системи правової охорони інтелектуальної власності. Щодо пропонованих законодавчих положень звертаємо увагу на наступне.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1. Відповідно до нових норм статті </w:t>
      </w:r>
      <w:r w:rsidRPr="001834D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  Закону України "Про охорону прав на промислові зразки" (та змін до низки інших законодавчих актів цього законопроекту) </w:t>
      </w:r>
      <w:r w:rsidRPr="001834DD">
        <w:rPr>
          <w:rFonts w:ascii="Times New Roman" w:hAnsi="Times New Roman"/>
          <w:b/>
          <w:sz w:val="28"/>
          <w:szCs w:val="28"/>
          <w:lang w:val="uk-UA"/>
        </w:rPr>
        <w:t xml:space="preserve">державна система правової охорони інтелектуальної власності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визначається як «центральний орган виконавчої влади, що забезпечує формування та реалізує державну політику у сфері інтелектуальної власності, НОІВ і сукупність інших наукових, освітніх, інформаційних та інших відповідної спеціалізації державних підприємств, установ, організацій, що належать до сфери управління центрального органу виконавчої влади, що забезпечує формування та реалізує державну політику у сфері інтелектуальної власності". Тобто державна система охорони фактично зводиться до переліку суб’єктів, що входять до сфери управління одного центрального органу виконавчої влади. 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Однак, така державна система  має забезпечувати</w:t>
      </w:r>
      <w:r w:rsidRPr="001834DD">
        <w:rPr>
          <w:rStyle w:val="st42"/>
          <w:sz w:val="28"/>
          <w:szCs w:val="28"/>
          <w:lang w:val="uk-UA"/>
        </w:rPr>
        <w:t xml:space="preserve"> гарантії прав і свобод людини що визначають зміст і спрямованість діяльності української держави (стаття 3 </w:t>
      </w:r>
      <w:r w:rsidRPr="001834DD">
        <w:rPr>
          <w:rFonts w:ascii="Times New Roman" w:hAnsi="Times New Roman"/>
          <w:sz w:val="28"/>
          <w:szCs w:val="28"/>
          <w:lang w:val="uk-UA"/>
        </w:rPr>
        <w:t>Конституції України</w:t>
      </w:r>
      <w:r w:rsidRPr="001834DD">
        <w:rPr>
          <w:rStyle w:val="st42"/>
          <w:sz w:val="28"/>
          <w:szCs w:val="28"/>
          <w:lang w:val="uk-UA"/>
        </w:rPr>
        <w:t>). Тобто в системі мають бути задіяні усі дотичні органи влади та інші суб’єкти, що сприяють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всебічному забезпеченню (охороні) прав</w:t>
      </w:r>
      <w:r w:rsidRPr="001834DD">
        <w:rPr>
          <w:rStyle w:val="st42"/>
          <w:sz w:val="28"/>
          <w:szCs w:val="28"/>
          <w:lang w:val="uk-UA"/>
        </w:rPr>
        <w:t xml:space="preserve"> осіб </w:t>
      </w:r>
      <w:r w:rsidRPr="001834DD">
        <w:rPr>
          <w:rFonts w:ascii="Times New Roman" w:hAnsi="Times New Roman"/>
          <w:sz w:val="28"/>
          <w:szCs w:val="28"/>
          <w:lang w:val="uk-UA"/>
        </w:rPr>
        <w:t>на результати своєї інтелектуальної діяльності (стаття 41 Конституції України). Перш за все це стосується належного нормативного регулювання відповідних відносин на законодавчому рівні.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Що стосується суб’єктного складу державної системи, слід урахувати також, що на сьогодні відповідно до закону державна система охорони прав інтелектуальної власності, зокрема, об’єднує діяльність: </w:t>
      </w:r>
      <w:r w:rsidRPr="001834DD">
        <w:rPr>
          <w:rStyle w:val="st161"/>
          <w:sz w:val="28"/>
          <w:szCs w:val="28"/>
          <w:lang w:val="uk-UA"/>
        </w:rPr>
        <w:t>митних органів щодо сприяння захисту прав інтелектуальної власності під час переміщення товарів через митний кордон України</w:t>
      </w:r>
      <w:r w:rsidRPr="001834D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834DD">
        <w:rPr>
          <w:rFonts w:ascii="Times New Roman" w:hAnsi="Times New Roman"/>
          <w:sz w:val="28"/>
          <w:szCs w:val="28"/>
          <w:lang w:val="uk-UA"/>
        </w:rPr>
        <w:t>відповідно до Митного кодексу України (</w:t>
      </w:r>
      <w:r w:rsidRPr="001834DD">
        <w:rPr>
          <w:rStyle w:val="st161"/>
          <w:sz w:val="28"/>
          <w:szCs w:val="28"/>
          <w:lang w:val="uk-UA"/>
        </w:rPr>
        <w:t xml:space="preserve">Глава 57); </w:t>
      </w:r>
      <w:r w:rsidRPr="001834DD">
        <w:rPr>
          <w:rStyle w:val="st42"/>
          <w:sz w:val="28"/>
          <w:szCs w:val="28"/>
          <w:lang w:val="uk-UA"/>
        </w:rPr>
        <w:t>виконавця під час виконання науково-дослідних або дослідно-конструкторських та технологічних робіт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(статті 432, </w:t>
      </w:r>
      <w:r w:rsidRPr="001834DD">
        <w:rPr>
          <w:rStyle w:val="st42"/>
          <w:sz w:val="28"/>
          <w:szCs w:val="28"/>
          <w:lang w:val="uk-UA"/>
        </w:rPr>
        <w:t>897 Цивільного кодексу України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); осіб у рамках договірних відносин щодо </w:t>
      </w:r>
      <w:r w:rsidRPr="001834DD">
        <w:rPr>
          <w:rStyle w:val="st42"/>
          <w:sz w:val="28"/>
          <w:szCs w:val="28"/>
          <w:lang w:val="uk-UA"/>
        </w:rPr>
        <w:t>розпоряджання майновими правами інтелектуальної власності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(стаття 1107 </w:t>
      </w:r>
      <w:r w:rsidRPr="001834DD">
        <w:rPr>
          <w:rStyle w:val="st42"/>
          <w:sz w:val="28"/>
          <w:szCs w:val="28"/>
          <w:lang w:val="uk-UA"/>
        </w:rPr>
        <w:t>Цивільного кодексу України</w:t>
      </w:r>
      <w:r w:rsidRPr="001834DD">
        <w:rPr>
          <w:rFonts w:ascii="Times New Roman" w:hAnsi="Times New Roman"/>
          <w:sz w:val="28"/>
          <w:szCs w:val="28"/>
          <w:lang w:val="uk-UA"/>
        </w:rPr>
        <w:t>) та у сфері захисту авторського і суміжних прав (відповідно до Закону України «Про ефективне управління майновими правами правовласників у сфері авторського права і (або) суміжних прав»), а також включає судовий захист прав інтелектуальної власності. Тобто йдеться про складові, які у сфері охорони прав інтелектуальної власності системно функціонують в Україні  не лише в межах управління одного державного органу.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1"/>
        <w:rPr>
          <w:rStyle w:val="st42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Відтак, вважаємо, що з огляду на конституційні гарантії прав особи на результати своєї інтелектуальної діяльності, які, у тому числі, забезпечуються наявними й зазначеними вище елементами (особливостями) державної охорони прав в Україні, пропонований проектом підхід до визначення відповідної державної системи не спрямований на всебічне забезпечення державою прав особи у цій сфері.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eastAsia="Times New Roman" w:hAnsi="Times New Roman"/>
          <w:sz w:val="28"/>
          <w:szCs w:val="28"/>
          <w:lang w:val="uk-UA" w:eastAsia="uk-UA"/>
        </w:rPr>
        <w:t> </w:t>
      </w:r>
      <w:r w:rsidRPr="001834DD">
        <w:rPr>
          <w:rFonts w:ascii="Times New Roman" w:eastAsia="Times New Roman" w:hAnsi="Times New Roman"/>
          <w:sz w:val="28"/>
          <w:szCs w:val="28"/>
          <w:lang w:val="uk-UA" w:eastAsia="uk-UA"/>
        </w:rPr>
        <w:tab/>
      </w:r>
      <w:r w:rsidRPr="001834DD">
        <w:rPr>
          <w:rFonts w:ascii="Times New Roman" w:hAnsi="Times New Roman"/>
          <w:sz w:val="28"/>
          <w:szCs w:val="28"/>
          <w:lang w:val="uk-UA"/>
        </w:rPr>
        <w:t>2. Звертаємо увагу також, що відповідно до нової статті 2</w:t>
      </w:r>
      <w:r w:rsidRPr="001834DD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Закону України "Про охорону прав на промислові зразки" «функції НОІВ» - однієї з головних ланок пропонованої державної системи правової охорони інтелектуальної власності, - «виконує юридична особа публічного права (державна організація), утворена центральним органом виконавчої влади, що забезпечує формування та реалізує державну політику у сфері інтелектуальної власності, та визначена Кабінетом Міністрів України».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Зазначена державна організація наділяється владними повноваженнями (частина друга зазначеної статті) та діє на підставі «законів, актів центрального органу виконавчої влади, що забезпечує формування та реалізує державну політику у сфері інтелектуальної власності, та статуту, затвердженого центральним органом виконавчої влади, що забезпечує формування та реалізує державну політику у сфері інтелектуальної власності» (частина четверта зазначеної статті).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Однак, згідно з частиною другою статті 5 Конституції України «н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осієм суверенітету і єдиним джерелом влади в Україні є народ. Народ здійснює владу безпосередньо і </w:t>
      </w:r>
      <w:r w:rsidRPr="001834DD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через органи державної влади та органи місцевого самоврядування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Таким чином, наділення організації владними повноваженнями не відповідає, на нашу думку, частині другій статті 5 Конституції України.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Крім того, запропонований проектом підхід передбачає врегулювання діяльності зазначеного суб’єкта владних повноважень та його органів не лише законом, а й підзаконними актами. Однак, частина друга статті 19 Конституції України вимагає визначення виключно Конституцією і законами України підстави, меж повноважень та спосіб їх здійснення органами державної влади та органами місцевого самоврядування, їх посадовими особами. Оскільки згідно з поданим на розгляд проектом передбачені ним владні повноваження мають здійснюватися не органом державної влади, а «державною організацією», тим самим законопроект створює підґрунтя для виведення цього суб’єкта владних повноважень з під дії вимог частини другої статті 19 Конституції України, що суттєво знижує рівень захисту прав громадян у відповідній сфері, у тому числі у зв’язку з діяльністю  «органів НОІВ» -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Апеляційної палати, Апеляційної комісії та експертів НОІВ. </w:t>
      </w:r>
    </w:p>
    <w:p w:rsidR="002356E9" w:rsidRPr="001834DD" w:rsidRDefault="002356E9" w:rsidP="002356E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Водночас така 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«державна організація» - </w:t>
      </w:r>
      <w:r w:rsidRPr="001834DD">
        <w:rPr>
          <w:rFonts w:ascii="Times New Roman" w:hAnsi="Times New Roman"/>
          <w:sz w:val="28"/>
          <w:szCs w:val="28"/>
          <w:lang w:val="uk-UA"/>
        </w:rPr>
        <w:t>НОІВ, -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наділяється владними повноваженнями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«здійснення міжнародного співробітництва у сфері правової охорони інтелектуальної власності і </w:t>
      </w:r>
      <w:r w:rsidRPr="001834DD">
        <w:rPr>
          <w:rFonts w:ascii="Times New Roman" w:hAnsi="Times New Roman"/>
          <w:sz w:val="28"/>
          <w:szCs w:val="28"/>
          <w:u w:val="single"/>
          <w:lang w:val="uk-UA"/>
        </w:rPr>
        <w:t>представлення інтересів України з питань охорони прав на промислові зразки у Всесвітній організації інтелектуальної власності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1834DD">
        <w:rPr>
          <w:rFonts w:ascii="Times New Roman" w:hAnsi="Times New Roman"/>
          <w:sz w:val="28"/>
          <w:szCs w:val="28"/>
          <w:u w:val="single"/>
          <w:lang w:val="uk-UA"/>
        </w:rPr>
        <w:t>інших міжнародних організаціях відповідно до чинного законодавства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», НОІВ «виконує функції "Національного відомства" та "Відомства", передбачених </w:t>
      </w:r>
      <w:r w:rsidRPr="001834DD">
        <w:rPr>
          <w:rFonts w:ascii="Times New Roman" w:hAnsi="Times New Roman"/>
          <w:sz w:val="28"/>
          <w:szCs w:val="28"/>
          <w:u w:val="single"/>
          <w:lang w:val="uk-UA"/>
        </w:rPr>
        <w:t>Гаазьким і Женевським актами до Гаазької угоди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про міжнародну реєстрацію промислових зразків» (частини друга і третя нової статті 2</w:t>
      </w:r>
      <w:r w:rsidRPr="001834DD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 w:rsidRPr="001834DD">
        <w:rPr>
          <w:rFonts w:ascii="Times New Roman" w:hAnsi="Times New Roman"/>
          <w:sz w:val="28"/>
          <w:szCs w:val="28"/>
          <w:lang w:val="uk-UA"/>
        </w:rPr>
        <w:t>зазначеного Закону), а також здійснює «</w:t>
      </w:r>
      <w:r w:rsidRPr="001834DD">
        <w:rPr>
          <w:rFonts w:ascii="Times New Roman" w:eastAsia="Times New Roman" w:hAnsi="Times New Roman"/>
          <w:sz w:val="28"/>
          <w:szCs w:val="28"/>
          <w:lang w:val="uk-UA" w:eastAsia="ru-RU"/>
        </w:rPr>
        <w:t>функції "відомства, що отримує", "Міжнародного пошукового органу" та "Органу міжнародної попередньої експертизи" відповідно до Договору про патентну кооперацію» (наприклад, зміни до Закону України "Про охорону прав на винаходи і корисні моделі").</w:t>
      </w:r>
    </w:p>
    <w:p w:rsidR="002356E9" w:rsidRPr="001834DD" w:rsidRDefault="002356E9" w:rsidP="002356E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 Звертаємо увагу, що відповідні приписи містять узагальнені формулювання, що не дозволяють, у тому числі згідно із </w:t>
      </w:r>
      <w:r w:rsidRPr="001834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Законом України «Про приєднання України до Гаазької угоди про міжнародну реєстрацію промислових зразків (Гаазького </w:t>
      </w:r>
      <w:proofErr w:type="spellStart"/>
      <w:r w:rsidRPr="001834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акта</w:t>
      </w:r>
      <w:proofErr w:type="spellEnd"/>
      <w:r w:rsidRPr="001834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, прийнятого 28 листопада 1960 року, та Женевського </w:t>
      </w:r>
      <w:proofErr w:type="spellStart"/>
      <w:r w:rsidRPr="001834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акта</w:t>
      </w:r>
      <w:proofErr w:type="spellEnd"/>
      <w:r w:rsidRPr="001834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, прийнятого 2 липня 1999 року)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визначити обсяг повноважень НОІВ як суб’єкта відповідних відносин. Це, у свою чергу, не відповідає 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частині другій статті 19 Конституції України про визначення виключно Конституцією і законами України меж повноважень органів державної влади. Звертаємо також увагу, що,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пропоновані норми є юридично некоректними й з огляду на 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 xml:space="preserve">сумнівну правову природу 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НОІВ. 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3. Згідно з абзацом четвертим частини першої нової редакції статті 2 Закону України "Про охорону прав на промислові зразки" (підпункт 2 пункту 1 розділу І законопроекту) «до повноважень центрального органу виконавчої влади, що забезпечує формування та реалізує державну політику у сфері інтелектуальної власності, належать: … взаємодія та </w:t>
      </w:r>
      <w:r w:rsidRPr="001834DD">
        <w:rPr>
          <w:rFonts w:ascii="Times New Roman" w:hAnsi="Times New Roman"/>
          <w:sz w:val="28"/>
          <w:szCs w:val="28"/>
          <w:u w:val="single"/>
          <w:lang w:val="uk-UA"/>
        </w:rPr>
        <w:t>координація з центральними органами виконавчої влади, іншими органами державної влади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у процесі формування та реалізації державної політики у сфері інтелектуальної власності, а також з метою посилення захисту прав інтелектуальної власності».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Однак, відповідно до пункту 9 частини першої статті 116 Конституції України 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координація роботи міністерств, інших органів виконавчої влади віднесена до повноважень Кабінету Міністрів України.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Таким чином, з метою узгодження законопроекту із статтею 116 Конституції України зазначене положення проекту слід виключити. В іншому разі воно потребує доопрацювання з огляду на мету, яку законодавець намагався при цьому досягти.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Те ж саме стосується інших законів, до яких пропонується </w:t>
      </w:r>
      <w:proofErr w:type="spellStart"/>
      <w:r w:rsidRPr="001834DD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1834DD">
        <w:rPr>
          <w:rFonts w:ascii="Times New Roman" w:hAnsi="Times New Roman"/>
          <w:sz w:val="28"/>
          <w:szCs w:val="28"/>
          <w:lang w:val="uk-UA"/>
        </w:rPr>
        <w:t xml:space="preserve"> зміни законопроектом, поданим на розгляд.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4. Згідно з частиною восьмою нової статті 2</w:t>
      </w:r>
      <w:r w:rsidRPr="001834DD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Закону України "Про охорону прав на промислові зразки" наглядова рада є наглядовим органом НОІВ, що формується у складі … двох представників Верховної Ради України».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Слід зауважити, що Конституція України не наділяє Верховну Раду України повноваженням призначати своїх «представників» до складу наглядової ради НОІВ.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 Натомість, відповідно до частини другої статті 85 Конституції України, згідно з якою «В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ерховна Рада України здійснює також інші повноваження, які відповідно до Конституції України віднесені до її відання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Таким чином, закон не може визначати нові, не передбачені Конституцією України повноваження Верховної Ради України, як це відбулося у вищезазначеному положенні законопроекту.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Те ж саме стосується інших законів, до яких пропонується </w:t>
      </w:r>
      <w:proofErr w:type="spellStart"/>
      <w:r w:rsidRPr="001834DD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1834DD">
        <w:rPr>
          <w:rFonts w:ascii="Times New Roman" w:hAnsi="Times New Roman"/>
          <w:sz w:val="28"/>
          <w:szCs w:val="28"/>
          <w:lang w:val="uk-UA"/>
        </w:rPr>
        <w:t xml:space="preserve"> зміни законопроектом, поданим на розгляд.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5. Законопроектом пропонується виключити слова «має статус науково-технічної експертизи» із тексту законодавчих актів у сфері охорони прав інтелектуальної власності (зміни до Закону України </w:t>
      </w:r>
      <w:r w:rsidRPr="001834DD">
        <w:rPr>
          <w:rFonts w:ascii="Times New Roman" w:eastAsia="Times New Roman" w:hAnsi="Times New Roman"/>
          <w:sz w:val="28"/>
          <w:szCs w:val="28"/>
          <w:lang w:val="uk-UA" w:eastAsia="ru-RU"/>
        </w:rPr>
        <w:t>"Про охорону прав на компонування напівпровідникових виробів" та інших законів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) щодо експертизи </w:t>
      </w:r>
      <w:r w:rsidRPr="001834DD">
        <w:rPr>
          <w:rStyle w:val="st42"/>
          <w:sz w:val="28"/>
          <w:szCs w:val="28"/>
          <w:lang w:val="uk-UA"/>
        </w:rPr>
        <w:t>заявки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, яка проводилась відповідно до Закону України «Про наукову і науково-технічну експертизу». 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Відтак невідомо, яку саме експертизу планується здійснювати щодо об’єктів права інтелектуальної власності в Україні у зв’язку з прийняттям відповідних змін.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 xml:space="preserve">6. Відповідно до пункту 2 розділу II «Прикінцеві та перехідні положення» законопроекту </w:t>
      </w:r>
      <w:r w:rsidRPr="001834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національний орган інтелектуальної власності - НОІВ «є </w:t>
      </w:r>
      <w:r w:rsidRPr="001834DD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функціональним правонаступником</w:t>
      </w:r>
      <w:r w:rsidRPr="001834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центрального органу виконавчої влади, що забезпечує формування та реалізує державну політику у сфері інтелектуальної власності, щодо окремих функцій та повноважень з реалізації державної політики у сфері інтелектуальної власності, визначених цим Законом». Такий «розподіл повноважень» щодо державних органів не відповідає конституційній моделі організації влади в Україні.</w:t>
      </w:r>
      <w:r w:rsidRPr="001834D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Вважаємо також, що пункти 3 – 6 розділу II «Прикінцеві та перехідні положення» законопроекту містять ознаки зворотної дії закону (стаття 58 Конституції України) в частині поширення порядку здійснення нових повноважень НОІВ  на відносини з охорони прав, що виникли до прийняття нового Закону.</w:t>
      </w:r>
    </w:p>
    <w:p w:rsidR="002356E9" w:rsidRPr="001834DD" w:rsidRDefault="002356E9" w:rsidP="002356E9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Крім того, згідно з пунктом 8 розділу II «Прикінцеві та перехідні положення» законопроекту «до приведення нормативно-правових актів, прийнятих до набрання чинності цим Законом, у відповідність із цим Законом вони діють в частині, що не суперечить цьому Закону».</w:t>
      </w:r>
    </w:p>
    <w:p w:rsidR="002356E9" w:rsidRPr="001834DD" w:rsidRDefault="002356E9" w:rsidP="00235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Зазначений підхід не враховує вимог частини восьмої статті 90 Регламенту Верховної Ради України, якою передбачено, що «я</w:t>
      </w:r>
      <w:r w:rsidRPr="001834DD">
        <w:rPr>
          <w:rFonts w:ascii="Times New Roman" w:hAnsi="Times New Roman"/>
          <w:color w:val="000000"/>
          <w:sz w:val="28"/>
          <w:szCs w:val="28"/>
          <w:lang w:val="uk-UA"/>
        </w:rPr>
        <w:t>кщо для реалізації положень поданого законопроекту після його прийняття необхідні зміни до інших законів, такі зміни мають викладатися в розділі "Перехідні положення"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</w:t>
      </w:r>
      <w:r w:rsidRPr="001834DD">
        <w:rPr>
          <w:rFonts w:ascii="Times New Roman" w:hAnsi="Times New Roman"/>
          <w:sz w:val="28"/>
          <w:szCs w:val="28"/>
          <w:lang w:val="uk-UA"/>
        </w:rPr>
        <w:t>».</w:t>
      </w:r>
    </w:p>
    <w:p w:rsidR="002356E9" w:rsidRPr="001834DD" w:rsidRDefault="002356E9" w:rsidP="00235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56E9" w:rsidRPr="001834DD" w:rsidRDefault="002356E9" w:rsidP="002356E9">
      <w:pPr>
        <w:spacing w:after="0" w:line="240" w:lineRule="auto"/>
        <w:ind w:firstLine="709"/>
        <w:jc w:val="both"/>
        <w:rPr>
          <w:rFonts w:ascii="Times New Roman" w:eastAsia="SimSun" w:hAnsi="Times New Roman"/>
          <w:kern w:val="3"/>
          <w:sz w:val="28"/>
          <w:szCs w:val="28"/>
          <w:lang w:val="uk-UA"/>
        </w:rPr>
      </w:pPr>
      <w:r w:rsidRPr="001834DD">
        <w:rPr>
          <w:rFonts w:ascii="Times New Roman" w:hAnsi="Times New Roman"/>
          <w:sz w:val="28"/>
          <w:szCs w:val="28"/>
          <w:lang w:val="uk-UA"/>
        </w:rPr>
        <w:t>Наведене, а також інші вади законопроекту, на які  вище зверталась увага управління, не враховують вимоги юридичної визначеності закону як складової принципу верховенства права (стаття 8 Конституції України),</w:t>
      </w:r>
      <w:r w:rsidRPr="001834DD">
        <w:rPr>
          <w:rFonts w:ascii="Times New Roman" w:eastAsia="SimSun" w:hAnsi="Times New Roman"/>
          <w:kern w:val="3"/>
          <w:sz w:val="28"/>
          <w:szCs w:val="28"/>
          <w:lang w:val="uk-UA"/>
        </w:rPr>
        <w:t xml:space="preserve"> що відповідно до Рішення Конституційного Суду України від 22 вересня 2005 року № 5-рп/2005 неминуче призводить до сваволі.</w:t>
      </w:r>
    </w:p>
    <w:p w:rsidR="002356E9" w:rsidRPr="001834DD" w:rsidRDefault="002356E9" w:rsidP="002356E9">
      <w:pPr>
        <w:spacing w:after="0" w:line="240" w:lineRule="auto"/>
        <w:ind w:firstLine="709"/>
        <w:jc w:val="both"/>
        <w:rPr>
          <w:rFonts w:ascii="Times New Roman" w:eastAsia="SimSun" w:hAnsi="Times New Roman"/>
          <w:kern w:val="3"/>
          <w:sz w:val="28"/>
          <w:szCs w:val="28"/>
          <w:lang w:val="uk-UA"/>
        </w:rPr>
      </w:pPr>
    </w:p>
    <w:p w:rsidR="002356E9" w:rsidRPr="001834DD" w:rsidRDefault="002356E9" w:rsidP="002356E9">
      <w:pPr>
        <w:pStyle w:val="aa"/>
        <w:spacing w:line="264" w:lineRule="auto"/>
        <w:ind w:firstLine="709"/>
        <w:jc w:val="both"/>
        <w:rPr>
          <w:rFonts w:eastAsia="SimSun" w:cs="Times New Roman"/>
          <w:kern w:val="3"/>
          <w:szCs w:val="28"/>
          <w:lang w:val="uk-UA"/>
        </w:rPr>
      </w:pPr>
      <w:r w:rsidRPr="001834DD">
        <w:rPr>
          <w:rFonts w:eastAsia="SimSun" w:cs="Times New Roman"/>
          <w:kern w:val="3"/>
          <w:szCs w:val="28"/>
          <w:lang w:val="uk-UA"/>
        </w:rPr>
        <w:t>З огляду на характер зауважень вважаємо можливим розгляд  головним комітетом на своєму з</w:t>
      </w:r>
      <w:bookmarkStart w:id="0" w:name="_GoBack"/>
      <w:bookmarkEnd w:id="0"/>
      <w:r w:rsidRPr="001834DD">
        <w:rPr>
          <w:rFonts w:eastAsia="SimSun" w:cs="Times New Roman"/>
          <w:kern w:val="3"/>
          <w:szCs w:val="28"/>
          <w:lang w:val="uk-UA"/>
        </w:rPr>
        <w:t xml:space="preserve">асіданні відповідно до </w:t>
      </w:r>
      <w:r w:rsidRPr="001834DD">
        <w:rPr>
          <w:szCs w:val="28"/>
          <w:lang w:val="uk-UA"/>
        </w:rPr>
        <w:t>частини шостої статті 118 Регламенту Верховної Ради України</w:t>
      </w:r>
      <w:r w:rsidRPr="001834DD">
        <w:rPr>
          <w:rFonts w:eastAsia="SimSun" w:cs="Times New Roman"/>
          <w:kern w:val="3"/>
          <w:szCs w:val="28"/>
          <w:lang w:val="uk-UA"/>
        </w:rPr>
        <w:t xml:space="preserve"> пропозицій (поправок) до законопроекту, підготовлених з урахуванням наданих висновків управління</w:t>
      </w:r>
      <w:r w:rsidRPr="001834DD">
        <w:rPr>
          <w:szCs w:val="28"/>
          <w:lang w:val="uk-UA"/>
        </w:rPr>
        <w:t>.</w:t>
      </w:r>
    </w:p>
    <w:p w:rsidR="002356E9" w:rsidRPr="001834DD" w:rsidRDefault="002356E9" w:rsidP="002356E9">
      <w:pPr>
        <w:pStyle w:val="aa"/>
        <w:spacing w:line="264" w:lineRule="auto"/>
        <w:ind w:firstLine="709"/>
        <w:jc w:val="both"/>
        <w:rPr>
          <w:b/>
          <w:szCs w:val="28"/>
          <w:lang w:val="uk-UA"/>
        </w:rPr>
      </w:pPr>
    </w:p>
    <w:p w:rsidR="002356E9" w:rsidRPr="001834DD" w:rsidRDefault="002356E9" w:rsidP="002356E9">
      <w:pPr>
        <w:pStyle w:val="aa"/>
        <w:spacing w:line="264" w:lineRule="auto"/>
        <w:ind w:firstLine="709"/>
        <w:jc w:val="both"/>
        <w:rPr>
          <w:szCs w:val="28"/>
          <w:lang w:val="uk-UA"/>
        </w:rPr>
      </w:pPr>
      <w:r w:rsidRPr="001834DD">
        <w:rPr>
          <w:b/>
          <w:szCs w:val="28"/>
          <w:lang w:val="uk-UA"/>
        </w:rPr>
        <w:t xml:space="preserve">Узагальнюючий висновок: </w:t>
      </w:r>
      <w:r w:rsidRPr="001834DD">
        <w:rPr>
          <w:rFonts w:eastAsia="Calibri"/>
          <w:szCs w:val="28"/>
          <w:lang w:val="uk-UA"/>
        </w:rPr>
        <w:t>законопроект потребує суттєвого змістовного та техніко-юридичного доопрацювання.</w:t>
      </w:r>
      <w:r w:rsidRPr="001834DD">
        <w:rPr>
          <w:szCs w:val="28"/>
          <w:lang w:val="uk-UA"/>
        </w:rPr>
        <w:t xml:space="preserve"> </w:t>
      </w:r>
    </w:p>
    <w:p w:rsidR="002356E9" w:rsidRPr="001834DD" w:rsidRDefault="002356E9" w:rsidP="002356E9">
      <w:pPr>
        <w:pStyle w:val="aa"/>
        <w:spacing w:line="264" w:lineRule="auto"/>
        <w:ind w:firstLine="709"/>
        <w:rPr>
          <w:rFonts w:eastAsia="Calibri"/>
          <w:szCs w:val="28"/>
          <w:lang w:val="uk-UA"/>
        </w:rPr>
      </w:pPr>
    </w:p>
    <w:p w:rsidR="002356E9" w:rsidRPr="001834DD" w:rsidRDefault="002356E9" w:rsidP="002356E9">
      <w:pPr>
        <w:pStyle w:val="aa"/>
        <w:spacing w:line="264" w:lineRule="auto"/>
        <w:ind w:firstLine="709"/>
        <w:rPr>
          <w:rFonts w:eastAsia="Calibri"/>
          <w:szCs w:val="28"/>
          <w:lang w:val="uk-UA"/>
        </w:rPr>
      </w:pPr>
      <w:r w:rsidRPr="001834DD">
        <w:rPr>
          <w:rFonts w:eastAsia="Calibri"/>
          <w:szCs w:val="28"/>
          <w:lang w:val="uk-UA"/>
        </w:rPr>
        <w:t xml:space="preserve"> </w:t>
      </w:r>
    </w:p>
    <w:p w:rsidR="002356E9" w:rsidRPr="001834DD" w:rsidRDefault="002356E9" w:rsidP="002356E9">
      <w:pPr>
        <w:pStyle w:val="st2"/>
        <w:ind w:firstLine="708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1834D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Заступник керівника</w:t>
      </w:r>
    </w:p>
    <w:p w:rsidR="002356E9" w:rsidRPr="001834DD" w:rsidRDefault="002356E9" w:rsidP="002356E9">
      <w:pPr>
        <w:pStyle w:val="st2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834D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Головного юридичного управління                                  В.В. Мілованов</w:t>
      </w:r>
    </w:p>
    <w:p w:rsidR="002356E9" w:rsidRPr="001834DD" w:rsidRDefault="002356E9" w:rsidP="002356E9">
      <w:pPr>
        <w:rPr>
          <w:rFonts w:ascii="Times New Roman" w:hAnsi="Times New Roman"/>
          <w:sz w:val="28"/>
          <w:szCs w:val="28"/>
          <w:lang w:val="uk-UA"/>
        </w:rPr>
      </w:pPr>
    </w:p>
    <w:p w:rsidR="00035126" w:rsidRPr="001834DD" w:rsidRDefault="00035126" w:rsidP="0003512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sectPr w:rsidR="00035126" w:rsidRPr="001834DD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B6CE8"/>
    <w:rsid w:val="000F1586"/>
    <w:rsid w:val="00141617"/>
    <w:rsid w:val="001834DD"/>
    <w:rsid w:val="0019108F"/>
    <w:rsid w:val="001966F0"/>
    <w:rsid w:val="001D3C24"/>
    <w:rsid w:val="002356E9"/>
    <w:rsid w:val="00235CD7"/>
    <w:rsid w:val="00290C62"/>
    <w:rsid w:val="002A5D4C"/>
    <w:rsid w:val="002B5FC1"/>
    <w:rsid w:val="002D0561"/>
    <w:rsid w:val="002E0A18"/>
    <w:rsid w:val="002E31BF"/>
    <w:rsid w:val="002E44DA"/>
    <w:rsid w:val="003D1CBA"/>
    <w:rsid w:val="00451750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4A7D"/>
    <w:rsid w:val="0066623D"/>
    <w:rsid w:val="006F10E8"/>
    <w:rsid w:val="00713E93"/>
    <w:rsid w:val="0073224C"/>
    <w:rsid w:val="007F5D91"/>
    <w:rsid w:val="0080545D"/>
    <w:rsid w:val="00820D72"/>
    <w:rsid w:val="00945B68"/>
    <w:rsid w:val="00957D31"/>
    <w:rsid w:val="009A720A"/>
    <w:rsid w:val="009F3A3F"/>
    <w:rsid w:val="00A00059"/>
    <w:rsid w:val="00A833C8"/>
    <w:rsid w:val="00AD7F82"/>
    <w:rsid w:val="00BD0801"/>
    <w:rsid w:val="00BF1E95"/>
    <w:rsid w:val="00C11FB6"/>
    <w:rsid w:val="00C27AE9"/>
    <w:rsid w:val="00CC39A1"/>
    <w:rsid w:val="00CD4A38"/>
    <w:rsid w:val="00CE3E1B"/>
    <w:rsid w:val="00CE6A4B"/>
    <w:rsid w:val="00D242C2"/>
    <w:rsid w:val="00D57E1B"/>
    <w:rsid w:val="00DD6C75"/>
    <w:rsid w:val="00E50354"/>
    <w:rsid w:val="00F01A33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DAC0A-9480-4637-A6A2-EB78B4A7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1591</Words>
  <Characters>10789</Characters>
  <Application>Microsoft Office Word</Application>
  <DocSecurity>0</DocSecurity>
  <Lines>89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Бикова Інна Григорівна</cp:lastModifiedBy>
  <cp:revision>4</cp:revision>
  <cp:lastPrinted>2015-08-14T12:41:00Z</cp:lastPrinted>
  <dcterms:created xsi:type="dcterms:W3CDTF">2020-06-11T13:06:00Z</dcterms:created>
  <dcterms:modified xsi:type="dcterms:W3CDTF">2020-06-11T13:08:00Z</dcterms:modified>
</cp:coreProperties>
</file>