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AC" w:rsidRPr="00FA5515" w:rsidRDefault="007D67AC" w:rsidP="007D67AC">
      <w:pPr>
        <w:jc w:val="center"/>
        <w:rPr>
          <w:rFonts w:eastAsia="Calibri"/>
          <w:b/>
          <w:sz w:val="28"/>
          <w:szCs w:val="28"/>
          <w:lang w:val="uk-UA"/>
        </w:rPr>
      </w:pPr>
      <w:bookmarkStart w:id="0" w:name="_GoBack"/>
      <w:bookmarkEnd w:id="0"/>
      <w:r w:rsidRPr="00FA5515">
        <w:rPr>
          <w:rFonts w:eastAsia="Calibri"/>
          <w:b/>
          <w:sz w:val="28"/>
          <w:szCs w:val="28"/>
          <w:lang w:val="uk-UA"/>
        </w:rPr>
        <w:t>ВИСНОВОК</w:t>
      </w:r>
    </w:p>
    <w:p w:rsidR="007D67AC" w:rsidRPr="00FA5515" w:rsidRDefault="007D67AC" w:rsidP="007D67AC">
      <w:pPr>
        <w:jc w:val="center"/>
        <w:rPr>
          <w:rFonts w:eastAsia="Calibri"/>
          <w:b/>
          <w:sz w:val="28"/>
          <w:szCs w:val="28"/>
          <w:lang w:val="uk-UA"/>
        </w:rPr>
      </w:pPr>
      <w:r w:rsidRPr="00FA5515">
        <w:rPr>
          <w:rFonts w:eastAsia="Calibri"/>
          <w:b/>
          <w:sz w:val="28"/>
          <w:szCs w:val="28"/>
          <w:lang w:val="uk-UA"/>
        </w:rPr>
        <w:t>Комітету Верховної Ради України з питань інтеграції України з Європейським Союзом</w:t>
      </w:r>
    </w:p>
    <w:p w:rsidR="007D67AC" w:rsidRPr="00FA5515" w:rsidRDefault="007D67AC" w:rsidP="007D67AC">
      <w:pPr>
        <w:jc w:val="center"/>
        <w:rPr>
          <w:rFonts w:eastAsia="Calibri"/>
          <w:b/>
          <w:sz w:val="28"/>
          <w:szCs w:val="28"/>
          <w:lang w:val="uk-UA"/>
        </w:rPr>
      </w:pPr>
      <w:r w:rsidRPr="00FA5515">
        <w:rPr>
          <w:rFonts w:eastAsia="Calibri"/>
          <w:b/>
          <w:sz w:val="28"/>
          <w:szCs w:val="28"/>
          <w:lang w:val="uk-UA"/>
        </w:rPr>
        <w:t xml:space="preserve">щодо проекту Закону України </w:t>
      </w:r>
    </w:p>
    <w:p w:rsidR="007D67AC" w:rsidRPr="00FA5515" w:rsidRDefault="007D67AC" w:rsidP="007D67AC">
      <w:pPr>
        <w:pStyle w:val="StyleZakonu"/>
        <w:spacing w:after="0" w:line="240" w:lineRule="auto"/>
        <w:ind w:firstLine="0"/>
        <w:jc w:val="center"/>
        <w:rPr>
          <w:rFonts w:eastAsia="Calibri"/>
          <w:b/>
          <w:sz w:val="28"/>
          <w:szCs w:val="28"/>
        </w:rPr>
      </w:pPr>
      <w:r w:rsidRPr="00FA5515">
        <w:rPr>
          <w:rFonts w:eastAsia="Calibri"/>
          <w:b/>
          <w:sz w:val="28"/>
          <w:szCs w:val="28"/>
        </w:rPr>
        <w:t>"Про внесення змін до деяких законодавчих актів України щодо посилення відповідальності за правопорушення у сфері обігу та вживання тютюнових виробів"</w:t>
      </w:r>
    </w:p>
    <w:p w:rsidR="007D67AC" w:rsidRPr="00FA5515" w:rsidRDefault="007D67AC" w:rsidP="007D67AC">
      <w:pPr>
        <w:jc w:val="center"/>
        <w:rPr>
          <w:bCs/>
          <w:sz w:val="28"/>
          <w:szCs w:val="28"/>
          <w:lang w:val="uk-UA"/>
        </w:rPr>
      </w:pPr>
      <w:r w:rsidRPr="00FA5515">
        <w:rPr>
          <w:bCs/>
          <w:sz w:val="28"/>
          <w:szCs w:val="28"/>
          <w:lang w:val="uk-UA"/>
        </w:rPr>
        <w:t xml:space="preserve">(реєстр. № 2199-2, </w:t>
      </w:r>
      <w:proofErr w:type="spellStart"/>
      <w:r w:rsidRPr="00FA5515">
        <w:rPr>
          <w:bCs/>
          <w:sz w:val="28"/>
          <w:szCs w:val="28"/>
          <w:lang w:val="uk-UA"/>
        </w:rPr>
        <w:t>н.д</w:t>
      </w:r>
      <w:proofErr w:type="spellEnd"/>
      <w:r w:rsidRPr="00FA5515">
        <w:rPr>
          <w:bCs/>
          <w:sz w:val="28"/>
          <w:szCs w:val="28"/>
          <w:lang w:val="uk-UA"/>
        </w:rPr>
        <w:t>. П. Павловський)</w:t>
      </w:r>
    </w:p>
    <w:p w:rsidR="007D67AC" w:rsidRPr="00FA5515" w:rsidRDefault="007D67AC" w:rsidP="007D67AC">
      <w:pPr>
        <w:shd w:val="clear" w:color="auto" w:fill="FFFFFF"/>
        <w:ind w:firstLine="709"/>
        <w:textAlignment w:val="baseline"/>
        <w:rPr>
          <w:rFonts w:eastAsia="Calibri"/>
          <w:b/>
          <w:bCs/>
          <w:sz w:val="28"/>
          <w:szCs w:val="28"/>
          <w:lang w:val="uk-UA"/>
        </w:rPr>
      </w:pPr>
    </w:p>
    <w:p w:rsidR="007D67AC" w:rsidRPr="00FA5515" w:rsidRDefault="007D67AC" w:rsidP="007D67AC">
      <w:pPr>
        <w:shd w:val="clear" w:color="auto" w:fill="FFFFFF"/>
        <w:ind w:firstLine="709"/>
        <w:jc w:val="both"/>
        <w:textAlignment w:val="baseline"/>
        <w:rPr>
          <w:rFonts w:eastAsia="Calibri"/>
          <w:b/>
          <w:sz w:val="28"/>
          <w:szCs w:val="28"/>
          <w:lang w:val="uk-UA"/>
        </w:rPr>
      </w:pPr>
      <w:r w:rsidRPr="00FA5515">
        <w:rPr>
          <w:rFonts w:eastAsia="Calibri"/>
          <w:b/>
          <w:bCs/>
          <w:sz w:val="28"/>
          <w:szCs w:val="28"/>
          <w:lang w:val="uk-UA"/>
        </w:rPr>
        <w:t xml:space="preserve">1. </w:t>
      </w:r>
      <w:r w:rsidRPr="00FA5515">
        <w:rPr>
          <w:rFonts w:eastAsia="Calibri"/>
          <w:b/>
          <w:sz w:val="28"/>
          <w:szCs w:val="28"/>
          <w:lang w:val="uk-UA"/>
        </w:rPr>
        <w:t>Загальна характеристика законопроекту</w:t>
      </w:r>
    </w:p>
    <w:p w:rsidR="007D67AC" w:rsidRPr="00FA5515" w:rsidRDefault="007D67AC" w:rsidP="007D67AC">
      <w:pPr>
        <w:ind w:firstLine="709"/>
        <w:jc w:val="both"/>
        <w:rPr>
          <w:sz w:val="28"/>
          <w:szCs w:val="28"/>
          <w:lang w:val="uk-UA"/>
        </w:rPr>
      </w:pPr>
      <w:r w:rsidRPr="00FA5515">
        <w:rPr>
          <w:sz w:val="28"/>
          <w:szCs w:val="28"/>
          <w:lang w:val="uk-UA"/>
        </w:rPr>
        <w:t xml:space="preserve">Проектом закону пропонується </w:t>
      </w:r>
      <w:proofErr w:type="spellStart"/>
      <w:r w:rsidRPr="00FA5515">
        <w:rPr>
          <w:sz w:val="28"/>
          <w:szCs w:val="28"/>
          <w:lang w:val="uk-UA"/>
        </w:rPr>
        <w:t>внести</w:t>
      </w:r>
      <w:proofErr w:type="spellEnd"/>
      <w:r w:rsidRPr="00FA5515">
        <w:rPr>
          <w:sz w:val="28"/>
          <w:szCs w:val="28"/>
          <w:lang w:val="uk-UA"/>
        </w:rPr>
        <w:t xml:space="preserve"> зміни до Кодексу України про адміністративні правопорушення,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Закону України «Про заходи щодо попередження та зменшення вживання тютюнових виробів і їх шкідливого впливу на здоров'я населення», Закону України «Про рекламу» з метою вжиття заходів щодо зменшення вживання тютюнових виробів, тютюнових виробів для електричного нагрівання (ТВЕН), рідин чи будь-яких інших наповнювачів для електронних сигарет, інших тютюнових виробів чи будь-яких інших </w:t>
      </w:r>
      <w:proofErr w:type="spellStart"/>
      <w:r w:rsidRPr="00FA5515">
        <w:rPr>
          <w:sz w:val="28"/>
          <w:szCs w:val="28"/>
          <w:lang w:val="uk-UA"/>
        </w:rPr>
        <w:t>нікотиновмісних</w:t>
      </w:r>
      <w:proofErr w:type="spellEnd"/>
      <w:r w:rsidRPr="00FA5515">
        <w:rPr>
          <w:sz w:val="28"/>
          <w:szCs w:val="28"/>
          <w:lang w:val="uk-UA"/>
        </w:rPr>
        <w:t xml:space="preserve"> виробів, попередження і зменшення їх шкідливого впливу на здоров'я населення шляхом посилення адміністративної відповідальності, встановлення заборони вживання, реклами, стимулювання продажу тютюнових виробів, тютюнових виробів для електричного нагрівання (ТВЕН), рідин чи будь-яких інших наповнювачів для електронних сигарет, інших тютюнових виробів чи будь-яких інших </w:t>
      </w:r>
      <w:proofErr w:type="spellStart"/>
      <w:r w:rsidRPr="00FA5515">
        <w:rPr>
          <w:sz w:val="28"/>
          <w:szCs w:val="28"/>
          <w:lang w:val="uk-UA"/>
        </w:rPr>
        <w:t>нікотиновмісних</w:t>
      </w:r>
      <w:proofErr w:type="spellEnd"/>
      <w:r w:rsidRPr="00FA5515">
        <w:rPr>
          <w:sz w:val="28"/>
          <w:szCs w:val="28"/>
          <w:lang w:val="uk-UA"/>
        </w:rPr>
        <w:t xml:space="preserve"> виробів на рівні із традиційними тютюновими виробами..</w:t>
      </w:r>
    </w:p>
    <w:p w:rsidR="007D67AC" w:rsidRPr="00FA5515" w:rsidRDefault="007D67AC" w:rsidP="007D67AC">
      <w:pPr>
        <w:ind w:firstLine="720"/>
        <w:contextualSpacing/>
        <w:jc w:val="both"/>
        <w:rPr>
          <w:sz w:val="28"/>
          <w:szCs w:val="28"/>
          <w:lang w:val="uk-UA"/>
        </w:rPr>
      </w:pPr>
    </w:p>
    <w:p w:rsidR="007D67AC" w:rsidRPr="00FA5515" w:rsidRDefault="007D67AC" w:rsidP="007D67AC">
      <w:pPr>
        <w:ind w:firstLine="708"/>
        <w:jc w:val="both"/>
        <w:rPr>
          <w:b/>
          <w:sz w:val="28"/>
          <w:szCs w:val="28"/>
          <w:lang w:val="uk-UA"/>
        </w:rPr>
      </w:pPr>
      <w:r w:rsidRPr="00FA5515">
        <w:rPr>
          <w:b/>
          <w:sz w:val="28"/>
          <w:szCs w:val="28"/>
          <w:lang w:val="uk-UA"/>
        </w:rPr>
        <w:t>2. Належність законопроекту за предметом правового регулювання до сфери дії права Європейського Союзу</w:t>
      </w:r>
    </w:p>
    <w:p w:rsidR="007D67AC" w:rsidRPr="00FA5515" w:rsidRDefault="007D67AC" w:rsidP="007D67AC">
      <w:pPr>
        <w:ind w:firstLine="709"/>
        <w:jc w:val="both"/>
        <w:rPr>
          <w:sz w:val="28"/>
          <w:szCs w:val="28"/>
          <w:lang w:val="uk-UA"/>
        </w:rPr>
      </w:pPr>
      <w:r w:rsidRPr="00FA5515">
        <w:rPr>
          <w:sz w:val="28"/>
          <w:szCs w:val="28"/>
          <w:lang w:val="uk-UA"/>
        </w:rPr>
        <w:t xml:space="preserve">Правовідносини захисту здоров’я людини від шкідливого впливу тютюнопаління охоплюються  главою 22 «Громадське здоров’я», в якій, зокрема, зазначено, що Україна поступово наближуватиме своє законодавство та практики до принципів права ЄС, зокрема у сфері інфекційних </w:t>
      </w:r>
      <w:proofErr w:type="spellStart"/>
      <w:r w:rsidRPr="00FA5515">
        <w:rPr>
          <w:sz w:val="28"/>
          <w:szCs w:val="28"/>
          <w:lang w:val="uk-UA"/>
        </w:rPr>
        <w:t>хвороб</w:t>
      </w:r>
      <w:proofErr w:type="spellEnd"/>
      <w:r w:rsidRPr="00FA5515">
        <w:rPr>
          <w:sz w:val="28"/>
          <w:szCs w:val="28"/>
          <w:lang w:val="uk-UA"/>
        </w:rPr>
        <w:t xml:space="preserve">, служби крові, трансплантації тканин і клітин, </w:t>
      </w:r>
      <w:r w:rsidRPr="00FA5515">
        <w:rPr>
          <w:b/>
          <w:sz w:val="28"/>
          <w:szCs w:val="28"/>
          <w:lang w:val="uk-UA"/>
        </w:rPr>
        <w:t>а також тютюну</w:t>
      </w:r>
      <w:r w:rsidRPr="00FA5515">
        <w:rPr>
          <w:sz w:val="28"/>
          <w:szCs w:val="28"/>
          <w:lang w:val="uk-UA"/>
        </w:rPr>
        <w:t xml:space="preserve">. Перелік відповідних актів права ЄС визначено у Додатку XL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w:t>
      </w:r>
    </w:p>
    <w:p w:rsidR="007D67AC" w:rsidRPr="00FA5515" w:rsidRDefault="007D67AC" w:rsidP="007D67AC">
      <w:pPr>
        <w:ind w:firstLine="709"/>
        <w:jc w:val="both"/>
        <w:rPr>
          <w:sz w:val="28"/>
          <w:szCs w:val="28"/>
          <w:lang w:val="uk-UA"/>
        </w:rPr>
      </w:pPr>
    </w:p>
    <w:p w:rsidR="007D67AC" w:rsidRPr="00FA5515" w:rsidRDefault="007D67AC" w:rsidP="007D67AC">
      <w:pPr>
        <w:ind w:firstLine="708"/>
        <w:rPr>
          <w:b/>
          <w:sz w:val="28"/>
          <w:szCs w:val="28"/>
          <w:lang w:val="uk-UA"/>
        </w:rPr>
      </w:pPr>
      <w:r w:rsidRPr="00FA5515">
        <w:rPr>
          <w:b/>
          <w:sz w:val="28"/>
          <w:szCs w:val="28"/>
          <w:lang w:val="uk-UA"/>
        </w:rPr>
        <w:t>3. Відповідність законопроекту праву ЄС</w:t>
      </w:r>
    </w:p>
    <w:p w:rsidR="007D67AC" w:rsidRPr="00FA5515" w:rsidRDefault="007D67AC" w:rsidP="007D67AC">
      <w:pPr>
        <w:ind w:firstLine="709"/>
        <w:jc w:val="both"/>
        <w:rPr>
          <w:sz w:val="28"/>
          <w:szCs w:val="28"/>
          <w:lang w:val="uk-UA"/>
        </w:rPr>
      </w:pPr>
      <w:r w:rsidRPr="00FA5515">
        <w:rPr>
          <w:sz w:val="28"/>
          <w:szCs w:val="28"/>
          <w:lang w:val="uk-UA"/>
        </w:rPr>
        <w:t xml:space="preserve">Згідно з пояснювальною запискою законопроект підготовлено з метою впровадження у дію в Україні положення Директиви ЄС 2014/40/ЄС «Про наближення законів, підзаконних нормативно-правових актів та </w:t>
      </w:r>
      <w:r w:rsidRPr="00FA5515">
        <w:rPr>
          <w:sz w:val="28"/>
          <w:szCs w:val="28"/>
          <w:lang w:val="uk-UA"/>
        </w:rPr>
        <w:lastRenderedPageBreak/>
        <w:t>адміністративних положень держав-членів щодо виробництва, представлення та продажу тютюнових виробів і супутніх продуктів».</w:t>
      </w:r>
    </w:p>
    <w:p w:rsidR="007D67AC" w:rsidRPr="00FA5515" w:rsidRDefault="007D67AC" w:rsidP="007D67AC">
      <w:pPr>
        <w:ind w:firstLine="709"/>
        <w:jc w:val="both"/>
        <w:rPr>
          <w:sz w:val="28"/>
          <w:szCs w:val="28"/>
          <w:lang w:val="uk-UA"/>
        </w:rPr>
      </w:pPr>
      <w:r w:rsidRPr="00FA5515">
        <w:rPr>
          <w:sz w:val="28"/>
          <w:szCs w:val="28"/>
          <w:lang w:val="uk-UA"/>
        </w:rPr>
        <w:t xml:space="preserve">Варто зазначити, що відповідно до Угоди про асоціацію Україна повинна виконувати Рекомендацію Ради від 2 грудня 2002 року про запобігання курінню та ініціативи з покращання контролю над тютюном, а також протягом двох років </w:t>
      </w:r>
      <w:proofErr w:type="spellStart"/>
      <w:r w:rsidRPr="00FA5515">
        <w:rPr>
          <w:sz w:val="28"/>
          <w:szCs w:val="28"/>
          <w:lang w:val="uk-UA"/>
        </w:rPr>
        <w:t>імплементувати</w:t>
      </w:r>
      <w:proofErr w:type="spellEnd"/>
      <w:r w:rsidRPr="00FA5515">
        <w:rPr>
          <w:sz w:val="28"/>
          <w:szCs w:val="28"/>
          <w:lang w:val="uk-UA"/>
        </w:rPr>
        <w:t xml:space="preserve"> в національне законодавство положення Директиви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 Директива №2001/37/ЄС втратила чинність у зв’язку з прийняттям 3 квітня 2014 року Директиви 2014/40/ЄС «Про наближення законів, підзаконних та адміністративних положень держав-членів стосовно виробництва, презентації та продажу тютюну та супутніх товарів, що припиняє дію Директиви 2001/37/ЄС» та відображає останні наукові дослідження в сфері охорони здоров’я, а також встановлює, серед іншого, більш жорсткі вимоги до маркування тютюнових виробів.  Також, Постановою КМУ №1106 від 25 жовтня 2017 року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Україна в односторонньому порядку прийняла рішення про необхідність імплементації Директиви 2014/40/ЄС.</w:t>
      </w:r>
    </w:p>
    <w:p w:rsidR="007D67AC" w:rsidRPr="00FA5515" w:rsidRDefault="007D67AC" w:rsidP="007D67AC">
      <w:pPr>
        <w:ind w:firstLine="709"/>
        <w:jc w:val="both"/>
        <w:rPr>
          <w:sz w:val="28"/>
          <w:szCs w:val="28"/>
          <w:lang w:val="uk-UA"/>
        </w:rPr>
      </w:pPr>
      <w:r w:rsidRPr="00FA5515">
        <w:rPr>
          <w:sz w:val="28"/>
          <w:szCs w:val="28"/>
          <w:lang w:val="uk-UA"/>
        </w:rPr>
        <w:t xml:space="preserve">Відповідно до зазначеної Постанови КМУ №1106 наближення національного законодавства до вимог Директиви 2014/40/ЄС має відбуватись в частині: встановлення обов’язку виробників та експортерів інформувати уповноважені державні органи про склад трав’яних сумішей для куріння; встановлення правил виробництва і продажу електронних сигарет та заправних контейнерів для них; заборони виробництва та продажу тютюнових виробів із смаковими добавками, інформація про які може вводити в оману споживача; заборони виробництва та продажу тютюну перорального вжитку; приведення процедури сертифікації тютюнових виробів у відповідність із нормами ЄС; забезпечення обміну інформацією між виробниками та імпортерами тютюнових виробів і уповноваженими державними органами; посилення вимог до маркування упаковки тютюнових виробів та трав’яних сумішей для куріння, а також  встановлення граничного вмісту смоли, нікотину та </w:t>
      </w:r>
      <w:proofErr w:type="spellStart"/>
      <w:r w:rsidRPr="00FA5515">
        <w:rPr>
          <w:sz w:val="28"/>
          <w:szCs w:val="28"/>
          <w:lang w:val="uk-UA"/>
        </w:rPr>
        <w:t>мон</w:t>
      </w:r>
      <w:r w:rsidR="00FA5515">
        <w:rPr>
          <w:sz w:val="28"/>
          <w:szCs w:val="28"/>
          <w:lang w:val="uk-UA"/>
        </w:rPr>
        <w:t>о</w:t>
      </w:r>
      <w:r w:rsidRPr="00FA5515">
        <w:rPr>
          <w:sz w:val="28"/>
          <w:szCs w:val="28"/>
          <w:lang w:val="uk-UA"/>
        </w:rPr>
        <w:t>оксиду</w:t>
      </w:r>
      <w:proofErr w:type="spellEnd"/>
      <w:r w:rsidRPr="00FA5515">
        <w:rPr>
          <w:sz w:val="28"/>
          <w:szCs w:val="28"/>
          <w:lang w:val="uk-UA"/>
        </w:rPr>
        <w:t xml:space="preserve"> вуглецю у тютюнових виробах  відповідно до норм ЄС.</w:t>
      </w:r>
    </w:p>
    <w:p w:rsidR="007D67AC" w:rsidRPr="00FA5515" w:rsidRDefault="007D67AC" w:rsidP="007D67AC">
      <w:pPr>
        <w:ind w:firstLine="709"/>
        <w:jc w:val="both"/>
        <w:rPr>
          <w:sz w:val="28"/>
          <w:szCs w:val="28"/>
          <w:lang w:val="uk-UA"/>
        </w:rPr>
      </w:pPr>
      <w:r w:rsidRPr="00FA5515">
        <w:rPr>
          <w:sz w:val="28"/>
          <w:szCs w:val="28"/>
          <w:lang w:val="uk-UA"/>
        </w:rPr>
        <w:t xml:space="preserve">На нашу думку, законопроект, в цілому, не суперечить завданням і цілям Угоди про асоціацію, однак окремі його положення не узгоджуються з нормами Директиви  2014/40. </w:t>
      </w:r>
    </w:p>
    <w:p w:rsidR="007D67AC" w:rsidRPr="00FA5515" w:rsidRDefault="007D67AC" w:rsidP="007D67AC">
      <w:pPr>
        <w:ind w:firstLine="709"/>
        <w:jc w:val="both"/>
        <w:rPr>
          <w:sz w:val="28"/>
          <w:szCs w:val="28"/>
          <w:lang w:val="uk-UA"/>
        </w:rPr>
      </w:pPr>
      <w:r w:rsidRPr="00FA5515">
        <w:rPr>
          <w:sz w:val="28"/>
          <w:szCs w:val="28"/>
          <w:lang w:val="uk-UA"/>
        </w:rPr>
        <w:t xml:space="preserve">Зокрема це стосується визначення поняття електронної сигарети, оскільки відповідно до законопроекту електронна сигарета — портативний електромеханічний або електронний продукт, котрий складається із послідовно з'єднаної ємності з рідиною, випарника і акумулятора та використовується як персональний інгалятор для випаровування рідкого розчину, що містить </w:t>
      </w:r>
      <w:proofErr w:type="spellStart"/>
      <w:r w:rsidRPr="00FA5515">
        <w:rPr>
          <w:sz w:val="28"/>
          <w:szCs w:val="28"/>
          <w:lang w:val="uk-UA"/>
        </w:rPr>
        <w:t>пропіленгліколь</w:t>
      </w:r>
      <w:proofErr w:type="spellEnd"/>
      <w:r w:rsidRPr="00FA5515">
        <w:rPr>
          <w:sz w:val="28"/>
          <w:szCs w:val="28"/>
          <w:lang w:val="uk-UA"/>
        </w:rPr>
        <w:t xml:space="preserve">, та/або ароматизатор з нікотином або </w:t>
      </w:r>
      <w:r w:rsidRPr="00FA5515">
        <w:rPr>
          <w:sz w:val="28"/>
          <w:szCs w:val="28"/>
          <w:lang w:val="uk-UA"/>
        </w:rPr>
        <w:lastRenderedPageBreak/>
        <w:t xml:space="preserve">без нікотину, в аерозольний туман, що імітує акт куріння тютюнового виробу, в той час як відповідно до Директиви   2014/40 </w:t>
      </w:r>
      <w:r w:rsidRPr="00FA5515">
        <w:rPr>
          <w:sz w:val="28"/>
          <w:szCs w:val="28"/>
          <w:lang w:val="uk-UA"/>
        </w:rPr>
        <w:tab/>
        <w:t>«електронна сигарета» означає виріб, який використовується для споживання нікотину, що міститься у парі, через мундштук або будь-який компонент цього виробу, у тому числі картридж, ємність і пристрій без картриджа або ємності. Електронні сигарети можуть бути одноразового або багаторазового використання за допомогою заправного контейнера і ємності, або перезаряджатися картриджами одноразового користування.</w:t>
      </w:r>
    </w:p>
    <w:p w:rsidR="007D67AC" w:rsidRPr="00FA5515" w:rsidRDefault="007D67AC" w:rsidP="007D67AC">
      <w:pPr>
        <w:ind w:firstLine="709"/>
        <w:jc w:val="both"/>
        <w:rPr>
          <w:sz w:val="28"/>
          <w:szCs w:val="28"/>
          <w:lang w:val="uk-UA"/>
        </w:rPr>
      </w:pPr>
      <w:r w:rsidRPr="00FA5515">
        <w:rPr>
          <w:sz w:val="28"/>
          <w:szCs w:val="28"/>
          <w:lang w:val="uk-UA"/>
        </w:rPr>
        <w:t xml:space="preserve">Крім того, законопроектом пропонується заборонити виробництво, продаж та імпорт з метою продажу на території України тютюнових виробів, тютюнових виробів для електричного нагрівання (ТВЕН), рідин чи будь-яких інших наповнювачів для електронних сигарет, інших тютюнових виробів чи будь-яких інших </w:t>
      </w:r>
      <w:proofErr w:type="spellStart"/>
      <w:r w:rsidRPr="00FA5515">
        <w:rPr>
          <w:sz w:val="28"/>
          <w:szCs w:val="28"/>
          <w:lang w:val="uk-UA"/>
        </w:rPr>
        <w:t>нікотиновмісних</w:t>
      </w:r>
      <w:proofErr w:type="spellEnd"/>
      <w:r w:rsidRPr="00FA5515">
        <w:rPr>
          <w:sz w:val="28"/>
          <w:szCs w:val="28"/>
          <w:lang w:val="uk-UA"/>
        </w:rPr>
        <w:t xml:space="preserve"> виробів, до складу яких додається амоній, аміак чи сечовина самостійно чи в будь-яких сполуках чи поєднаннях. </w:t>
      </w:r>
    </w:p>
    <w:p w:rsidR="007D67AC" w:rsidRPr="00FA5515" w:rsidRDefault="007D67AC" w:rsidP="007D67AC">
      <w:pPr>
        <w:ind w:firstLine="709"/>
        <w:jc w:val="both"/>
        <w:rPr>
          <w:sz w:val="28"/>
          <w:szCs w:val="28"/>
          <w:lang w:val="uk-UA"/>
        </w:rPr>
      </w:pPr>
      <w:r w:rsidRPr="00FA5515">
        <w:rPr>
          <w:sz w:val="28"/>
          <w:szCs w:val="28"/>
          <w:lang w:val="uk-UA"/>
        </w:rPr>
        <w:t>Відповідно до положень Директиви 2014/40 щодо інших добавок, які можуть бути використані при виробництві сигарет, (Стаття 7 Директиви), Держави-члени не забороняють використання добавок, які необхідні для виробництва тютюнових виробів, наприклад цукру, з метою заміни цукру, який втрачається під час процесу затвердіння, за умови, що ці добавки не призводять до створення продукту з характерним ароматом і не підвищують в значній мірі, або мірі, що дозволяє здійснювати вимірювання, звикання, токсичність або КМТ властивості тютюнових виробів. Держави-члени зобов’язані, на основі наукових даних, заборонити розміщення на ринку тютюнових виробів, що містять добавки в кількостях, які збільшують токсичність чи ефект звикання, або КМТ властивості тютюнового виробу на стадії споживання в значній мірі, або мірі, що дозволяє здійснювати вимірювання.</w:t>
      </w:r>
    </w:p>
    <w:p w:rsidR="007D67AC" w:rsidRPr="00FA5515" w:rsidRDefault="007D67AC" w:rsidP="007D67AC">
      <w:pPr>
        <w:ind w:firstLine="709"/>
        <w:jc w:val="both"/>
        <w:rPr>
          <w:sz w:val="28"/>
          <w:szCs w:val="28"/>
          <w:lang w:val="uk-UA"/>
        </w:rPr>
      </w:pPr>
      <w:r w:rsidRPr="00FA5515">
        <w:rPr>
          <w:sz w:val="28"/>
          <w:szCs w:val="28"/>
          <w:lang w:val="uk-UA"/>
        </w:rPr>
        <w:t>Директива  визначає, що Держави-члени забороняють розміщення на ринку тютюнових виробів, що містять наступні добавки:</w:t>
      </w:r>
    </w:p>
    <w:p w:rsidR="007D67AC" w:rsidRPr="00FA5515" w:rsidRDefault="007D67AC" w:rsidP="007D67AC">
      <w:pPr>
        <w:ind w:firstLine="709"/>
        <w:jc w:val="both"/>
        <w:rPr>
          <w:sz w:val="28"/>
          <w:szCs w:val="28"/>
          <w:lang w:val="uk-UA"/>
        </w:rPr>
      </w:pPr>
      <w:r w:rsidRPr="00FA5515">
        <w:rPr>
          <w:sz w:val="28"/>
          <w:szCs w:val="28"/>
          <w:lang w:val="uk-UA"/>
        </w:rPr>
        <w:t>(a)</w:t>
      </w:r>
      <w:r w:rsidRPr="00FA5515">
        <w:rPr>
          <w:sz w:val="28"/>
          <w:szCs w:val="28"/>
          <w:lang w:val="uk-UA"/>
        </w:rPr>
        <w:tab/>
        <w:t>вітаміни або інші добавки, які створюють враження, що тютюнові вироби приносять користь здоров’ю або представляють менший ризик для здоров’я;</w:t>
      </w:r>
    </w:p>
    <w:p w:rsidR="007D67AC" w:rsidRPr="00FA5515" w:rsidRDefault="007D67AC" w:rsidP="007D67AC">
      <w:pPr>
        <w:ind w:firstLine="709"/>
        <w:jc w:val="both"/>
        <w:rPr>
          <w:sz w:val="28"/>
          <w:szCs w:val="28"/>
          <w:lang w:val="uk-UA"/>
        </w:rPr>
      </w:pPr>
      <w:r w:rsidRPr="00FA5515">
        <w:rPr>
          <w:sz w:val="28"/>
          <w:szCs w:val="28"/>
          <w:lang w:val="uk-UA"/>
        </w:rPr>
        <w:t>(b)</w:t>
      </w:r>
      <w:r w:rsidRPr="00FA5515">
        <w:rPr>
          <w:sz w:val="28"/>
          <w:szCs w:val="28"/>
          <w:lang w:val="uk-UA"/>
        </w:rPr>
        <w:tab/>
        <w:t xml:space="preserve">кофеїн або </w:t>
      </w:r>
      <w:proofErr w:type="spellStart"/>
      <w:r w:rsidRPr="00FA5515">
        <w:rPr>
          <w:sz w:val="28"/>
          <w:szCs w:val="28"/>
          <w:lang w:val="uk-UA"/>
        </w:rPr>
        <w:t>таурин</w:t>
      </w:r>
      <w:proofErr w:type="spellEnd"/>
      <w:r w:rsidRPr="00FA5515">
        <w:rPr>
          <w:sz w:val="28"/>
          <w:szCs w:val="28"/>
          <w:lang w:val="uk-UA"/>
        </w:rPr>
        <w:t>, або інші добавки і стимулятори, які асоціюються з енергією і життєвою силою;</w:t>
      </w:r>
    </w:p>
    <w:p w:rsidR="007D67AC" w:rsidRPr="00FA5515" w:rsidRDefault="007D67AC" w:rsidP="007D67AC">
      <w:pPr>
        <w:ind w:firstLine="709"/>
        <w:jc w:val="both"/>
        <w:rPr>
          <w:sz w:val="28"/>
          <w:szCs w:val="28"/>
          <w:lang w:val="uk-UA"/>
        </w:rPr>
      </w:pPr>
      <w:r w:rsidRPr="00FA5515">
        <w:rPr>
          <w:sz w:val="28"/>
          <w:szCs w:val="28"/>
          <w:lang w:val="uk-UA"/>
        </w:rPr>
        <w:t>(c)</w:t>
      </w:r>
      <w:r w:rsidRPr="00FA5515">
        <w:rPr>
          <w:sz w:val="28"/>
          <w:szCs w:val="28"/>
          <w:lang w:val="uk-UA"/>
        </w:rPr>
        <w:tab/>
        <w:t>добавки, що мають властивості забарвлювати викиди;</w:t>
      </w:r>
    </w:p>
    <w:p w:rsidR="007D67AC" w:rsidRPr="00FA5515" w:rsidRDefault="007D67AC" w:rsidP="007D67AC">
      <w:pPr>
        <w:ind w:firstLine="709"/>
        <w:jc w:val="both"/>
        <w:rPr>
          <w:sz w:val="28"/>
          <w:szCs w:val="28"/>
          <w:lang w:val="uk-UA"/>
        </w:rPr>
      </w:pPr>
      <w:r w:rsidRPr="00FA5515">
        <w:rPr>
          <w:sz w:val="28"/>
          <w:szCs w:val="28"/>
          <w:lang w:val="uk-UA"/>
        </w:rPr>
        <w:t>(d)</w:t>
      </w:r>
      <w:r w:rsidRPr="00FA5515">
        <w:rPr>
          <w:sz w:val="28"/>
          <w:szCs w:val="28"/>
          <w:lang w:val="uk-UA"/>
        </w:rPr>
        <w:tab/>
        <w:t xml:space="preserve">щодо тютюнових виробів для куріння - добавки, що сприяють вдиханню або поглинанню нікотину; </w:t>
      </w:r>
    </w:p>
    <w:p w:rsidR="007D67AC" w:rsidRPr="00FA5515" w:rsidRDefault="007D67AC" w:rsidP="007D67AC">
      <w:pPr>
        <w:ind w:firstLine="709"/>
        <w:jc w:val="both"/>
        <w:rPr>
          <w:sz w:val="28"/>
          <w:szCs w:val="28"/>
          <w:lang w:val="uk-UA"/>
        </w:rPr>
      </w:pPr>
      <w:r w:rsidRPr="00FA5515">
        <w:rPr>
          <w:sz w:val="28"/>
          <w:szCs w:val="28"/>
          <w:lang w:val="uk-UA"/>
        </w:rPr>
        <w:t>(e)</w:t>
      </w:r>
      <w:r w:rsidRPr="00FA5515">
        <w:rPr>
          <w:sz w:val="28"/>
          <w:szCs w:val="28"/>
          <w:lang w:val="uk-UA"/>
        </w:rPr>
        <w:tab/>
        <w:t>добавки, що мають КМТ властивості у неспаленому вигляді.</w:t>
      </w:r>
    </w:p>
    <w:p w:rsidR="007D67AC" w:rsidRPr="00FA5515" w:rsidRDefault="007D67AC" w:rsidP="007D67AC">
      <w:pPr>
        <w:ind w:firstLine="709"/>
        <w:jc w:val="both"/>
        <w:rPr>
          <w:sz w:val="28"/>
          <w:szCs w:val="28"/>
          <w:lang w:val="uk-UA"/>
        </w:rPr>
      </w:pPr>
      <w:r w:rsidRPr="00FA5515">
        <w:rPr>
          <w:sz w:val="28"/>
          <w:szCs w:val="28"/>
          <w:lang w:val="uk-UA"/>
        </w:rPr>
        <w:t xml:space="preserve">У цьому випадку (якщо заборону таких добавок застосували </w:t>
      </w:r>
      <w:proofErr w:type="spellStart"/>
      <w:r w:rsidRPr="00FA5515">
        <w:rPr>
          <w:sz w:val="28"/>
          <w:szCs w:val="28"/>
          <w:lang w:val="uk-UA"/>
        </w:rPr>
        <w:t>принаймі</w:t>
      </w:r>
      <w:proofErr w:type="spellEnd"/>
      <w:r w:rsidRPr="00FA5515">
        <w:rPr>
          <w:sz w:val="28"/>
          <w:szCs w:val="28"/>
          <w:lang w:val="uk-UA"/>
        </w:rPr>
        <w:t xml:space="preserve"> три держави-члени) Європейська Комісія повинна бути уповноважена прийняти делеговані акти щоб встановити максимально допустимі рівні вмісту цих добавок. У цьому випадку, максимально можливий рівень вмісту встановлюється на рівні максимально низького рівня, що призвів до встановлення однієї з національних заборон. </w:t>
      </w:r>
    </w:p>
    <w:p w:rsidR="007D67AC" w:rsidRPr="00FA5515" w:rsidRDefault="007D67AC" w:rsidP="007D67AC">
      <w:pPr>
        <w:ind w:firstLine="709"/>
        <w:jc w:val="both"/>
        <w:rPr>
          <w:sz w:val="28"/>
          <w:szCs w:val="28"/>
          <w:lang w:val="uk-UA"/>
        </w:rPr>
      </w:pPr>
      <w:r w:rsidRPr="00FA5515">
        <w:rPr>
          <w:sz w:val="28"/>
          <w:szCs w:val="28"/>
          <w:lang w:val="uk-UA"/>
        </w:rPr>
        <w:lastRenderedPageBreak/>
        <w:t>Тобто, виходячи з вищевикладеного, можна дійти до висновку, що Директива передбачає лише науково обґрунтовану заборону використання певного виду домішок до тютюнових виробів з визначенням максимального вмісту таких домішок та із зазначенням стандартів та методів вимірювання.</w:t>
      </w:r>
    </w:p>
    <w:p w:rsidR="007D67AC" w:rsidRPr="00FA5515" w:rsidRDefault="007D67AC" w:rsidP="007D67AC">
      <w:pPr>
        <w:ind w:firstLine="709"/>
        <w:jc w:val="both"/>
        <w:rPr>
          <w:sz w:val="28"/>
          <w:szCs w:val="28"/>
          <w:lang w:val="uk-UA"/>
        </w:rPr>
      </w:pPr>
      <w:r w:rsidRPr="00FA5515">
        <w:rPr>
          <w:sz w:val="28"/>
          <w:szCs w:val="28"/>
          <w:lang w:val="uk-UA"/>
        </w:rPr>
        <w:t>У пояснювальній записці автори зазначають, що найпоширенішою метою використання в тютюновій промисловості аміаку, амонію та сечовини є збільшення  вільного засвоєння нікотину у сигаретному димі, а використання аміаку, амонію та сечовини при виробництві тютюнових виробів, на думку авторів, є ніщо інше як швидке та безповоротне затягування споживачів тютюнових виробів у нікотинову залежність від неякісних сигарет.</w:t>
      </w:r>
    </w:p>
    <w:p w:rsidR="007D67AC" w:rsidRPr="00FA5515" w:rsidRDefault="007D67AC" w:rsidP="007D67AC">
      <w:pPr>
        <w:ind w:firstLine="709"/>
        <w:jc w:val="both"/>
        <w:rPr>
          <w:sz w:val="28"/>
          <w:szCs w:val="28"/>
          <w:lang w:val="uk-UA"/>
        </w:rPr>
      </w:pPr>
      <w:r w:rsidRPr="00FA5515">
        <w:rPr>
          <w:sz w:val="28"/>
          <w:szCs w:val="28"/>
          <w:lang w:val="uk-UA"/>
        </w:rPr>
        <w:t>Водночас вважаємо за доцільне зазначити, що відповідно до наукових досліджень, проведених в Європейському Союзі, немає достатніх підстав вважати, що зазначені в законопроекті хімічні сполуки, сприяють кращому проникненню нікотину в організм людини чи викликають пришвидшене звикання.</w:t>
      </w:r>
    </w:p>
    <w:p w:rsidR="007D67AC" w:rsidRPr="00FA5515" w:rsidRDefault="007D67AC" w:rsidP="007D67AC">
      <w:pPr>
        <w:ind w:firstLine="709"/>
        <w:jc w:val="both"/>
        <w:rPr>
          <w:sz w:val="28"/>
          <w:szCs w:val="28"/>
          <w:lang w:val="uk-UA"/>
        </w:rPr>
      </w:pPr>
      <w:r w:rsidRPr="00FA5515">
        <w:rPr>
          <w:sz w:val="28"/>
          <w:szCs w:val="28"/>
          <w:lang w:val="uk-UA"/>
        </w:rPr>
        <w:t xml:space="preserve">Також положення законопроекту не узгоджуються з вимогами директиви з точки зору вимог до маркування електронних сигарет та заправних контейнерів. Законопроектом передбачається, що на упаковках тютюнових виробів для електричного нагрівання, заправних контейнерів та електронних сигарет, що продаються укомплектованими рідиною з нікотином зазначається текстове медичне попередження: «Цей виріб містить нікотин, який є речовиною, що викликає сильну залежність. </w:t>
      </w:r>
      <w:r w:rsidRPr="00FA5515">
        <w:rPr>
          <w:i/>
          <w:sz w:val="28"/>
          <w:szCs w:val="28"/>
          <w:lang w:val="uk-UA"/>
        </w:rPr>
        <w:t>Не рекомендується для використання особами,</w:t>
      </w:r>
      <w:r w:rsidRPr="00FA5515">
        <w:rPr>
          <w:sz w:val="28"/>
          <w:szCs w:val="28"/>
          <w:lang w:val="uk-UA"/>
        </w:rPr>
        <w:t xml:space="preserve"> </w:t>
      </w:r>
      <w:r w:rsidRPr="00FA5515">
        <w:rPr>
          <w:i/>
          <w:sz w:val="28"/>
          <w:szCs w:val="28"/>
          <w:lang w:val="uk-UA"/>
        </w:rPr>
        <w:t>які не курять</w:t>
      </w:r>
      <w:r w:rsidRPr="00FA5515">
        <w:rPr>
          <w:sz w:val="28"/>
          <w:szCs w:val="28"/>
          <w:lang w:val="uk-UA"/>
        </w:rPr>
        <w:t xml:space="preserve">». Така вимога не відповідає положенням статті 20 Директиви 2014/40, якою передбачено, що упаковки і будь-яка зовнішня упаковка електронних сигарет і заправних контейнерів містить одне з наступних попереджень про шкоду для здоров’я «Цей виріб містить нікотин, який є речовиною, яка викликає сильну залежність. </w:t>
      </w:r>
      <w:r w:rsidRPr="00FA5515">
        <w:rPr>
          <w:i/>
          <w:sz w:val="28"/>
          <w:szCs w:val="28"/>
          <w:lang w:val="uk-UA"/>
        </w:rPr>
        <w:t>Не рекомендується для використання</w:t>
      </w:r>
      <w:r w:rsidRPr="00FA5515">
        <w:rPr>
          <w:sz w:val="28"/>
          <w:szCs w:val="28"/>
          <w:lang w:val="uk-UA"/>
        </w:rPr>
        <w:t xml:space="preserve">», або «Цей виріб містить нікотин, який є речовиною, яка викликає сильну залежність». Вона також є несумісною зі Статтею 13 Директиви 2014/40, відповідно до якої маркування на пачках і на будь-якій зовнішній упаковці, а також на самих тютюнових виробах не повинна включати будь-який елемент або зображення, які: сприяють продажу тютюнових виробів або заохочують споживання, створюючи хибне враження про їх характеристики, вплив на здоров'я, ризики або викиди; етикетки не повинні включати будь-яку інформацію про вміст нікотину, смоли або </w:t>
      </w:r>
      <w:proofErr w:type="spellStart"/>
      <w:r w:rsidRPr="00FA5515">
        <w:rPr>
          <w:sz w:val="28"/>
          <w:szCs w:val="28"/>
          <w:lang w:val="uk-UA"/>
        </w:rPr>
        <w:t>монооксиду</w:t>
      </w:r>
      <w:proofErr w:type="spellEnd"/>
      <w:r w:rsidRPr="00FA5515">
        <w:rPr>
          <w:sz w:val="28"/>
          <w:szCs w:val="28"/>
          <w:lang w:val="uk-UA"/>
        </w:rPr>
        <w:t xml:space="preserve"> вуглецю в тютюновому виробі чи наводять на думку, що певний тютюновий виріб є менш шкідливим, ніж інші, або зменшує вплив деяких шкідливих компонентів диму, чи додає життєвих сил, енергії, зцілення, омолодження, має природні чи органічні властивості або має інші переваги для здоров'я або способу життя.</w:t>
      </w:r>
    </w:p>
    <w:p w:rsidR="007D67AC" w:rsidRPr="00FA5515" w:rsidRDefault="007D67AC" w:rsidP="007D67AC">
      <w:pPr>
        <w:ind w:firstLine="708"/>
        <w:jc w:val="both"/>
        <w:rPr>
          <w:lang w:val="uk-UA"/>
        </w:rPr>
      </w:pPr>
      <w:r w:rsidRPr="00FA5515">
        <w:rPr>
          <w:sz w:val="28"/>
          <w:szCs w:val="28"/>
          <w:lang w:val="uk-UA"/>
        </w:rPr>
        <w:t xml:space="preserve">Законопроект </w:t>
      </w:r>
      <w:r w:rsidRPr="00FA5515">
        <w:rPr>
          <w:b/>
          <w:sz w:val="28"/>
          <w:szCs w:val="28"/>
          <w:lang w:val="uk-UA"/>
        </w:rPr>
        <w:t>не суперечить міжнародно-правовим зобов’язанням України</w:t>
      </w:r>
      <w:r w:rsidRPr="00FA5515">
        <w:rPr>
          <w:sz w:val="28"/>
          <w:szCs w:val="28"/>
          <w:lang w:val="uk-UA"/>
        </w:rPr>
        <w:t xml:space="preserve"> в сфері європейської інтеграції, але не враховує або враховує фрагментарно ряд положень та вимог Директиви 2014/40/ЄС про наближення </w:t>
      </w:r>
      <w:r w:rsidRPr="00FA5515">
        <w:rPr>
          <w:sz w:val="28"/>
          <w:szCs w:val="28"/>
          <w:lang w:val="uk-UA"/>
        </w:rPr>
        <w:lastRenderedPageBreak/>
        <w:t>законодавчих, нормативних та адміністративних актів держав-членів щодо виробництва, презентації та реалізації тютюнових виробів.</w:t>
      </w:r>
    </w:p>
    <w:p w:rsidR="007D67AC" w:rsidRPr="00FA5515" w:rsidRDefault="007D67AC" w:rsidP="007D67AC">
      <w:pPr>
        <w:spacing w:after="160" w:line="259" w:lineRule="auto"/>
        <w:rPr>
          <w:sz w:val="28"/>
          <w:szCs w:val="28"/>
          <w:lang w:val="uk-UA"/>
        </w:rPr>
      </w:pPr>
    </w:p>
    <w:p w:rsidR="007D67AC" w:rsidRPr="00FA5515" w:rsidRDefault="007D67AC" w:rsidP="007D67AC">
      <w:pPr>
        <w:spacing w:after="160" w:line="259" w:lineRule="auto"/>
        <w:rPr>
          <w:sz w:val="28"/>
          <w:szCs w:val="28"/>
          <w:lang w:val="uk-UA"/>
        </w:rPr>
      </w:pPr>
    </w:p>
    <w:p w:rsidR="007D67AC" w:rsidRPr="00FA5515" w:rsidRDefault="007D67AC" w:rsidP="007D67AC">
      <w:pPr>
        <w:spacing w:after="160" w:line="259" w:lineRule="auto"/>
        <w:rPr>
          <w:sz w:val="28"/>
          <w:szCs w:val="28"/>
          <w:lang w:val="uk-UA"/>
        </w:rPr>
      </w:pPr>
    </w:p>
    <w:p w:rsidR="007D67AC" w:rsidRPr="00FA5515" w:rsidRDefault="007D67AC" w:rsidP="007D67AC">
      <w:pPr>
        <w:spacing w:after="160" w:line="259" w:lineRule="auto"/>
        <w:rPr>
          <w:sz w:val="28"/>
          <w:szCs w:val="28"/>
          <w:lang w:val="uk-UA"/>
        </w:rPr>
      </w:pPr>
    </w:p>
    <w:p w:rsidR="007D67AC" w:rsidRPr="00FA5515" w:rsidRDefault="007D67AC" w:rsidP="007D67AC">
      <w:pPr>
        <w:spacing w:after="160" w:line="259" w:lineRule="auto"/>
        <w:rPr>
          <w:sz w:val="28"/>
          <w:szCs w:val="28"/>
          <w:lang w:val="uk-UA"/>
        </w:rPr>
      </w:pPr>
    </w:p>
    <w:sectPr w:rsidR="007D67AC" w:rsidRPr="00FA55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7AC"/>
    <w:rsid w:val="003838FE"/>
    <w:rsid w:val="00484D30"/>
    <w:rsid w:val="007D67AC"/>
    <w:rsid w:val="00B8752E"/>
    <w:rsid w:val="00CF40DF"/>
    <w:rsid w:val="00FA55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694390-8F0F-4D06-9B02-C779A27FE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67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uiPriority w:val="99"/>
    <w:rsid w:val="007D67AC"/>
    <w:pPr>
      <w:spacing w:after="60" w:line="220" w:lineRule="exact"/>
      <w:ind w:firstLine="284"/>
      <w:jc w:val="both"/>
    </w:pPr>
    <w:rPr>
      <w:sz w:val="20"/>
      <w:szCs w:val="20"/>
      <w:lang w:val="uk-UA"/>
    </w:rPr>
  </w:style>
  <w:style w:type="character" w:customStyle="1" w:styleId="rvts9">
    <w:name w:val="rvts9"/>
    <w:basedOn w:val="a0"/>
    <w:rsid w:val="007D67A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7070</Words>
  <Characters>4031</Characters>
  <Application>Microsoft Office Word</Application>
  <DocSecurity>0</DocSecurity>
  <Lines>33</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Фостик Богдан Володимирович</cp:lastModifiedBy>
  <cp:revision>3</cp:revision>
  <dcterms:created xsi:type="dcterms:W3CDTF">2019-11-28T12:26:00Z</dcterms:created>
  <dcterms:modified xsi:type="dcterms:W3CDTF">2019-11-29T11:51:00Z</dcterms:modified>
</cp:coreProperties>
</file>