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482" w:rsidRPr="00E4035C" w:rsidRDefault="007E1482" w:rsidP="007E1482">
      <w:pPr>
        <w:jc w:val="center"/>
        <w:rPr>
          <w:rFonts w:ascii="Times New Roman" w:hAnsi="Times New Roman"/>
          <w:b/>
          <w:sz w:val="28"/>
        </w:rPr>
      </w:pPr>
      <w:r w:rsidRPr="00E4035C">
        <w:rPr>
          <w:rFonts w:ascii="Times New Roman" w:hAnsi="Times New Roman"/>
          <w:b/>
          <w:sz w:val="28"/>
        </w:rPr>
        <w:t>Висновок</w:t>
      </w:r>
    </w:p>
    <w:p w:rsidR="007E1482" w:rsidRPr="00E4035C" w:rsidRDefault="007E1482" w:rsidP="007E1482">
      <w:pPr>
        <w:spacing w:after="0"/>
        <w:jc w:val="center"/>
        <w:rPr>
          <w:rFonts w:ascii="Times New Roman" w:hAnsi="Times New Roman"/>
          <w:b/>
          <w:sz w:val="28"/>
        </w:rPr>
      </w:pPr>
      <w:r w:rsidRPr="00E4035C">
        <w:rPr>
          <w:rFonts w:ascii="Times New Roman" w:hAnsi="Times New Roman"/>
          <w:b/>
          <w:sz w:val="28"/>
        </w:rPr>
        <w:t>на предмет відповідності праву ЄС про</w:t>
      </w:r>
      <w:r>
        <w:rPr>
          <w:rFonts w:ascii="Times New Roman" w:hAnsi="Times New Roman"/>
          <w:b/>
          <w:sz w:val="28"/>
        </w:rPr>
        <w:t>е</w:t>
      </w:r>
      <w:r w:rsidRPr="00E4035C">
        <w:rPr>
          <w:rFonts w:ascii="Times New Roman" w:hAnsi="Times New Roman"/>
          <w:b/>
          <w:sz w:val="28"/>
        </w:rPr>
        <w:t xml:space="preserve">кту Закону України </w:t>
      </w:r>
    </w:p>
    <w:p w:rsidR="007E1482" w:rsidRDefault="007E1482" w:rsidP="007E1482">
      <w:pPr>
        <w:spacing w:after="0"/>
        <w:jc w:val="center"/>
        <w:rPr>
          <w:rFonts w:ascii="Times New Roman" w:hAnsi="Times New Roman"/>
          <w:b/>
          <w:sz w:val="28"/>
        </w:rPr>
      </w:pPr>
      <w:r>
        <w:rPr>
          <w:rFonts w:ascii="Times New Roman" w:hAnsi="Times New Roman"/>
          <w:b/>
          <w:sz w:val="28"/>
        </w:rPr>
        <w:t>«П</w:t>
      </w:r>
      <w:r w:rsidRPr="007E1482">
        <w:rPr>
          <w:rFonts w:ascii="Times New Roman" w:hAnsi="Times New Roman"/>
          <w:b/>
          <w:sz w:val="28"/>
        </w:rPr>
        <w:t>ро внесення змін до деяких законів України щодо обробки та оприлюднення персональних даних</w:t>
      </w:r>
      <w:r>
        <w:rPr>
          <w:rFonts w:ascii="Times New Roman" w:hAnsi="Times New Roman"/>
          <w:b/>
          <w:sz w:val="28"/>
        </w:rPr>
        <w:t>»</w:t>
      </w:r>
      <w:r w:rsidRPr="00C2135E">
        <w:rPr>
          <w:rFonts w:ascii="Times New Roman" w:hAnsi="Times New Roman"/>
          <w:b/>
          <w:sz w:val="28"/>
          <w:lang w:val="ru-RU"/>
        </w:rPr>
        <w:t xml:space="preserve"> </w:t>
      </w:r>
    </w:p>
    <w:p w:rsidR="007E1482" w:rsidRPr="00E4035C" w:rsidRDefault="007E1482" w:rsidP="007E1482">
      <w:pPr>
        <w:spacing w:after="0"/>
        <w:jc w:val="center"/>
        <w:rPr>
          <w:rFonts w:ascii="Times New Roman" w:hAnsi="Times New Roman"/>
          <w:b/>
          <w:sz w:val="28"/>
        </w:rPr>
      </w:pPr>
      <w:r>
        <w:rPr>
          <w:rFonts w:ascii="Times New Roman" w:hAnsi="Times New Roman"/>
          <w:b/>
          <w:sz w:val="28"/>
        </w:rPr>
        <w:t xml:space="preserve">(реєстр. </w:t>
      </w:r>
      <w:bookmarkStart w:id="0" w:name="_GoBack"/>
      <w:r>
        <w:rPr>
          <w:rFonts w:ascii="Times New Roman" w:hAnsi="Times New Roman"/>
          <w:b/>
          <w:sz w:val="28"/>
        </w:rPr>
        <w:t>№ 2</w:t>
      </w:r>
      <w:r w:rsidR="00D61ECD">
        <w:rPr>
          <w:rFonts w:ascii="Times New Roman" w:hAnsi="Times New Roman"/>
          <w:b/>
          <w:sz w:val="28"/>
        </w:rPr>
        <w:t>333</w:t>
      </w:r>
      <w:r>
        <w:rPr>
          <w:rFonts w:ascii="Times New Roman" w:hAnsi="Times New Roman"/>
          <w:b/>
          <w:sz w:val="28"/>
        </w:rPr>
        <w:t xml:space="preserve"> від </w:t>
      </w:r>
      <w:r w:rsidRPr="007E1482">
        <w:rPr>
          <w:rFonts w:ascii="Times New Roman" w:hAnsi="Times New Roman"/>
          <w:b/>
          <w:sz w:val="28"/>
        </w:rPr>
        <w:t>29.10.2019</w:t>
      </w:r>
      <w:bookmarkEnd w:id="0"/>
      <w:r>
        <w:rPr>
          <w:rFonts w:ascii="Times New Roman" w:hAnsi="Times New Roman"/>
          <w:b/>
          <w:sz w:val="28"/>
        </w:rPr>
        <w:t>)</w:t>
      </w:r>
      <w:r w:rsidRPr="0057627C">
        <w:rPr>
          <w:rFonts w:ascii="Times New Roman" w:hAnsi="Times New Roman"/>
          <w:b/>
          <w:sz w:val="28"/>
        </w:rPr>
        <w:t xml:space="preserve"> </w:t>
      </w:r>
    </w:p>
    <w:p w:rsidR="007E1482" w:rsidRPr="00C2135E" w:rsidRDefault="007E1482" w:rsidP="007E1482">
      <w:pPr>
        <w:spacing w:after="0"/>
        <w:jc w:val="center"/>
        <w:rPr>
          <w:rFonts w:ascii="Times New Roman" w:hAnsi="Times New Roman"/>
          <w:b/>
          <w:sz w:val="28"/>
          <w:lang w:val="en-US"/>
        </w:rPr>
      </w:pPr>
    </w:p>
    <w:p w:rsidR="007E1482" w:rsidRDefault="007E1482" w:rsidP="007E1482">
      <w:pPr>
        <w:numPr>
          <w:ilvl w:val="0"/>
          <w:numId w:val="1"/>
        </w:numPr>
        <w:contextualSpacing/>
        <w:rPr>
          <w:rFonts w:ascii="Times New Roman" w:hAnsi="Times New Roman"/>
          <w:b/>
          <w:sz w:val="28"/>
        </w:rPr>
      </w:pPr>
      <w:r w:rsidRPr="00E4035C">
        <w:rPr>
          <w:rFonts w:ascii="Times New Roman" w:hAnsi="Times New Roman"/>
          <w:b/>
          <w:sz w:val="28"/>
        </w:rPr>
        <w:t>Загальна характеристика законопро</w:t>
      </w:r>
      <w:r>
        <w:rPr>
          <w:rFonts w:ascii="Times New Roman" w:hAnsi="Times New Roman"/>
          <w:b/>
          <w:sz w:val="28"/>
        </w:rPr>
        <w:t>е</w:t>
      </w:r>
      <w:r w:rsidRPr="00E4035C">
        <w:rPr>
          <w:rFonts w:ascii="Times New Roman" w:hAnsi="Times New Roman"/>
          <w:b/>
          <w:sz w:val="28"/>
        </w:rPr>
        <w:t>кту:</w:t>
      </w:r>
    </w:p>
    <w:p w:rsidR="007E1482" w:rsidRPr="007E1482" w:rsidRDefault="007E1482" w:rsidP="007E1482">
      <w:pPr>
        <w:pStyle w:val="a3"/>
        <w:spacing w:after="0"/>
        <w:ind w:left="0" w:firstLine="720"/>
        <w:jc w:val="both"/>
        <w:rPr>
          <w:rFonts w:ascii="Times New Roman" w:hAnsi="Times New Roman"/>
          <w:sz w:val="28"/>
          <w:szCs w:val="28"/>
        </w:rPr>
      </w:pPr>
      <w:r w:rsidRPr="007E1482">
        <w:rPr>
          <w:rFonts w:ascii="Times New Roman" w:hAnsi="Times New Roman"/>
          <w:sz w:val="28"/>
          <w:szCs w:val="28"/>
        </w:rPr>
        <w:t xml:space="preserve">Законопроект розроблено з метою вдосконалення норм законодавства у сфері обробки персональних даних, зокрема щодо осіб, які отримують виплати за рахунок публічних коштів. Також законопроект </w:t>
      </w:r>
      <w:r>
        <w:rPr>
          <w:rFonts w:ascii="Times New Roman" w:hAnsi="Times New Roman"/>
          <w:sz w:val="28"/>
          <w:szCs w:val="28"/>
        </w:rPr>
        <w:t>сприятиме</w:t>
      </w:r>
      <w:r w:rsidRPr="007E1482">
        <w:rPr>
          <w:rFonts w:ascii="Times New Roman" w:hAnsi="Times New Roman"/>
          <w:sz w:val="28"/>
          <w:szCs w:val="28"/>
        </w:rPr>
        <w:t xml:space="preserve"> реалізаці</w:t>
      </w:r>
      <w:r>
        <w:rPr>
          <w:rFonts w:ascii="Times New Roman" w:hAnsi="Times New Roman"/>
          <w:sz w:val="28"/>
          <w:szCs w:val="28"/>
        </w:rPr>
        <w:t>ї</w:t>
      </w:r>
      <w:r w:rsidRPr="007E1482">
        <w:rPr>
          <w:rFonts w:ascii="Times New Roman" w:hAnsi="Times New Roman"/>
          <w:sz w:val="28"/>
          <w:szCs w:val="28"/>
        </w:rPr>
        <w:t xml:space="preserve"> положень законодавства у сфері моніторингу та верифікації таких виплат.</w:t>
      </w:r>
    </w:p>
    <w:p w:rsidR="007E1482" w:rsidRPr="00E4035C" w:rsidRDefault="007E1482" w:rsidP="007E1482">
      <w:pPr>
        <w:ind w:left="720"/>
        <w:contextualSpacing/>
        <w:rPr>
          <w:rFonts w:ascii="Times New Roman" w:hAnsi="Times New Roman"/>
          <w:b/>
          <w:sz w:val="28"/>
        </w:rPr>
      </w:pPr>
    </w:p>
    <w:p w:rsidR="007E1482" w:rsidRPr="007E1482" w:rsidRDefault="007E1482" w:rsidP="007E1482">
      <w:pPr>
        <w:numPr>
          <w:ilvl w:val="0"/>
          <w:numId w:val="1"/>
        </w:numPr>
        <w:contextualSpacing/>
        <w:jc w:val="both"/>
        <w:rPr>
          <w:rFonts w:ascii="Times New Roman" w:hAnsi="Times New Roman"/>
          <w:b/>
          <w:sz w:val="28"/>
        </w:rPr>
      </w:pPr>
      <w:r w:rsidRPr="007E1482">
        <w:rPr>
          <w:rFonts w:ascii="Times New Roman" w:hAnsi="Times New Roman"/>
          <w:b/>
          <w:sz w:val="28"/>
        </w:rPr>
        <w:t>Політико – правове обґрунтування законопроекту:</w:t>
      </w:r>
    </w:p>
    <w:p w:rsidR="007E1482" w:rsidRDefault="007E1482" w:rsidP="007E1482">
      <w:pPr>
        <w:spacing w:after="0"/>
        <w:ind w:firstLine="708"/>
        <w:jc w:val="both"/>
        <w:rPr>
          <w:rFonts w:ascii="Times New Roman" w:hAnsi="Times New Roman"/>
          <w:sz w:val="28"/>
        </w:rPr>
      </w:pPr>
      <w:r w:rsidRPr="00E4035C">
        <w:rPr>
          <w:rFonts w:ascii="Times New Roman" w:hAnsi="Times New Roman"/>
          <w:sz w:val="28"/>
        </w:rPr>
        <w:t>Про</w:t>
      </w:r>
      <w:r>
        <w:rPr>
          <w:rFonts w:ascii="Times New Roman" w:hAnsi="Times New Roman"/>
          <w:sz w:val="28"/>
        </w:rPr>
        <w:t>е</w:t>
      </w:r>
      <w:r w:rsidRPr="00E4035C">
        <w:rPr>
          <w:rFonts w:ascii="Times New Roman" w:hAnsi="Times New Roman"/>
          <w:sz w:val="28"/>
        </w:rPr>
        <w:t xml:space="preserve">кт </w:t>
      </w:r>
      <w:proofErr w:type="spellStart"/>
      <w:r w:rsidRPr="00E4035C">
        <w:rPr>
          <w:rFonts w:ascii="Times New Roman" w:hAnsi="Times New Roman"/>
          <w:sz w:val="28"/>
        </w:rPr>
        <w:t>акта</w:t>
      </w:r>
      <w:proofErr w:type="spellEnd"/>
      <w:r w:rsidRPr="00E4035C">
        <w:rPr>
          <w:rFonts w:ascii="Times New Roman" w:hAnsi="Times New Roman"/>
          <w:sz w:val="28"/>
        </w:rPr>
        <w:t xml:space="preserve"> належить до пріоритетних сфер адаптації законодавства в рамках імплементації Угоди про асоціацію між Україною та ЄС.</w:t>
      </w:r>
    </w:p>
    <w:p w:rsidR="007E1482" w:rsidRPr="00543754" w:rsidRDefault="007E1482" w:rsidP="007E1482">
      <w:pPr>
        <w:spacing w:after="0"/>
        <w:ind w:firstLine="708"/>
        <w:jc w:val="both"/>
        <w:rPr>
          <w:rFonts w:ascii="Times New Roman" w:hAnsi="Times New Roman"/>
          <w:sz w:val="28"/>
        </w:rPr>
      </w:pPr>
      <w:r>
        <w:rPr>
          <w:rFonts w:ascii="Times New Roman" w:hAnsi="Times New Roman"/>
          <w:sz w:val="28"/>
        </w:rPr>
        <w:t xml:space="preserve">Особливості, які планується врегулювати законопроектом, охоплюються зобов’язаннями відповідно до ст. 15 </w:t>
      </w:r>
      <w:r w:rsidRPr="00193D2F">
        <w:rPr>
          <w:rFonts w:ascii="Times New Roman" w:hAnsi="Times New Roman"/>
          <w:sz w:val="28"/>
        </w:rPr>
        <w:t xml:space="preserve">«Захист персональних даних» Угоди про асоціацію між Україною та ЄС, </w:t>
      </w:r>
      <w:r>
        <w:rPr>
          <w:rFonts w:ascii="Times New Roman" w:hAnsi="Times New Roman"/>
          <w:sz w:val="28"/>
        </w:rPr>
        <w:t>відповідно до якої</w:t>
      </w:r>
      <w:r w:rsidRPr="00193D2F">
        <w:rPr>
          <w:rFonts w:ascii="Times New Roman" w:hAnsi="Times New Roman"/>
          <w:sz w:val="28"/>
        </w:rPr>
        <w:t xml:space="preserve"> </w:t>
      </w:r>
      <w:r>
        <w:rPr>
          <w:rFonts w:ascii="Times New Roman" w:hAnsi="Times New Roman"/>
          <w:sz w:val="28"/>
        </w:rPr>
        <w:t>с</w:t>
      </w:r>
      <w:r w:rsidRPr="00193D2F">
        <w:rPr>
          <w:rFonts w:ascii="Times New Roman" w:hAnsi="Times New Roman"/>
          <w:sz w:val="28"/>
        </w:rPr>
        <w:t xml:space="preserve">торони домовились </w:t>
      </w:r>
      <w:r>
        <w:rPr>
          <w:rFonts w:ascii="Times New Roman" w:hAnsi="Times New Roman"/>
          <w:sz w:val="28"/>
        </w:rPr>
        <w:t>поглиблювати співробітництво</w:t>
      </w:r>
      <w:r w:rsidRPr="00193D2F">
        <w:rPr>
          <w:rFonts w:ascii="Times New Roman" w:hAnsi="Times New Roman"/>
          <w:sz w:val="28"/>
        </w:rPr>
        <w:t xml:space="preserve"> з метою забезпечення належного рівня захисту персональних даних відповідно до найвищих європейських та міжнародних стандартів, зокрема відповідних документів Ради Європи. </w:t>
      </w:r>
    </w:p>
    <w:p w:rsidR="007E1482" w:rsidRPr="007149C6" w:rsidRDefault="007E1482" w:rsidP="007E1482">
      <w:pPr>
        <w:spacing w:after="0" w:line="240" w:lineRule="auto"/>
        <w:ind w:firstLine="540"/>
        <w:jc w:val="both"/>
        <w:rPr>
          <w:rFonts w:ascii="Times New Roman" w:eastAsia="Times New Roman" w:hAnsi="Times New Roman" w:cs="Times New Roman"/>
          <w:sz w:val="28"/>
          <w:szCs w:val="28"/>
        </w:rPr>
      </w:pPr>
      <w:r>
        <w:tab/>
      </w:r>
      <w:r w:rsidRPr="0016309F">
        <w:rPr>
          <w:rFonts w:ascii="Times New Roman" w:eastAsia="Times New Roman" w:hAnsi="Times New Roman" w:cs="Times New Roman"/>
          <w:sz w:val="28"/>
          <w:szCs w:val="28"/>
        </w:rPr>
        <w:t xml:space="preserve">До нормативно-правових актів ЄС, що регулюють зазначену сферу належать: </w:t>
      </w:r>
    </w:p>
    <w:p w:rsidR="007E1482" w:rsidRPr="007149C6" w:rsidRDefault="007E1482" w:rsidP="007E1482">
      <w:pPr>
        <w:pStyle w:val="a3"/>
        <w:numPr>
          <w:ilvl w:val="0"/>
          <w:numId w:val="2"/>
        </w:numPr>
        <w:tabs>
          <w:tab w:val="left" w:pos="1134"/>
          <w:tab w:val="left" w:pos="1276"/>
        </w:tabs>
        <w:spacing w:after="0" w:line="240" w:lineRule="auto"/>
        <w:ind w:left="709" w:firstLine="0"/>
        <w:jc w:val="both"/>
        <w:rPr>
          <w:rFonts w:ascii="Times New Roman" w:eastAsia="Times New Roman" w:hAnsi="Times New Roman" w:cs="Times New Roman"/>
          <w:sz w:val="28"/>
          <w:szCs w:val="28"/>
        </w:rPr>
      </w:pPr>
      <w:r w:rsidRPr="007149C6">
        <w:rPr>
          <w:rFonts w:ascii="Times New Roman" w:eastAsia="Times New Roman" w:hAnsi="Times New Roman" w:cs="Times New Roman"/>
          <w:sz w:val="28"/>
          <w:szCs w:val="28"/>
        </w:rPr>
        <w:t xml:space="preserve">Регламент Європейського </w:t>
      </w:r>
      <w:r>
        <w:rPr>
          <w:rFonts w:ascii="Times New Roman" w:eastAsia="Times New Roman" w:hAnsi="Times New Roman" w:cs="Times New Roman"/>
          <w:sz w:val="28"/>
          <w:szCs w:val="28"/>
        </w:rPr>
        <w:t>П</w:t>
      </w:r>
      <w:r w:rsidRPr="007149C6">
        <w:rPr>
          <w:rFonts w:ascii="Times New Roman" w:eastAsia="Times New Roman" w:hAnsi="Times New Roman" w:cs="Times New Roman"/>
          <w:sz w:val="28"/>
          <w:szCs w:val="28"/>
        </w:rPr>
        <w:t xml:space="preserve">арламенту і Ради (ЄС) 2016/679 від </w:t>
      </w:r>
      <w:r>
        <w:rPr>
          <w:rFonts w:ascii="Times New Roman" w:eastAsia="Times New Roman" w:hAnsi="Times New Roman" w:cs="Times New Roman"/>
          <w:sz w:val="28"/>
          <w:szCs w:val="28"/>
        </w:rPr>
        <w:t xml:space="preserve">                        </w:t>
      </w:r>
      <w:r w:rsidRPr="007149C6">
        <w:rPr>
          <w:rFonts w:ascii="Times New Roman" w:eastAsia="Times New Roman" w:hAnsi="Times New Roman" w:cs="Times New Roman"/>
          <w:sz w:val="28"/>
          <w:szCs w:val="28"/>
        </w:rPr>
        <w:t xml:space="preserve">27 квітня 2016 року - Загальний регламент про захист даних </w:t>
      </w:r>
    </w:p>
    <w:p w:rsidR="007E1482" w:rsidRPr="007149C6" w:rsidRDefault="007E1482" w:rsidP="007E1482">
      <w:pPr>
        <w:tabs>
          <w:tab w:val="left" w:pos="1134"/>
          <w:tab w:val="left" w:pos="1276"/>
        </w:tabs>
        <w:spacing w:after="0" w:line="240" w:lineRule="auto"/>
        <w:jc w:val="both"/>
        <w:rPr>
          <w:rFonts w:ascii="Times New Roman" w:eastAsia="Times New Roman" w:hAnsi="Times New Roman" w:cs="Times New Roman"/>
          <w:sz w:val="28"/>
          <w:szCs w:val="28"/>
        </w:rPr>
      </w:pPr>
    </w:p>
    <w:p w:rsidR="007E1482" w:rsidRPr="007149C6" w:rsidRDefault="007E1482" w:rsidP="007E1482">
      <w:pPr>
        <w:pStyle w:val="a3"/>
        <w:numPr>
          <w:ilvl w:val="0"/>
          <w:numId w:val="2"/>
        </w:numPr>
        <w:tabs>
          <w:tab w:val="left" w:pos="1134"/>
          <w:tab w:val="left" w:pos="1276"/>
        </w:tabs>
        <w:spacing w:after="0" w:line="240" w:lineRule="auto"/>
        <w:ind w:left="709" w:firstLine="0"/>
        <w:jc w:val="both"/>
        <w:rPr>
          <w:rFonts w:ascii="Times New Roman" w:eastAsia="Times New Roman" w:hAnsi="Times New Roman" w:cs="Times New Roman"/>
          <w:sz w:val="28"/>
          <w:szCs w:val="28"/>
        </w:rPr>
      </w:pPr>
      <w:r w:rsidRPr="007149C6">
        <w:rPr>
          <w:rFonts w:ascii="Times New Roman" w:eastAsia="Times New Roman" w:hAnsi="Times New Roman" w:cs="Times New Roman"/>
          <w:sz w:val="28"/>
          <w:szCs w:val="28"/>
        </w:rPr>
        <w:t>Директива Європейського Парламенту та Ради (ЄС) № 2016/680 від 27 квітня 2016 року «Про захист фізичних осіб у зв’язку з обробкою персональних даних компетентними органами з метою попередження, розслідування, виявлення або кримінального переслідування кримінальних злочинів або виконання кримінальних покарань та щодо вільного переміщення таких даних».</w:t>
      </w:r>
    </w:p>
    <w:p w:rsidR="007E1482" w:rsidRPr="007149C6" w:rsidRDefault="007E1482" w:rsidP="007E1482">
      <w:pPr>
        <w:tabs>
          <w:tab w:val="left" w:pos="1134"/>
          <w:tab w:val="left" w:pos="1276"/>
        </w:tabs>
        <w:spacing w:after="0" w:line="240" w:lineRule="auto"/>
        <w:ind w:left="709"/>
        <w:jc w:val="both"/>
        <w:rPr>
          <w:rFonts w:ascii="Times New Roman" w:eastAsia="Times New Roman" w:hAnsi="Times New Roman" w:cs="Times New Roman"/>
          <w:sz w:val="28"/>
          <w:szCs w:val="28"/>
        </w:rPr>
      </w:pPr>
    </w:p>
    <w:p w:rsidR="007E1482" w:rsidRPr="00543754" w:rsidRDefault="007E1482" w:rsidP="00D61ECD">
      <w:pPr>
        <w:pStyle w:val="a3"/>
        <w:numPr>
          <w:ilvl w:val="0"/>
          <w:numId w:val="2"/>
        </w:numPr>
        <w:tabs>
          <w:tab w:val="left" w:pos="900"/>
          <w:tab w:val="left" w:pos="1134"/>
        </w:tabs>
        <w:spacing w:after="0" w:line="240" w:lineRule="auto"/>
        <w:ind w:left="709" w:firstLine="191"/>
        <w:jc w:val="both"/>
        <w:rPr>
          <w:rFonts w:ascii="Times New Roman" w:eastAsia="Times New Roman" w:hAnsi="Times New Roman" w:cs="Times New Roman"/>
          <w:sz w:val="28"/>
          <w:szCs w:val="28"/>
        </w:rPr>
      </w:pPr>
      <w:r w:rsidRPr="007149C6">
        <w:rPr>
          <w:rFonts w:ascii="Times New Roman" w:eastAsia="Times New Roman" w:hAnsi="Times New Roman" w:cs="Times New Roman"/>
          <w:sz w:val="28"/>
          <w:szCs w:val="28"/>
        </w:rPr>
        <w:t>Директива Європейського Парламен</w:t>
      </w:r>
      <w:r>
        <w:rPr>
          <w:rFonts w:ascii="Times New Roman" w:eastAsia="Times New Roman" w:hAnsi="Times New Roman" w:cs="Times New Roman"/>
          <w:sz w:val="28"/>
          <w:szCs w:val="28"/>
        </w:rPr>
        <w:t xml:space="preserve">ту і Ради (ЄС) № 2002/58 від 12 </w:t>
      </w:r>
      <w:r w:rsidRPr="007149C6">
        <w:rPr>
          <w:rFonts w:ascii="Times New Roman" w:eastAsia="Times New Roman" w:hAnsi="Times New Roman" w:cs="Times New Roman"/>
          <w:sz w:val="28"/>
          <w:szCs w:val="28"/>
        </w:rPr>
        <w:t>липня 2002 року «Про обробку персональних даних та захист таємниці сектора електронних комунікацій».</w:t>
      </w:r>
      <w:r w:rsidRPr="007149C6">
        <w:t xml:space="preserve"> </w:t>
      </w:r>
    </w:p>
    <w:p w:rsidR="007E1482" w:rsidRPr="005D345D" w:rsidRDefault="007E1482" w:rsidP="007E1482">
      <w:pPr>
        <w:tabs>
          <w:tab w:val="left" w:pos="900"/>
          <w:tab w:val="left" w:pos="1134"/>
        </w:tabs>
        <w:spacing w:after="0" w:line="240" w:lineRule="auto"/>
        <w:jc w:val="both"/>
        <w:rPr>
          <w:rFonts w:ascii="Times New Roman" w:eastAsia="Times New Roman" w:hAnsi="Times New Roman" w:cs="Times New Roman"/>
          <w:sz w:val="28"/>
          <w:szCs w:val="28"/>
          <w:lang w:val="ru-RU"/>
        </w:rPr>
      </w:pPr>
    </w:p>
    <w:p w:rsidR="007E1482" w:rsidRPr="00B94A05" w:rsidRDefault="007E1482" w:rsidP="00B94A05">
      <w:pPr>
        <w:pStyle w:val="a3"/>
        <w:numPr>
          <w:ilvl w:val="0"/>
          <w:numId w:val="2"/>
        </w:numPr>
        <w:tabs>
          <w:tab w:val="left" w:pos="1134"/>
          <w:tab w:val="left" w:pos="1276"/>
        </w:tabs>
        <w:spacing w:after="0" w:line="240" w:lineRule="auto"/>
        <w:ind w:left="851" w:firstLine="0"/>
        <w:jc w:val="both"/>
        <w:rPr>
          <w:rFonts w:ascii="Times New Roman" w:eastAsia="Times New Roman" w:hAnsi="Times New Roman" w:cs="Times New Roman"/>
          <w:sz w:val="28"/>
          <w:szCs w:val="28"/>
        </w:rPr>
      </w:pPr>
      <w:r w:rsidRPr="007149C6">
        <w:rPr>
          <w:rFonts w:ascii="Times New Roman" w:eastAsia="Times New Roman" w:hAnsi="Times New Roman" w:cs="Times New Roman"/>
          <w:sz w:val="28"/>
          <w:szCs w:val="28"/>
        </w:rPr>
        <w:t>Модернізована Конвенція Ради Європи № 108.</w:t>
      </w:r>
    </w:p>
    <w:p w:rsidR="007E1482" w:rsidRDefault="007E1482" w:rsidP="007E1482">
      <w:pPr>
        <w:tabs>
          <w:tab w:val="left" w:pos="1134"/>
          <w:tab w:val="left" w:pos="127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Положення законопроекту</w:t>
      </w:r>
      <w:r w:rsidRPr="00155331">
        <w:rPr>
          <w:rFonts w:ascii="Times New Roman" w:eastAsia="Times New Roman" w:hAnsi="Times New Roman" w:cs="Times New Roman"/>
          <w:sz w:val="28"/>
          <w:szCs w:val="28"/>
        </w:rPr>
        <w:t xml:space="preserve"> передбачають, що </w:t>
      </w:r>
      <w:r w:rsidRPr="007E1482">
        <w:rPr>
          <w:rFonts w:ascii="Times New Roman" w:eastAsia="Times New Roman" w:hAnsi="Times New Roman" w:cs="Times New Roman"/>
          <w:sz w:val="28"/>
          <w:szCs w:val="28"/>
        </w:rPr>
        <w:t xml:space="preserve">фізичними особами, які відповідно до закону звернулися до суб'єкта владних повноважень з приводу призначення, зміни чи припинення соціальних виплат, що здійснюються за рахунок публічних фінансів, а також при здійсненні верифікації та моніторингу таких виплат, згода суб’єкта персональних даних на обробку персональних </w:t>
      </w:r>
      <w:r w:rsidRPr="007E1482">
        <w:rPr>
          <w:rFonts w:ascii="Times New Roman" w:eastAsia="Times New Roman" w:hAnsi="Times New Roman" w:cs="Times New Roman"/>
          <w:sz w:val="28"/>
          <w:szCs w:val="28"/>
        </w:rPr>
        <w:lastRenderedPageBreak/>
        <w:t>даних надається автоматично, що засвідчується фактом такого звернення або фактом отримання зазначених виплат.</w:t>
      </w:r>
      <w:r>
        <w:rPr>
          <w:rFonts w:ascii="Times New Roman" w:eastAsia="Times New Roman" w:hAnsi="Times New Roman" w:cs="Times New Roman"/>
          <w:sz w:val="28"/>
          <w:szCs w:val="28"/>
        </w:rPr>
        <w:t xml:space="preserve"> </w:t>
      </w:r>
    </w:p>
    <w:p w:rsidR="007E1482" w:rsidRPr="007E1482" w:rsidRDefault="007E1482" w:rsidP="007E1482">
      <w:pPr>
        <w:tabs>
          <w:tab w:val="left" w:pos="1134"/>
          <w:tab w:val="left" w:pos="1276"/>
        </w:tabs>
        <w:spacing w:after="0" w:line="240" w:lineRule="auto"/>
        <w:ind w:firstLine="709"/>
        <w:jc w:val="both"/>
      </w:pPr>
      <w:r>
        <w:rPr>
          <w:rFonts w:ascii="Times New Roman" w:eastAsia="Times New Roman" w:hAnsi="Times New Roman" w:cs="Times New Roman"/>
          <w:sz w:val="28"/>
          <w:szCs w:val="28"/>
        </w:rPr>
        <w:t>Варто зазначити, що о</w:t>
      </w:r>
      <w:r w:rsidRPr="007149C6">
        <w:rPr>
          <w:rFonts w:ascii="Times New Roman" w:eastAsia="Times New Roman" w:hAnsi="Times New Roman" w:cs="Times New Roman"/>
          <w:sz w:val="28"/>
          <w:szCs w:val="28"/>
        </w:rPr>
        <w:t>бробка персональних даних включає в себе такі дії, як збирання, реєстрацію, накопичення, зберігання, адаптування, зміну, поновлення, використання і поширення (розповсюдження, реалізацію, передачу), знеособлення, знищення персональних даних. Обробка персональних даних може бути здійснена як неавтоматичними засобами з носіїв (у тому числі паперових), що становлять будь-який структурований масив персональних даних, який є доступним за визначеними критеріями, так і з використанням інформаційних (автоматизованих) систем.</w:t>
      </w:r>
      <w:r w:rsidRPr="00155331">
        <w:t xml:space="preserve"> </w:t>
      </w:r>
    </w:p>
    <w:p w:rsidR="007E1482" w:rsidRDefault="007E1482" w:rsidP="007E1482">
      <w:pPr>
        <w:tabs>
          <w:tab w:val="left" w:pos="1134"/>
          <w:tab w:val="left" w:pos="1276"/>
        </w:tabs>
        <w:spacing w:after="0" w:line="240" w:lineRule="auto"/>
        <w:ind w:firstLine="567"/>
        <w:jc w:val="both"/>
        <w:rPr>
          <w:rFonts w:ascii="Times New Roman" w:eastAsia="Times New Roman" w:hAnsi="Times New Roman" w:cs="Times New Roman"/>
          <w:sz w:val="28"/>
          <w:szCs w:val="28"/>
        </w:rPr>
      </w:pPr>
      <w:r w:rsidRPr="00382624">
        <w:rPr>
          <w:rFonts w:ascii="Times New Roman" w:eastAsia="Times New Roman" w:hAnsi="Times New Roman" w:cs="Times New Roman"/>
          <w:sz w:val="28"/>
          <w:szCs w:val="28"/>
        </w:rPr>
        <w:t xml:space="preserve">Запропоновані </w:t>
      </w:r>
      <w:r>
        <w:rPr>
          <w:rFonts w:ascii="Times New Roman" w:eastAsia="Times New Roman" w:hAnsi="Times New Roman" w:cs="Times New Roman"/>
          <w:sz w:val="28"/>
          <w:szCs w:val="28"/>
        </w:rPr>
        <w:t xml:space="preserve">у законопроекті </w:t>
      </w:r>
      <w:r w:rsidRPr="00382624">
        <w:rPr>
          <w:rFonts w:ascii="Times New Roman" w:eastAsia="Times New Roman" w:hAnsi="Times New Roman" w:cs="Times New Roman"/>
          <w:sz w:val="28"/>
          <w:szCs w:val="28"/>
        </w:rPr>
        <w:t xml:space="preserve">зміни </w:t>
      </w:r>
      <w:r>
        <w:rPr>
          <w:rFonts w:ascii="Times New Roman" w:eastAsia="Times New Roman" w:hAnsi="Times New Roman" w:cs="Times New Roman"/>
          <w:sz w:val="28"/>
          <w:szCs w:val="28"/>
        </w:rPr>
        <w:t>суперечать</w:t>
      </w:r>
      <w:r w:rsidRPr="00382624">
        <w:rPr>
          <w:rFonts w:ascii="Times New Roman" w:eastAsia="Times New Roman" w:hAnsi="Times New Roman" w:cs="Times New Roman"/>
          <w:sz w:val="28"/>
          <w:szCs w:val="28"/>
        </w:rPr>
        <w:t xml:space="preserve"> положенням </w:t>
      </w:r>
      <w:r>
        <w:t xml:space="preserve"> </w:t>
      </w:r>
      <w:r>
        <w:rPr>
          <w:rFonts w:ascii="Times New Roman" w:eastAsia="Times New Roman" w:hAnsi="Times New Roman" w:cs="Times New Roman"/>
          <w:sz w:val="28"/>
          <w:szCs w:val="28"/>
        </w:rPr>
        <w:t xml:space="preserve">Регламенту </w:t>
      </w:r>
      <w:r w:rsidRPr="00382624">
        <w:rPr>
          <w:rFonts w:ascii="Times New Roman" w:eastAsia="Times New Roman" w:hAnsi="Times New Roman" w:cs="Times New Roman"/>
          <w:sz w:val="28"/>
          <w:szCs w:val="28"/>
        </w:rPr>
        <w:t xml:space="preserve">Європейського </w:t>
      </w:r>
      <w:r>
        <w:rPr>
          <w:rFonts w:ascii="Times New Roman" w:eastAsia="Times New Roman" w:hAnsi="Times New Roman" w:cs="Times New Roman"/>
          <w:sz w:val="28"/>
          <w:szCs w:val="28"/>
        </w:rPr>
        <w:t>П</w:t>
      </w:r>
      <w:r w:rsidRPr="00382624">
        <w:rPr>
          <w:rFonts w:ascii="Times New Roman" w:eastAsia="Times New Roman" w:hAnsi="Times New Roman" w:cs="Times New Roman"/>
          <w:sz w:val="28"/>
          <w:szCs w:val="28"/>
        </w:rPr>
        <w:t>арламенту і Ради (ЄС) 201</w:t>
      </w:r>
      <w:r>
        <w:rPr>
          <w:rFonts w:ascii="Times New Roman" w:eastAsia="Times New Roman" w:hAnsi="Times New Roman" w:cs="Times New Roman"/>
          <w:sz w:val="28"/>
          <w:szCs w:val="28"/>
        </w:rPr>
        <w:t xml:space="preserve">6/679 від 27 квітня 2016 року. </w:t>
      </w:r>
    </w:p>
    <w:p w:rsidR="00D2751F" w:rsidRDefault="00D2751F" w:rsidP="007E1482">
      <w:pPr>
        <w:tabs>
          <w:tab w:val="left" w:pos="1134"/>
          <w:tab w:val="left" w:pos="1276"/>
        </w:tabs>
        <w:spacing w:after="0" w:line="240" w:lineRule="auto"/>
        <w:ind w:firstLine="567"/>
        <w:jc w:val="both"/>
        <w:rPr>
          <w:rFonts w:ascii="Times New Roman" w:eastAsia="Times New Roman" w:hAnsi="Times New Roman" w:cs="Times New Roman"/>
          <w:sz w:val="28"/>
          <w:szCs w:val="28"/>
        </w:rPr>
      </w:pPr>
      <w:r w:rsidRPr="00D2751F">
        <w:rPr>
          <w:rFonts w:ascii="Times New Roman" w:eastAsia="Times New Roman" w:hAnsi="Times New Roman" w:cs="Times New Roman"/>
          <w:sz w:val="28"/>
          <w:szCs w:val="28"/>
        </w:rPr>
        <w:t xml:space="preserve">Відповідно до пункту 11 статті 4 Регламенту (ЄС) № 2016/679 згода на обробку персональних даних – це будь-яке вільно надане, конкретне, інформоване та однозначне підтвердження чи інша позитивна дія, що засвідчує згоду на обробку персональних даних. </w:t>
      </w:r>
    </w:p>
    <w:p w:rsidR="007E1482" w:rsidRDefault="00D2751F" w:rsidP="007E1482">
      <w:pPr>
        <w:tabs>
          <w:tab w:val="left" w:pos="1134"/>
          <w:tab w:val="left" w:pos="1276"/>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Також </w:t>
      </w:r>
      <w:r w:rsidR="007E1482">
        <w:rPr>
          <w:rFonts w:ascii="Times New Roman" w:eastAsia="Times New Roman" w:hAnsi="Times New Roman" w:cs="Times New Roman"/>
          <w:sz w:val="28"/>
          <w:szCs w:val="28"/>
        </w:rPr>
        <w:t xml:space="preserve"> ст. 7 зазначеного Регламенту містить більш деталізоване визначення умов надання згоди на обробку персональних даних, про яке не зазначено у проекті Закону, а саме: </w:t>
      </w:r>
    </w:p>
    <w:p w:rsidR="007E1482" w:rsidRDefault="007E1482" w:rsidP="007E1482">
      <w:pPr>
        <w:tabs>
          <w:tab w:val="left" w:pos="1134"/>
          <w:tab w:val="left" w:pos="1276"/>
        </w:tabs>
        <w:spacing w:after="0" w:line="240" w:lineRule="auto"/>
        <w:ind w:firstLine="567"/>
        <w:jc w:val="both"/>
        <w:rPr>
          <w:rFonts w:ascii="Times New Roman" w:eastAsia="Times New Roman" w:hAnsi="Times New Roman" w:cs="Times New Roman"/>
          <w:sz w:val="28"/>
          <w:szCs w:val="28"/>
        </w:rPr>
      </w:pPr>
    </w:p>
    <w:p w:rsidR="007E1482" w:rsidRPr="00D2751F" w:rsidRDefault="007E1482" w:rsidP="00D2751F">
      <w:pPr>
        <w:pStyle w:val="a3"/>
        <w:numPr>
          <w:ilvl w:val="0"/>
          <w:numId w:val="4"/>
        </w:numPr>
        <w:tabs>
          <w:tab w:val="left" w:pos="0"/>
          <w:tab w:val="left" w:pos="993"/>
        </w:tabs>
        <w:spacing w:after="0" w:line="240" w:lineRule="auto"/>
        <w:ind w:left="0" w:firstLine="709"/>
        <w:jc w:val="both"/>
        <w:rPr>
          <w:rFonts w:ascii="Times New Roman" w:eastAsia="Times New Roman" w:hAnsi="Times New Roman" w:cs="Times New Roman"/>
          <w:sz w:val="28"/>
          <w:szCs w:val="28"/>
        </w:rPr>
      </w:pPr>
      <w:r w:rsidRPr="00D2751F">
        <w:rPr>
          <w:rFonts w:ascii="Times New Roman" w:eastAsia="Times New Roman" w:hAnsi="Times New Roman" w:cs="Times New Roman"/>
          <w:sz w:val="28"/>
          <w:szCs w:val="28"/>
        </w:rPr>
        <w:t>«Якщо суб’єкт даних надає згоду в контексті письмової декларації, що також стосується інших питань, запит на надання згоди необхідно подавати у формі, що чітко відрізняється від інших питань, у зрозумілій та доступній формі, з використанням чітких і простих формулювань. Будь-яка частина такої декларації, що становить порушення цього Регламенту, не є зобов’язальною.</w:t>
      </w:r>
    </w:p>
    <w:p w:rsidR="00D2751F" w:rsidRPr="00D2751F" w:rsidRDefault="007E1482" w:rsidP="00D2751F">
      <w:pPr>
        <w:pStyle w:val="a3"/>
        <w:numPr>
          <w:ilvl w:val="0"/>
          <w:numId w:val="3"/>
        </w:numPr>
        <w:tabs>
          <w:tab w:val="left" w:pos="0"/>
          <w:tab w:val="left" w:pos="993"/>
        </w:tabs>
        <w:spacing w:after="0" w:line="240" w:lineRule="auto"/>
        <w:ind w:left="0" w:firstLine="709"/>
        <w:jc w:val="both"/>
        <w:rPr>
          <w:rFonts w:ascii="Times New Roman" w:eastAsia="Times New Roman" w:hAnsi="Times New Roman" w:cs="Times New Roman"/>
          <w:sz w:val="28"/>
          <w:szCs w:val="28"/>
        </w:rPr>
      </w:pPr>
      <w:r w:rsidRPr="00D2751F">
        <w:rPr>
          <w:rFonts w:ascii="Times New Roman" w:eastAsia="Times New Roman" w:hAnsi="Times New Roman" w:cs="Times New Roman"/>
          <w:sz w:val="28"/>
          <w:szCs w:val="28"/>
        </w:rPr>
        <w:t>Здійснюючи оцінку того, чи є згода вільно наданою, необхідно максимально враховувати те, чи залежить, між іншим, виконання договору, в тому числі надання послуги, від згоди на опрацювання персональних даних, що не є необхідною для виконання такого договору».</w:t>
      </w:r>
    </w:p>
    <w:p w:rsidR="00D2751F" w:rsidRPr="00D2751F" w:rsidRDefault="00D2751F" w:rsidP="00D2751F">
      <w:pPr>
        <w:tabs>
          <w:tab w:val="left" w:pos="1134"/>
          <w:tab w:val="left" w:pos="1276"/>
        </w:tabs>
        <w:spacing w:after="0" w:line="240" w:lineRule="auto"/>
        <w:ind w:firstLine="567"/>
        <w:jc w:val="both"/>
        <w:rPr>
          <w:rFonts w:ascii="Times New Roman" w:eastAsia="Times New Roman" w:hAnsi="Times New Roman" w:cs="Times New Roman"/>
          <w:sz w:val="28"/>
          <w:szCs w:val="28"/>
        </w:rPr>
      </w:pPr>
      <w:r w:rsidRPr="00D2751F">
        <w:rPr>
          <w:rFonts w:ascii="Times New Roman" w:hAnsi="Times New Roman" w:cs="Times New Roman"/>
          <w:sz w:val="28"/>
          <w:szCs w:val="28"/>
        </w:rPr>
        <w:t>Законопроектом пропонується доповнити статтю 10-1 Закону України «Про доступ до публічної інформації» положенням, згідно з яким підлягає оприлюдненню у формі відкритих даних інформація про осіб, які отримують соціальні виплати, що здійснюються за рахунок публічних фінансів (за виключенням пенсії за віком). Така інформація повинна містити: прізвище, ім’я, по-батькові фізичної особи; місце проживання (населений пункт); підстави отримання соціальних виплат, що здійснюються за рахунок публічних фінансів; дату набуття права на отримання соціальної виплати; найменування установи, що здійснює облік, нарахування та виплату коштів такій особі.</w:t>
      </w:r>
    </w:p>
    <w:p w:rsidR="00D2751F" w:rsidRPr="00D2751F" w:rsidRDefault="00D2751F" w:rsidP="00D2751F">
      <w:pPr>
        <w:pStyle w:val="rvps2"/>
        <w:shd w:val="clear" w:color="auto" w:fill="FFFFFF"/>
        <w:spacing w:after="0"/>
        <w:ind w:firstLine="709"/>
        <w:jc w:val="both"/>
        <w:rPr>
          <w:sz w:val="28"/>
          <w:szCs w:val="28"/>
          <w:lang w:val="uk-UA"/>
        </w:rPr>
      </w:pPr>
      <w:r w:rsidRPr="00D2751F">
        <w:rPr>
          <w:sz w:val="28"/>
          <w:szCs w:val="28"/>
          <w:lang w:val="uk-UA"/>
        </w:rPr>
        <w:t>Згідно з пунктом 2 статті 4 Регламенту (ЄС) № 2016/679 "обробка" означає будь-яку операцію або сукупність операцій з персональними даними або наборами персональних даних, незалежно від того, здійснюються вони чи ні шляхом використання автоматизованих засобів, таких як збір, запис, організація, структурування, зберігання, адаптація чи зміна, пошук, консультації, використання, поширення або оприлюднення, доступні, групування або поєднання, обмеження, стирання чи знищення. Таким чином, оприлюднення персональних даних охоплюється терміном «обробка» персональних даних.</w:t>
      </w:r>
    </w:p>
    <w:p w:rsidR="00D2751F" w:rsidRDefault="00D2751F" w:rsidP="00D2751F">
      <w:pPr>
        <w:pStyle w:val="rvps2"/>
        <w:shd w:val="clear" w:color="auto" w:fill="FFFFFF"/>
        <w:spacing w:before="0" w:beforeAutospacing="0" w:after="0" w:afterAutospacing="0"/>
        <w:ind w:firstLine="709"/>
        <w:jc w:val="both"/>
        <w:rPr>
          <w:sz w:val="28"/>
          <w:szCs w:val="28"/>
          <w:lang w:val="uk-UA"/>
        </w:rPr>
      </w:pPr>
      <w:r w:rsidRPr="00D2751F">
        <w:rPr>
          <w:sz w:val="28"/>
          <w:szCs w:val="28"/>
          <w:lang w:val="uk-UA"/>
        </w:rPr>
        <w:lastRenderedPageBreak/>
        <w:t>Пунктом 1 Преамбули Регламенту (ЄС) № 2016/679 закріплено, що захист фізичних осіб стосовно обробки персональних даних належить до основоположних прав. Стаття 8 (1) Хартії основних прав Європейського Союзу  та стаття 16 (1) Договору про функціонування Європейського Союзу передбачають, що кожен має право на захист персональних даних.</w:t>
      </w:r>
    </w:p>
    <w:p w:rsidR="007E1482" w:rsidRPr="008503F1" w:rsidRDefault="007E1482" w:rsidP="007E1482">
      <w:pPr>
        <w:pStyle w:val="rvps2"/>
        <w:shd w:val="clear" w:color="auto" w:fill="FFFFFF"/>
        <w:spacing w:before="0" w:beforeAutospacing="0" w:after="0" w:afterAutospacing="0"/>
        <w:ind w:firstLine="709"/>
        <w:jc w:val="both"/>
        <w:rPr>
          <w:sz w:val="28"/>
          <w:szCs w:val="28"/>
          <w:lang w:val="uk-UA"/>
        </w:rPr>
      </w:pPr>
      <w:r w:rsidRPr="008503F1">
        <w:rPr>
          <w:sz w:val="28"/>
          <w:szCs w:val="28"/>
          <w:lang w:val="uk-UA"/>
        </w:rPr>
        <w:t>З огляду на зазначене, досить сумнівними виглядають пропозиції,</w:t>
      </w:r>
      <w:r w:rsidR="00D2751F">
        <w:rPr>
          <w:sz w:val="28"/>
          <w:szCs w:val="28"/>
          <w:lang w:val="uk-UA"/>
        </w:rPr>
        <w:t xml:space="preserve"> які містяться у проекті Закону</w:t>
      </w:r>
      <w:r>
        <w:rPr>
          <w:sz w:val="28"/>
          <w:szCs w:val="28"/>
          <w:lang w:val="uk-UA"/>
        </w:rPr>
        <w:t xml:space="preserve">. </w:t>
      </w:r>
    </w:p>
    <w:p w:rsidR="007E1482" w:rsidRDefault="007E1482" w:rsidP="007E1482">
      <w:pPr>
        <w:tabs>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Також </w:t>
      </w:r>
      <w:r w:rsidRPr="008503F1">
        <w:rPr>
          <w:rFonts w:ascii="Times New Roman" w:hAnsi="Times New Roman" w:cs="Times New Roman"/>
          <w:sz w:val="28"/>
          <w:szCs w:val="28"/>
        </w:rPr>
        <w:t xml:space="preserve">у </w:t>
      </w:r>
      <w:r>
        <w:rPr>
          <w:rFonts w:ascii="Times New Roman" w:hAnsi="Times New Roman" w:cs="Times New Roman"/>
          <w:sz w:val="28"/>
          <w:szCs w:val="28"/>
        </w:rPr>
        <w:t>проекті Закону</w:t>
      </w:r>
      <w:r w:rsidRPr="008503F1">
        <w:rPr>
          <w:rFonts w:ascii="Times New Roman" w:hAnsi="Times New Roman" w:cs="Times New Roman"/>
          <w:sz w:val="28"/>
          <w:szCs w:val="28"/>
        </w:rPr>
        <w:t xml:space="preserve"> не </w:t>
      </w:r>
      <w:r w:rsidR="00D2751F">
        <w:rPr>
          <w:rFonts w:ascii="Times New Roman" w:hAnsi="Times New Roman" w:cs="Times New Roman"/>
          <w:sz w:val="28"/>
          <w:szCs w:val="28"/>
        </w:rPr>
        <w:t>враховані положення</w:t>
      </w:r>
      <w:r w:rsidR="00D2751F" w:rsidRPr="00D2751F">
        <w:rPr>
          <w:rFonts w:ascii="Times New Roman" w:hAnsi="Times New Roman" w:cs="Times New Roman"/>
          <w:sz w:val="28"/>
          <w:szCs w:val="28"/>
        </w:rPr>
        <w:t xml:space="preserve">,  що  </w:t>
      </w:r>
      <w:r w:rsidR="00D2751F">
        <w:rPr>
          <w:rFonts w:ascii="Times New Roman" w:hAnsi="Times New Roman" w:cs="Times New Roman"/>
          <w:sz w:val="28"/>
          <w:szCs w:val="28"/>
        </w:rPr>
        <w:t>містяться у</w:t>
      </w:r>
      <w:r w:rsidR="00D2751F" w:rsidRPr="00D2751F">
        <w:rPr>
          <w:rFonts w:ascii="Times New Roman" w:hAnsi="Times New Roman" w:cs="Times New Roman"/>
          <w:sz w:val="28"/>
          <w:szCs w:val="28"/>
        </w:rPr>
        <w:t xml:space="preserve"> п. 39 преамбули Регламенту</w:t>
      </w:r>
      <w:r w:rsidR="00D2751F">
        <w:rPr>
          <w:rFonts w:ascii="Times New Roman" w:hAnsi="Times New Roman" w:cs="Times New Roman"/>
          <w:sz w:val="28"/>
          <w:szCs w:val="28"/>
        </w:rPr>
        <w:t>, а саме:</w:t>
      </w:r>
      <w:r w:rsidR="00D2751F" w:rsidRPr="00D2751F">
        <w:rPr>
          <w:rFonts w:ascii="Times New Roman" w:hAnsi="Times New Roman" w:cs="Times New Roman"/>
          <w:sz w:val="28"/>
          <w:szCs w:val="28"/>
        </w:rPr>
        <w:t xml:space="preserve"> «Фізичні особи повинні бути обізнані про те, що їхні персональні дані збирають, використовують, обговорюють або іншим чином опрацьовують, а також про те, якою мірою опрацьовують чи опрацьовуватимуть персональні дані. Принцип прозорості вимагає, щоб будь-яка інформація та повідомлення щодо опрацювання таких персональних даних були доступними і зрозумілими, з використанням чітких і простих формулювань. Цей принцип стосується, зокрема, інформування суб’єктів даних про особу контролера та цілі опрацювання і надання подальшої інформації для забезпечення правомірного і прозорого опрацювання в частині, що стосується відповідних фізичних осіб та їхнього права на отримання підтвердження та повідомлення про ті персональні дані, які їх стосуються та підлягають опрацюванню. Фізичні особи повинні бути обізнані про ризики, правила, гарантії та права щодо опрацювання персональних даних і про те, як реалізувати свої права у зв’язку з таким опрацюванням. Зокрема, спеціальні цілі опрацювання персональних даних повинні бути прямо вираженими та законними, а також означеними на момент збирання персональних даних. Персональні дані повинні бути достатніми, відповідними та обмежуватися тим, що є необхідним для досягнення цілей, для яких їх опрацьовують. Це вимагає, зокрема, забезпечення того, що період, протягом якого зберігаються персональні дані, скорочений до абсолютного мінімуму. Персональні дані необхідно опрацьовувати, лише якщо мети опрацювання не можна досягнути розумним чином іншими засобами. Щоб забезпечити, що персональні дані не зберігаються довше, ніж це необхідно, контролер повинен установити часові рамки для стирання або періодичного перегляду. Необхідно вживати всіх відповідних заходів для забезпечення виправлення або видалення неточних персональних даних. Персональні дані необхідно опрацьовувати в спосіб, що забезпечує відповідний рівень безпеки та конфіденційності персональних даних, у тому числі для запобігання несанкціонованому доступу або використанню персональних даних, а також обладнання, необхідного для опрацювання».</w:t>
      </w:r>
    </w:p>
    <w:p w:rsidR="007E1482" w:rsidRPr="00B94A05" w:rsidRDefault="00D61ECD" w:rsidP="00B94A05">
      <w:pPr>
        <w:tabs>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D2751F">
        <w:rPr>
          <w:rFonts w:ascii="Times New Roman" w:hAnsi="Times New Roman" w:cs="Times New Roman"/>
          <w:sz w:val="28"/>
          <w:szCs w:val="28"/>
        </w:rPr>
        <w:t xml:space="preserve"> законопроект</w:t>
      </w:r>
      <w:r>
        <w:rPr>
          <w:rFonts w:ascii="Times New Roman" w:hAnsi="Times New Roman" w:cs="Times New Roman"/>
          <w:sz w:val="28"/>
          <w:szCs w:val="28"/>
        </w:rPr>
        <w:t xml:space="preserve">і відсутні положення, які б встановлювали </w:t>
      </w:r>
      <w:r w:rsidRPr="00D61ECD">
        <w:rPr>
          <w:rFonts w:ascii="Times New Roman" w:hAnsi="Times New Roman" w:cs="Times New Roman"/>
          <w:sz w:val="28"/>
          <w:szCs w:val="28"/>
        </w:rPr>
        <w:t>чіткі межі повноважень органів державної влади, що в процесі їх реалізації допускатимуть можливість збору та поширення будь-якої конфіденційної інформації про особу. Це ж саме стосується відсутності передбачення належного механізму захисту права особи на особисте та сімейне життя від втручання органів державної влади</w:t>
      </w:r>
      <w:r>
        <w:rPr>
          <w:rFonts w:ascii="Times New Roman" w:hAnsi="Times New Roman" w:cs="Times New Roman"/>
          <w:sz w:val="28"/>
          <w:szCs w:val="28"/>
        </w:rPr>
        <w:t>, що</w:t>
      </w:r>
      <w:r w:rsidR="00D2751F">
        <w:rPr>
          <w:rFonts w:ascii="Times New Roman" w:hAnsi="Times New Roman" w:cs="Times New Roman"/>
          <w:sz w:val="28"/>
          <w:szCs w:val="28"/>
        </w:rPr>
        <w:t xml:space="preserve"> </w:t>
      </w:r>
      <w:r w:rsidR="00D2751F">
        <w:rPr>
          <w:rFonts w:ascii="Times New Roman" w:eastAsia="Times New Roman" w:hAnsi="Times New Roman" w:cs="Times New Roman"/>
          <w:sz w:val="28"/>
          <w:szCs w:val="28"/>
        </w:rPr>
        <w:t>суперечить принципам</w:t>
      </w:r>
      <w:r w:rsidR="00D2751F" w:rsidRPr="00D2751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D61ECD">
        <w:rPr>
          <w:rFonts w:ascii="Times New Roman" w:eastAsia="Times New Roman" w:hAnsi="Times New Roman" w:cs="Times New Roman"/>
          <w:sz w:val="28"/>
          <w:szCs w:val="28"/>
        </w:rPr>
        <w:t>Модернізован</w:t>
      </w:r>
      <w:r>
        <w:rPr>
          <w:rFonts w:ascii="Times New Roman" w:eastAsia="Times New Roman" w:hAnsi="Times New Roman" w:cs="Times New Roman"/>
          <w:sz w:val="28"/>
          <w:szCs w:val="28"/>
        </w:rPr>
        <w:t>ої</w:t>
      </w:r>
      <w:r w:rsidRPr="00D61ECD">
        <w:rPr>
          <w:rFonts w:ascii="Times New Roman" w:eastAsia="Times New Roman" w:hAnsi="Times New Roman" w:cs="Times New Roman"/>
          <w:sz w:val="28"/>
          <w:szCs w:val="28"/>
        </w:rPr>
        <w:t xml:space="preserve"> Конвенція Ради Європи № 108</w:t>
      </w:r>
      <w:r w:rsidR="00D2751F" w:rsidRPr="00E9199D">
        <w:rPr>
          <w:rFonts w:ascii="Times New Roman" w:hAnsi="Times New Roman" w:cs="Times New Roman"/>
          <w:sz w:val="28"/>
          <w:szCs w:val="28"/>
        </w:rPr>
        <w:t>.</w:t>
      </w:r>
    </w:p>
    <w:p w:rsidR="007E1482" w:rsidRPr="00B94A05" w:rsidRDefault="007E1482" w:rsidP="00B94A05">
      <w:pPr>
        <w:tabs>
          <w:tab w:val="left" w:pos="1134"/>
          <w:tab w:val="left" w:pos="1276"/>
        </w:tabs>
        <w:spacing w:after="0" w:line="240" w:lineRule="auto"/>
        <w:ind w:firstLine="709"/>
        <w:jc w:val="both"/>
        <w:rPr>
          <w:rFonts w:ascii="Times New Roman" w:hAnsi="Times New Roman" w:cs="Times New Roman"/>
          <w:b/>
          <w:sz w:val="28"/>
          <w:szCs w:val="28"/>
        </w:rPr>
      </w:pPr>
      <w:r w:rsidRPr="00E9199D">
        <w:rPr>
          <w:rFonts w:ascii="Times New Roman" w:hAnsi="Times New Roman" w:cs="Times New Roman"/>
          <w:b/>
          <w:sz w:val="28"/>
          <w:szCs w:val="28"/>
        </w:rPr>
        <w:t>Висновок Комітету з питань інтеграції України з Європейським Союзом:</w:t>
      </w:r>
      <w:r w:rsidR="00B94A05">
        <w:rPr>
          <w:rFonts w:ascii="Times New Roman" w:hAnsi="Times New Roman" w:cs="Times New Roman"/>
          <w:b/>
          <w:sz w:val="28"/>
          <w:szCs w:val="28"/>
        </w:rPr>
        <w:t xml:space="preserve"> </w:t>
      </w:r>
      <w:r w:rsidR="00D2751F">
        <w:rPr>
          <w:rFonts w:ascii="Times New Roman" w:hAnsi="Times New Roman" w:cs="Times New Roman"/>
          <w:sz w:val="28"/>
          <w:szCs w:val="28"/>
        </w:rPr>
        <w:t xml:space="preserve">Проект Закону </w:t>
      </w:r>
      <w:r w:rsidR="00B94A05">
        <w:rPr>
          <w:rFonts w:ascii="Times New Roman" w:hAnsi="Times New Roman" w:cs="Times New Roman"/>
          <w:sz w:val="28"/>
          <w:szCs w:val="28"/>
        </w:rPr>
        <w:t>суперечить</w:t>
      </w:r>
      <w:r w:rsidRPr="00E9199D">
        <w:rPr>
          <w:rFonts w:ascii="Times New Roman" w:hAnsi="Times New Roman" w:cs="Times New Roman"/>
          <w:sz w:val="28"/>
          <w:szCs w:val="28"/>
        </w:rPr>
        <w:t xml:space="preserve"> положення</w:t>
      </w:r>
      <w:r w:rsidR="00D61ECD">
        <w:rPr>
          <w:rFonts w:ascii="Times New Roman" w:hAnsi="Times New Roman" w:cs="Times New Roman"/>
          <w:sz w:val="28"/>
          <w:szCs w:val="28"/>
        </w:rPr>
        <w:t>ми</w:t>
      </w:r>
      <w:r w:rsidRPr="00E9199D">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Регламенту </w:t>
      </w:r>
      <w:r w:rsidRPr="00382624">
        <w:rPr>
          <w:rFonts w:ascii="Times New Roman" w:eastAsia="Times New Roman" w:hAnsi="Times New Roman" w:cs="Times New Roman"/>
          <w:sz w:val="28"/>
          <w:szCs w:val="28"/>
        </w:rPr>
        <w:t xml:space="preserve">Європейського </w:t>
      </w:r>
      <w:r>
        <w:rPr>
          <w:rFonts w:ascii="Times New Roman" w:eastAsia="Times New Roman" w:hAnsi="Times New Roman" w:cs="Times New Roman"/>
          <w:sz w:val="28"/>
          <w:szCs w:val="28"/>
        </w:rPr>
        <w:t>П</w:t>
      </w:r>
      <w:r w:rsidRPr="00382624">
        <w:rPr>
          <w:rFonts w:ascii="Times New Roman" w:eastAsia="Times New Roman" w:hAnsi="Times New Roman" w:cs="Times New Roman"/>
          <w:sz w:val="28"/>
          <w:szCs w:val="28"/>
        </w:rPr>
        <w:t>арламенту і Ради (ЄС) 201</w:t>
      </w:r>
      <w:r>
        <w:rPr>
          <w:rFonts w:ascii="Times New Roman" w:eastAsia="Times New Roman" w:hAnsi="Times New Roman" w:cs="Times New Roman"/>
          <w:sz w:val="28"/>
          <w:szCs w:val="28"/>
        </w:rPr>
        <w:t>6/679</w:t>
      </w:r>
      <w:r w:rsidR="00D61ECD">
        <w:rPr>
          <w:rFonts w:ascii="Times New Roman" w:eastAsia="Times New Roman" w:hAnsi="Times New Roman" w:cs="Times New Roman"/>
          <w:sz w:val="28"/>
          <w:szCs w:val="28"/>
        </w:rPr>
        <w:t>.</w:t>
      </w:r>
      <w:r w:rsidR="00D2751F">
        <w:rPr>
          <w:rFonts w:ascii="Times New Roman" w:eastAsia="Times New Roman" w:hAnsi="Times New Roman" w:cs="Times New Roman"/>
          <w:sz w:val="28"/>
          <w:szCs w:val="28"/>
        </w:rPr>
        <w:t xml:space="preserve"> </w:t>
      </w:r>
    </w:p>
    <w:p w:rsidR="00156303" w:rsidRPr="00B94A05" w:rsidRDefault="00156303">
      <w:pPr>
        <w:rPr>
          <w:lang w:val="en-US"/>
        </w:rPr>
      </w:pPr>
    </w:p>
    <w:sectPr w:rsidR="00156303" w:rsidRPr="00B94A0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30D51"/>
    <w:multiLevelType w:val="hybridMultilevel"/>
    <w:tmpl w:val="294C98EA"/>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41E540CA"/>
    <w:multiLevelType w:val="hybridMultilevel"/>
    <w:tmpl w:val="751C4234"/>
    <w:lvl w:ilvl="0" w:tplc="04220001">
      <w:start w:val="1"/>
      <w:numFmt w:val="bullet"/>
      <w:lvlText w:val=""/>
      <w:lvlJc w:val="left"/>
      <w:pPr>
        <w:ind w:left="1260" w:hanging="360"/>
      </w:pPr>
      <w:rPr>
        <w:rFonts w:ascii="Symbol" w:hAnsi="Symbol" w:hint="default"/>
      </w:rPr>
    </w:lvl>
    <w:lvl w:ilvl="1" w:tplc="04220003" w:tentative="1">
      <w:start w:val="1"/>
      <w:numFmt w:val="bullet"/>
      <w:lvlText w:val="o"/>
      <w:lvlJc w:val="left"/>
      <w:pPr>
        <w:ind w:left="1980" w:hanging="360"/>
      </w:pPr>
      <w:rPr>
        <w:rFonts w:ascii="Courier New" w:hAnsi="Courier New" w:cs="Courier New" w:hint="default"/>
      </w:rPr>
    </w:lvl>
    <w:lvl w:ilvl="2" w:tplc="04220005" w:tentative="1">
      <w:start w:val="1"/>
      <w:numFmt w:val="bullet"/>
      <w:lvlText w:val=""/>
      <w:lvlJc w:val="left"/>
      <w:pPr>
        <w:ind w:left="2700" w:hanging="360"/>
      </w:pPr>
      <w:rPr>
        <w:rFonts w:ascii="Wingdings" w:hAnsi="Wingdings" w:hint="default"/>
      </w:rPr>
    </w:lvl>
    <w:lvl w:ilvl="3" w:tplc="04220001" w:tentative="1">
      <w:start w:val="1"/>
      <w:numFmt w:val="bullet"/>
      <w:lvlText w:val=""/>
      <w:lvlJc w:val="left"/>
      <w:pPr>
        <w:ind w:left="3420" w:hanging="360"/>
      </w:pPr>
      <w:rPr>
        <w:rFonts w:ascii="Symbol" w:hAnsi="Symbol" w:hint="default"/>
      </w:rPr>
    </w:lvl>
    <w:lvl w:ilvl="4" w:tplc="04220003" w:tentative="1">
      <w:start w:val="1"/>
      <w:numFmt w:val="bullet"/>
      <w:lvlText w:val="o"/>
      <w:lvlJc w:val="left"/>
      <w:pPr>
        <w:ind w:left="4140" w:hanging="360"/>
      </w:pPr>
      <w:rPr>
        <w:rFonts w:ascii="Courier New" w:hAnsi="Courier New" w:cs="Courier New" w:hint="default"/>
      </w:rPr>
    </w:lvl>
    <w:lvl w:ilvl="5" w:tplc="04220005" w:tentative="1">
      <w:start w:val="1"/>
      <w:numFmt w:val="bullet"/>
      <w:lvlText w:val=""/>
      <w:lvlJc w:val="left"/>
      <w:pPr>
        <w:ind w:left="4860" w:hanging="360"/>
      </w:pPr>
      <w:rPr>
        <w:rFonts w:ascii="Wingdings" w:hAnsi="Wingdings" w:hint="default"/>
      </w:rPr>
    </w:lvl>
    <w:lvl w:ilvl="6" w:tplc="04220001" w:tentative="1">
      <w:start w:val="1"/>
      <w:numFmt w:val="bullet"/>
      <w:lvlText w:val=""/>
      <w:lvlJc w:val="left"/>
      <w:pPr>
        <w:ind w:left="5580" w:hanging="360"/>
      </w:pPr>
      <w:rPr>
        <w:rFonts w:ascii="Symbol" w:hAnsi="Symbol" w:hint="default"/>
      </w:rPr>
    </w:lvl>
    <w:lvl w:ilvl="7" w:tplc="04220003" w:tentative="1">
      <w:start w:val="1"/>
      <w:numFmt w:val="bullet"/>
      <w:lvlText w:val="o"/>
      <w:lvlJc w:val="left"/>
      <w:pPr>
        <w:ind w:left="6300" w:hanging="360"/>
      </w:pPr>
      <w:rPr>
        <w:rFonts w:ascii="Courier New" w:hAnsi="Courier New" w:cs="Courier New" w:hint="default"/>
      </w:rPr>
    </w:lvl>
    <w:lvl w:ilvl="8" w:tplc="04220005" w:tentative="1">
      <w:start w:val="1"/>
      <w:numFmt w:val="bullet"/>
      <w:lvlText w:val=""/>
      <w:lvlJc w:val="left"/>
      <w:pPr>
        <w:ind w:left="7020" w:hanging="360"/>
      </w:pPr>
      <w:rPr>
        <w:rFonts w:ascii="Wingdings" w:hAnsi="Wingdings" w:hint="default"/>
      </w:rPr>
    </w:lvl>
  </w:abstractNum>
  <w:abstractNum w:abstractNumId="2" w15:restartNumberingAfterBreak="0">
    <w:nsid w:val="5B9D656E"/>
    <w:multiLevelType w:val="hybridMultilevel"/>
    <w:tmpl w:val="046AB572"/>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15:restartNumberingAfterBreak="0">
    <w:nsid w:val="5CFA2E7E"/>
    <w:multiLevelType w:val="hybridMultilevel"/>
    <w:tmpl w:val="DB7A834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955"/>
    <w:rsid w:val="00065364"/>
    <w:rsid w:val="00156303"/>
    <w:rsid w:val="006F3955"/>
    <w:rsid w:val="007E1482"/>
    <w:rsid w:val="00B94A05"/>
    <w:rsid w:val="00D2751F"/>
    <w:rsid w:val="00D61E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FC01B"/>
  <w15:chartTrackingRefBased/>
  <w15:docId w15:val="{F46DFF21-A4A4-430A-95DA-D959B40F8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14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1482"/>
    <w:pPr>
      <w:ind w:left="720"/>
      <w:contextualSpacing/>
    </w:pPr>
  </w:style>
  <w:style w:type="paragraph" w:customStyle="1" w:styleId="rvps2">
    <w:name w:val="rvps2"/>
    <w:basedOn w:val="a"/>
    <w:rsid w:val="007E148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4">
    <w:name w:val="Balloon Text"/>
    <w:basedOn w:val="a"/>
    <w:link w:val="a5"/>
    <w:uiPriority w:val="99"/>
    <w:semiHidden/>
    <w:unhideWhenUsed/>
    <w:rsid w:val="00B94A05"/>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B94A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5417</Words>
  <Characters>3089</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3</cp:revision>
  <cp:lastPrinted>2020-02-12T14:29:00Z</cp:lastPrinted>
  <dcterms:created xsi:type="dcterms:W3CDTF">2020-02-10T17:27:00Z</dcterms:created>
  <dcterms:modified xsi:type="dcterms:W3CDTF">2020-02-12T14:35:00Z</dcterms:modified>
</cp:coreProperties>
</file>