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039A" w:rsidRPr="00742C42" w:rsidRDefault="00742C42" w:rsidP="00742C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2C42">
        <w:rPr>
          <w:rFonts w:ascii="Times New Roman" w:hAnsi="Times New Roman" w:cs="Times New Roman"/>
          <w:b/>
          <w:sz w:val="28"/>
          <w:szCs w:val="28"/>
        </w:rPr>
        <w:t>ПОРІВНЯЛЬНА ТАБЛИЦЯ</w:t>
      </w:r>
    </w:p>
    <w:p w:rsidR="00742C42" w:rsidRDefault="00742C42" w:rsidP="00742C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2C4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до проекту Постанови </w:t>
      </w:r>
      <w:r w:rsidRPr="00742C42">
        <w:rPr>
          <w:rStyle w:val="rvts66"/>
          <w:rFonts w:ascii="Times New Roman" w:hAnsi="Times New Roman" w:cs="Times New Roman"/>
          <w:b/>
          <w:bCs/>
          <w:iCs/>
          <w:sz w:val="28"/>
          <w:szCs w:val="28"/>
        </w:rPr>
        <w:t>Верховної Ради України</w:t>
      </w:r>
      <w:r w:rsidRPr="00742C42">
        <w:rPr>
          <w:rStyle w:val="rvts66"/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742C42">
        <w:rPr>
          <w:rStyle w:val="rvts66"/>
          <w:rFonts w:ascii="Times New Roman" w:hAnsi="Times New Roman" w:cs="Times New Roman"/>
          <w:b/>
          <w:bCs/>
          <w:iCs/>
          <w:sz w:val="28"/>
          <w:szCs w:val="28"/>
        </w:rPr>
        <w:t>про зміни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до Постанови</w:t>
      </w:r>
      <w:r w:rsidRPr="00742C4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742C4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№ </w:t>
      </w:r>
      <w:hyperlink r:id="rId5" w:tgtFrame="_blank" w:history="1">
        <w:r w:rsidRPr="00742C42">
          <w:rPr>
            <w:rFonts w:ascii="Times New Roman" w:hAnsi="Times New Roman" w:cs="Times New Roman"/>
            <w:b/>
            <w:bCs/>
            <w:color w:val="000000"/>
            <w:sz w:val="28"/>
            <w:szCs w:val="28"/>
          </w:rPr>
          <w:t>262-IX</w:t>
        </w:r>
      </w:hyperlink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,</w:t>
      </w:r>
      <w:r w:rsidRPr="00742C4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742C4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від 31 жовтня 2019 року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щодо утворення Т</w:t>
      </w:r>
      <w:r w:rsidRPr="00742C4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имчасової слідчої комісії Верховної Ради України </w:t>
      </w:r>
      <w:r w:rsidRPr="00742C4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з питань розслідування пожежі (вибухів) на складах боєприпасів в м.Ічня (Чернігівська обл.), м.Калинівка (Вінницька обл.), м.Балаклія, (Харківська обл.), м.Сватове, (Луганська обл.), м.Кривий Ріг (Дніпропетровська обл.) у період з 2014 по 2018 роки </w:t>
      </w:r>
      <w:r w:rsidRPr="00742C4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42C42" w:rsidRDefault="00742C42" w:rsidP="00742C4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2C42" w:rsidRDefault="00742C42" w:rsidP="00742C42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564"/>
        <w:gridCol w:w="7564"/>
      </w:tblGrid>
      <w:tr w:rsidR="00742C42" w:rsidTr="00742C42">
        <w:tc>
          <w:tcPr>
            <w:tcW w:w="7564" w:type="dxa"/>
            <w:vAlign w:val="center"/>
          </w:tcPr>
          <w:p w:rsidR="00742C42" w:rsidRPr="00742C42" w:rsidRDefault="00742C42" w:rsidP="00742C42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742C42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Чинна редакція</w:t>
            </w:r>
          </w:p>
        </w:tc>
        <w:tc>
          <w:tcPr>
            <w:tcW w:w="7564" w:type="dxa"/>
            <w:vAlign w:val="center"/>
          </w:tcPr>
          <w:p w:rsidR="00742C42" w:rsidRDefault="00742C42" w:rsidP="00742C42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742C42" w:rsidRDefault="00742C42" w:rsidP="00742C42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742C42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Запропонована редакція</w:t>
            </w:r>
          </w:p>
          <w:p w:rsidR="00742C42" w:rsidRPr="00742C42" w:rsidRDefault="00742C42" w:rsidP="00742C42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</w:tc>
      </w:tr>
      <w:tr w:rsidR="00742C42" w:rsidTr="00483F3F">
        <w:tc>
          <w:tcPr>
            <w:tcW w:w="15128" w:type="dxa"/>
            <w:gridSpan w:val="2"/>
          </w:tcPr>
          <w:p w:rsidR="0065154E" w:rsidRDefault="0065154E" w:rsidP="00742C4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742C42" w:rsidRDefault="00742C42" w:rsidP="00742C4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2C4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Постанови № </w:t>
            </w:r>
            <w:hyperlink r:id="rId6" w:tgtFrame="_blank" w:history="1">
              <w:r w:rsidRPr="00742C42">
                <w:rPr>
                  <w:rFonts w:ascii="Times New Roman" w:hAnsi="Times New Roman" w:cs="Times New Roman"/>
                  <w:b/>
                  <w:bCs/>
                  <w:color w:val="000000"/>
                  <w:sz w:val="20"/>
                  <w:szCs w:val="20"/>
                </w:rPr>
                <w:t>262-IX</w:t>
              </w:r>
            </w:hyperlink>
            <w:r w:rsidRPr="00742C4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, від 31 жовтня 2019 року  щодо утворення Тимчасової слідчої комісії Верховної Ради України </w:t>
            </w:r>
            <w:r w:rsidRPr="00742C4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з питань розслідування пожежі (вибухів) на складах боєприпасів в м.Ічня (Чернігівська обл.), м.Калинівка (Вінницька обл.), м.Балаклія, (Харківська обл.), м.Сватове, (Луганська обл.), м.Кривий Ріг (Дніпропетровська обл.) у період з 2014 по 2018 роки </w:t>
            </w:r>
            <w:r w:rsidRPr="00742C4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65154E" w:rsidRPr="00742C42" w:rsidRDefault="0065154E" w:rsidP="00742C4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742C42" w:rsidTr="00742C42">
        <w:tc>
          <w:tcPr>
            <w:tcW w:w="7564" w:type="dxa"/>
          </w:tcPr>
          <w:p w:rsidR="00742C42" w:rsidRDefault="00742C42" w:rsidP="00742C4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65154E" w:rsidRPr="0065154E" w:rsidRDefault="0065154E" w:rsidP="0065154E">
            <w:pPr>
              <w:widowControl w:val="0"/>
              <w:autoSpaceDE w:val="0"/>
              <w:autoSpaceDN w:val="0"/>
              <w:adjustRightInd w:val="0"/>
              <w:ind w:right="-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п.</w:t>
            </w:r>
            <w:r w:rsidRPr="0065154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3.</w:t>
            </w:r>
            <w:r w:rsidRPr="0065154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Встановити, що Тимчасова слідча комісія є повноважною в кількості </w:t>
            </w:r>
            <w:r w:rsidRPr="0065154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12</w:t>
            </w:r>
            <w:r w:rsidRPr="0065154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членів комісії, обраних до її складу за пропозиціями депутатських фракцій (депутатських груп).</w:t>
            </w:r>
          </w:p>
          <w:p w:rsidR="00742C42" w:rsidRDefault="00742C42" w:rsidP="0065154E">
            <w:pPr>
              <w:tabs>
                <w:tab w:val="left" w:pos="1976"/>
              </w:tabs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742C42" w:rsidRDefault="00742C42" w:rsidP="00742C4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742C42" w:rsidRDefault="00742C42" w:rsidP="00742C4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7564" w:type="dxa"/>
          </w:tcPr>
          <w:p w:rsidR="0065154E" w:rsidRDefault="0065154E" w:rsidP="0065154E">
            <w:pPr>
              <w:widowControl w:val="0"/>
              <w:autoSpaceDE w:val="0"/>
              <w:autoSpaceDN w:val="0"/>
              <w:adjustRightInd w:val="0"/>
              <w:ind w:right="-2" w:firstLine="709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  <w:p w:rsidR="0065154E" w:rsidRPr="0065154E" w:rsidRDefault="0065154E" w:rsidP="0065154E">
            <w:pPr>
              <w:widowControl w:val="0"/>
              <w:autoSpaceDE w:val="0"/>
              <w:autoSpaceDN w:val="0"/>
              <w:adjustRightInd w:val="0"/>
              <w:ind w:right="-2"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п.</w:t>
            </w:r>
            <w:r w:rsidRPr="0065154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3.</w:t>
            </w:r>
            <w:r w:rsidRPr="0065154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Встановити, що Тимчасова слідча комісія є повноважною в кількості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13</w:t>
            </w:r>
            <w:r w:rsidRPr="0065154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членів комісії, обраних до її складу за пропозиціями депутатських фракцій (депутатських груп).</w:t>
            </w:r>
          </w:p>
          <w:p w:rsidR="00742C42" w:rsidRDefault="00742C42" w:rsidP="00742C4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</w:tr>
    </w:tbl>
    <w:p w:rsidR="00742C42" w:rsidRDefault="00742C42" w:rsidP="00742C42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5154E" w:rsidRDefault="0065154E" w:rsidP="00742C42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5154E" w:rsidRDefault="0065154E" w:rsidP="0065154E">
      <w:pPr>
        <w:rPr>
          <w:color w:val="FF6600"/>
        </w:rPr>
      </w:pPr>
    </w:p>
    <w:p w:rsidR="0065154E" w:rsidRPr="009271E4" w:rsidRDefault="0065154E" w:rsidP="0065154E">
      <w:pPr>
        <w:pStyle w:val="HTML"/>
        <w:jc w:val="both"/>
        <w:rPr>
          <w:rFonts w:ascii="Times New Roman" w:hAnsi="Times New Roman" w:cs="Times New Roman"/>
          <w:b/>
          <w:bCs/>
          <w:iCs/>
          <w:color w:val="auto"/>
          <w:sz w:val="28"/>
          <w:szCs w:val="28"/>
          <w:lang w:val="uk-UA"/>
        </w:rPr>
      </w:pPr>
      <w:r w:rsidRPr="009271E4">
        <w:rPr>
          <w:rFonts w:ascii="Times New Roman" w:hAnsi="Times New Roman" w:cs="Times New Roman"/>
          <w:b/>
          <w:bCs/>
          <w:iCs/>
          <w:color w:val="auto"/>
          <w:sz w:val="28"/>
          <w:szCs w:val="28"/>
          <w:lang w:val="uk-UA"/>
        </w:rPr>
        <w:t xml:space="preserve">Народний депутат </w:t>
      </w:r>
      <w:r>
        <w:rPr>
          <w:rFonts w:ascii="Times New Roman" w:hAnsi="Times New Roman" w:cs="Times New Roman"/>
          <w:b/>
          <w:bCs/>
          <w:iCs/>
          <w:color w:val="auto"/>
          <w:sz w:val="28"/>
          <w:szCs w:val="28"/>
          <w:lang w:val="uk-UA"/>
        </w:rPr>
        <w:t>України</w:t>
      </w:r>
      <w:r>
        <w:rPr>
          <w:rFonts w:ascii="Times New Roman" w:hAnsi="Times New Roman" w:cs="Times New Roman"/>
          <w:b/>
          <w:bCs/>
          <w:iCs/>
          <w:color w:val="auto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iCs/>
          <w:color w:val="auto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iCs/>
          <w:color w:val="auto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iCs/>
          <w:color w:val="auto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iCs/>
          <w:color w:val="auto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iCs/>
          <w:color w:val="auto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iCs/>
          <w:color w:val="auto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iCs/>
          <w:color w:val="auto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iCs/>
          <w:color w:val="auto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iCs/>
          <w:color w:val="auto"/>
          <w:sz w:val="28"/>
          <w:szCs w:val="28"/>
          <w:lang w:val="uk-UA"/>
        </w:rPr>
        <w:tab/>
      </w:r>
      <w:r w:rsidRPr="009271E4">
        <w:rPr>
          <w:rFonts w:ascii="Times New Roman" w:hAnsi="Times New Roman" w:cs="Times New Roman"/>
          <w:b/>
          <w:bCs/>
          <w:iCs/>
          <w:color w:val="auto"/>
          <w:sz w:val="28"/>
          <w:szCs w:val="28"/>
          <w:lang w:val="uk-UA"/>
        </w:rPr>
        <w:t>Давид АРАХАМІЯ</w:t>
      </w:r>
    </w:p>
    <w:p w:rsidR="0065154E" w:rsidRPr="0065154E" w:rsidRDefault="0065154E" w:rsidP="0065154E">
      <w:pPr>
        <w:pStyle w:val="HTML"/>
        <w:jc w:val="both"/>
        <w:rPr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  <w:lang w:val="uk-UA"/>
        </w:rPr>
        <w:tab/>
      </w:r>
      <w:r w:rsidRPr="000E68E2">
        <w:rPr>
          <w:rFonts w:ascii="Times New Roman" w:hAnsi="Times New Roman" w:cs="Times New Roman"/>
          <w:bCs/>
          <w:i/>
          <w:iCs/>
          <w:color w:val="auto"/>
          <w:sz w:val="24"/>
          <w:szCs w:val="24"/>
          <w:lang w:val="uk-UA"/>
        </w:rPr>
        <w:t xml:space="preserve">            </w:t>
      </w:r>
      <w:r>
        <w:rPr>
          <w:rFonts w:ascii="Times New Roman" w:hAnsi="Times New Roman" w:cs="Times New Roman"/>
          <w:bCs/>
          <w:i/>
          <w:iCs/>
          <w:color w:val="auto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Cs/>
          <w:i/>
          <w:iCs/>
          <w:color w:val="auto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Cs/>
          <w:i/>
          <w:iCs/>
          <w:color w:val="auto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Cs/>
          <w:i/>
          <w:iCs/>
          <w:color w:val="auto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Cs/>
          <w:i/>
          <w:iCs/>
          <w:color w:val="auto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Cs/>
          <w:i/>
          <w:iCs/>
          <w:color w:val="auto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Cs/>
          <w:i/>
          <w:iCs/>
          <w:color w:val="auto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Cs/>
          <w:i/>
          <w:iCs/>
          <w:color w:val="auto"/>
          <w:sz w:val="24"/>
          <w:szCs w:val="24"/>
          <w:lang w:val="uk-UA"/>
        </w:rPr>
        <w:t>(</w:t>
      </w:r>
      <w:proofErr w:type="spellStart"/>
      <w:r>
        <w:rPr>
          <w:rFonts w:ascii="Times New Roman" w:hAnsi="Times New Roman" w:cs="Times New Roman"/>
          <w:bCs/>
          <w:i/>
          <w:iCs/>
          <w:color w:val="auto"/>
          <w:sz w:val="24"/>
          <w:szCs w:val="24"/>
          <w:lang w:val="uk-UA"/>
        </w:rPr>
        <w:t>посв</w:t>
      </w:r>
      <w:proofErr w:type="spellEnd"/>
      <w:r>
        <w:rPr>
          <w:rFonts w:ascii="Times New Roman" w:hAnsi="Times New Roman" w:cs="Times New Roman"/>
          <w:bCs/>
          <w:i/>
          <w:iCs/>
          <w:color w:val="auto"/>
          <w:sz w:val="24"/>
          <w:szCs w:val="24"/>
          <w:lang w:val="uk-UA"/>
        </w:rPr>
        <w:t>.</w:t>
      </w:r>
      <w:r w:rsidRPr="000E68E2">
        <w:rPr>
          <w:rFonts w:ascii="Times New Roman" w:hAnsi="Times New Roman" w:cs="Times New Roman"/>
          <w:bCs/>
          <w:i/>
          <w:iCs/>
          <w:color w:val="auto"/>
          <w:sz w:val="24"/>
          <w:szCs w:val="24"/>
          <w:lang w:val="uk-UA"/>
        </w:rPr>
        <w:t xml:space="preserve"> №</w:t>
      </w:r>
      <w:r w:rsidRPr="000E68E2">
        <w:rPr>
          <w:rFonts w:ascii="Times New Roman" w:hAnsi="Times New Roman" w:cs="Times New Roman"/>
          <w:bCs/>
          <w:i/>
          <w:iCs/>
          <w:color w:val="auto"/>
          <w:sz w:val="24"/>
          <w:szCs w:val="24"/>
        </w:rPr>
        <w:t>4</w:t>
      </w:r>
      <w:r w:rsidRPr="000E68E2">
        <w:rPr>
          <w:rFonts w:ascii="Times New Roman" w:hAnsi="Times New Roman" w:cs="Times New Roman"/>
          <w:bCs/>
          <w:i/>
          <w:iCs/>
          <w:color w:val="auto"/>
          <w:sz w:val="24"/>
          <w:szCs w:val="24"/>
          <w:lang w:val="uk-UA"/>
        </w:rPr>
        <w:t>)</w:t>
      </w:r>
      <w:r w:rsidR="00C675CE">
        <w:rPr>
          <w:rFonts w:ascii="Times New Roman" w:hAnsi="Times New Roman" w:cs="Times New Roman"/>
          <w:bCs/>
          <w:i/>
          <w:iCs/>
          <w:color w:val="auto"/>
          <w:sz w:val="24"/>
          <w:szCs w:val="24"/>
          <w:lang w:val="uk-UA"/>
        </w:rPr>
        <w:t xml:space="preserve"> </w:t>
      </w:r>
      <w:bookmarkStart w:id="0" w:name="_GoBack"/>
      <w:bookmarkEnd w:id="0"/>
    </w:p>
    <w:sectPr w:rsidR="0065154E" w:rsidRPr="0065154E" w:rsidSect="00742C42">
      <w:pgSz w:w="16838" w:h="11906" w:orient="landscape"/>
      <w:pgMar w:top="850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C42"/>
    <w:rsid w:val="0019039A"/>
    <w:rsid w:val="0065154E"/>
    <w:rsid w:val="00742C42"/>
    <w:rsid w:val="009D4188"/>
    <w:rsid w:val="00C675CE"/>
    <w:rsid w:val="00E1048A"/>
    <w:rsid w:val="00E90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6920C9-1BC1-4096-9661-D36E0D3BC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66">
    <w:name w:val="rvts66"/>
    <w:uiPriority w:val="99"/>
    <w:rsid w:val="00742C42"/>
  </w:style>
  <w:style w:type="table" w:styleId="a3">
    <w:name w:val="Table Grid"/>
    <w:basedOn w:val="a1"/>
    <w:uiPriority w:val="39"/>
    <w:rsid w:val="00742C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rsid w:val="006515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18"/>
      <w:szCs w:val="18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65154E"/>
    <w:rPr>
      <w:rFonts w:ascii="Courier New" w:eastAsia="Times New Roman" w:hAnsi="Courier New" w:cs="Courier New"/>
      <w:color w:val="000000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zakon.rada.gov.ua/go/212-IX" TargetMode="External"/><Relationship Id="rId5" Type="http://schemas.openxmlformats.org/officeDocument/2006/relationships/hyperlink" Target="https://zakon.rada.gov.ua/go/212-I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D99EA2-0F72-4984-9E7B-06F641EE7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898</Words>
  <Characters>512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Арахамія Давид Георгійович</dc:creator>
  <cp:keywords/>
  <dc:description/>
  <cp:lastModifiedBy>Арахамія Давид Георгійович</cp:lastModifiedBy>
  <cp:revision>4</cp:revision>
  <dcterms:created xsi:type="dcterms:W3CDTF">2019-11-04T15:35:00Z</dcterms:created>
  <dcterms:modified xsi:type="dcterms:W3CDTF">2019-11-04T15:52:00Z</dcterms:modified>
</cp:coreProperties>
</file>