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3DB7" w:rsidRPr="00993DB7" w:rsidRDefault="00993DB7" w:rsidP="00993DB7">
      <w:pPr>
        <w:jc w:val="center"/>
        <w:rPr>
          <w:rFonts w:eastAsia="Calibri"/>
          <w:b/>
          <w:sz w:val="28"/>
          <w:szCs w:val="28"/>
        </w:rPr>
      </w:pPr>
      <w:bookmarkStart w:id="0" w:name="_GoBack"/>
      <w:bookmarkEnd w:id="0"/>
      <w:r w:rsidRPr="00993DB7">
        <w:rPr>
          <w:rFonts w:eastAsia="Calibri"/>
          <w:b/>
          <w:sz w:val="28"/>
          <w:szCs w:val="28"/>
        </w:rPr>
        <w:t>ВИСНОВОК</w:t>
      </w:r>
    </w:p>
    <w:p w:rsidR="00993DB7" w:rsidRPr="00993DB7" w:rsidRDefault="00993DB7" w:rsidP="00993DB7">
      <w:pPr>
        <w:jc w:val="center"/>
        <w:rPr>
          <w:rFonts w:eastAsia="Calibri"/>
          <w:b/>
          <w:sz w:val="28"/>
          <w:szCs w:val="28"/>
        </w:rPr>
      </w:pPr>
      <w:r w:rsidRPr="00993DB7">
        <w:rPr>
          <w:rFonts w:eastAsia="Calibri"/>
          <w:b/>
          <w:sz w:val="28"/>
          <w:szCs w:val="28"/>
        </w:rPr>
        <w:t xml:space="preserve">Комітету Верховної Ради України з питань інтеграції </w:t>
      </w:r>
    </w:p>
    <w:p w:rsidR="00993DB7" w:rsidRPr="00993DB7" w:rsidRDefault="00993DB7" w:rsidP="00993DB7">
      <w:pPr>
        <w:jc w:val="center"/>
        <w:rPr>
          <w:rFonts w:eastAsia="Calibri"/>
          <w:b/>
          <w:sz w:val="28"/>
          <w:szCs w:val="28"/>
        </w:rPr>
      </w:pPr>
      <w:r w:rsidRPr="00993DB7">
        <w:rPr>
          <w:rFonts w:eastAsia="Calibri"/>
          <w:b/>
          <w:sz w:val="28"/>
          <w:szCs w:val="28"/>
        </w:rPr>
        <w:t>України з Європейським Союзом</w:t>
      </w:r>
    </w:p>
    <w:p w:rsidR="00993DB7" w:rsidRPr="00993DB7" w:rsidRDefault="00993DB7" w:rsidP="00993DB7">
      <w:pPr>
        <w:jc w:val="center"/>
        <w:rPr>
          <w:rFonts w:eastAsia="Calibri"/>
          <w:b/>
          <w:sz w:val="28"/>
          <w:szCs w:val="28"/>
        </w:rPr>
      </w:pPr>
      <w:r w:rsidRPr="00993DB7">
        <w:rPr>
          <w:rFonts w:eastAsia="Calibri"/>
          <w:b/>
          <w:sz w:val="28"/>
          <w:szCs w:val="28"/>
        </w:rPr>
        <w:t xml:space="preserve">щодо проекту Закону України </w:t>
      </w:r>
    </w:p>
    <w:p w:rsidR="00993DB7" w:rsidRPr="00993DB7" w:rsidRDefault="00993DB7" w:rsidP="00993DB7">
      <w:pPr>
        <w:pStyle w:val="StyleZakonu"/>
        <w:spacing w:after="0" w:line="240" w:lineRule="auto"/>
        <w:ind w:firstLine="0"/>
        <w:jc w:val="center"/>
        <w:rPr>
          <w:rFonts w:eastAsia="Calibri"/>
          <w:b/>
          <w:sz w:val="28"/>
          <w:szCs w:val="28"/>
        </w:rPr>
      </w:pPr>
      <w:r w:rsidRPr="00993DB7">
        <w:rPr>
          <w:rFonts w:eastAsia="Calibri"/>
          <w:b/>
          <w:sz w:val="28"/>
          <w:szCs w:val="28"/>
        </w:rPr>
        <w:t>"Про внесення змін до Податкового кодексу України щодо збільшення граничного обсягу доходу, передбаченого для платників єдиного податку другої та третьої групи"</w:t>
      </w:r>
    </w:p>
    <w:p w:rsidR="00993DB7" w:rsidRPr="00993DB7" w:rsidRDefault="00993DB7" w:rsidP="00993DB7">
      <w:pPr>
        <w:jc w:val="center"/>
        <w:rPr>
          <w:bCs/>
          <w:sz w:val="28"/>
          <w:szCs w:val="28"/>
        </w:rPr>
      </w:pPr>
      <w:r w:rsidRPr="00993DB7">
        <w:rPr>
          <w:bCs/>
          <w:sz w:val="28"/>
          <w:szCs w:val="28"/>
        </w:rPr>
        <w:t xml:space="preserve">(реєстр. № 2437, </w:t>
      </w:r>
      <w:proofErr w:type="spellStart"/>
      <w:r w:rsidRPr="00993DB7">
        <w:rPr>
          <w:bCs/>
          <w:sz w:val="28"/>
          <w:szCs w:val="28"/>
        </w:rPr>
        <w:t>н.д</w:t>
      </w:r>
      <w:proofErr w:type="spellEnd"/>
      <w:r w:rsidRPr="00993DB7">
        <w:rPr>
          <w:bCs/>
          <w:sz w:val="28"/>
          <w:szCs w:val="28"/>
        </w:rPr>
        <w:t xml:space="preserve">. </w:t>
      </w:r>
      <w:proofErr w:type="spellStart"/>
      <w:r w:rsidRPr="00993DB7">
        <w:rPr>
          <w:bCs/>
          <w:sz w:val="28"/>
          <w:szCs w:val="28"/>
        </w:rPr>
        <w:t>А.Поляков</w:t>
      </w:r>
      <w:proofErr w:type="spellEnd"/>
      <w:r w:rsidRPr="00993DB7">
        <w:rPr>
          <w:bCs/>
          <w:sz w:val="28"/>
          <w:szCs w:val="28"/>
        </w:rPr>
        <w:t xml:space="preserve"> та </w:t>
      </w:r>
      <w:proofErr w:type="spellStart"/>
      <w:r w:rsidRPr="00993DB7">
        <w:rPr>
          <w:bCs/>
          <w:sz w:val="28"/>
          <w:szCs w:val="28"/>
        </w:rPr>
        <w:t>інш</w:t>
      </w:r>
      <w:proofErr w:type="spellEnd"/>
      <w:r w:rsidRPr="00993DB7">
        <w:rPr>
          <w:bCs/>
          <w:sz w:val="28"/>
          <w:szCs w:val="28"/>
        </w:rPr>
        <w:t>.)</w:t>
      </w:r>
    </w:p>
    <w:p w:rsidR="00993DB7" w:rsidRPr="00993DB7" w:rsidRDefault="00993DB7" w:rsidP="00993DB7">
      <w:pPr>
        <w:shd w:val="clear" w:color="auto" w:fill="FFFFFF"/>
        <w:ind w:firstLine="709"/>
        <w:jc w:val="both"/>
        <w:textAlignment w:val="baseline"/>
        <w:rPr>
          <w:rFonts w:eastAsia="Calibri"/>
          <w:b/>
          <w:sz w:val="28"/>
          <w:szCs w:val="28"/>
        </w:rPr>
      </w:pPr>
      <w:r w:rsidRPr="00993DB7">
        <w:rPr>
          <w:rFonts w:eastAsia="Calibri"/>
          <w:b/>
          <w:bCs/>
          <w:sz w:val="28"/>
          <w:szCs w:val="28"/>
        </w:rPr>
        <w:t xml:space="preserve">1. </w:t>
      </w:r>
      <w:r w:rsidRPr="00993DB7">
        <w:rPr>
          <w:rFonts w:eastAsia="Calibri"/>
          <w:b/>
          <w:sz w:val="28"/>
          <w:szCs w:val="28"/>
        </w:rPr>
        <w:t>Загальна характеристика законопроекту</w:t>
      </w:r>
    </w:p>
    <w:p w:rsidR="00993DB7" w:rsidRPr="00993DB7" w:rsidRDefault="00993DB7" w:rsidP="00993DB7">
      <w:pPr>
        <w:shd w:val="clear" w:color="auto" w:fill="FFFFFF"/>
        <w:ind w:firstLine="601"/>
        <w:jc w:val="both"/>
        <w:rPr>
          <w:sz w:val="28"/>
          <w:szCs w:val="28"/>
        </w:rPr>
      </w:pPr>
      <w:r w:rsidRPr="00993DB7">
        <w:rPr>
          <w:sz w:val="28"/>
          <w:szCs w:val="28"/>
        </w:rPr>
        <w:t xml:space="preserve">Законопроектом пропонується </w:t>
      </w:r>
      <w:proofErr w:type="spellStart"/>
      <w:r w:rsidRPr="00993DB7">
        <w:rPr>
          <w:sz w:val="28"/>
          <w:szCs w:val="28"/>
        </w:rPr>
        <w:t>внести</w:t>
      </w:r>
      <w:proofErr w:type="spellEnd"/>
      <w:r w:rsidRPr="00993DB7">
        <w:rPr>
          <w:sz w:val="28"/>
          <w:szCs w:val="28"/>
        </w:rPr>
        <w:t xml:space="preserve"> зміни до пункту 291.4 статті 291 Податкового кодексу України в частині збільшення граничного обсягу доходу, передбаченого для платників єдиного податку другої групи до 5000000 гривень та третьої групи до 7000000 гривень.</w:t>
      </w:r>
    </w:p>
    <w:p w:rsidR="00993DB7" w:rsidRPr="00993DB7" w:rsidRDefault="00993DB7" w:rsidP="00993DB7">
      <w:pPr>
        <w:ind w:firstLine="709"/>
        <w:jc w:val="both"/>
        <w:rPr>
          <w:bCs/>
          <w:sz w:val="28"/>
          <w:szCs w:val="28"/>
        </w:rPr>
      </w:pPr>
      <w:r w:rsidRPr="00993DB7">
        <w:rPr>
          <w:bCs/>
          <w:sz w:val="28"/>
          <w:szCs w:val="28"/>
        </w:rPr>
        <w:t>Кім того, у «Перехідних та прикінцевих положеннях» законопроекту передбачено зміни до Закону України «Про внесення змін до Податкового кодексу України щодо детінізації розрахунків у сфері торгівлі і послуг» шляхом виключення положень щодо запланованого з 1 січня 2021 року збільшення граничного обсягу доходу, передбаченого для платників єдиного податку другої групи до 2500000 грн.</w:t>
      </w:r>
    </w:p>
    <w:p w:rsidR="00993DB7" w:rsidRPr="00993DB7" w:rsidRDefault="00993DB7" w:rsidP="00993DB7">
      <w:pPr>
        <w:ind w:firstLine="720"/>
        <w:contextualSpacing/>
        <w:jc w:val="both"/>
        <w:rPr>
          <w:sz w:val="28"/>
          <w:szCs w:val="28"/>
        </w:rPr>
      </w:pPr>
      <w:r w:rsidRPr="00993DB7">
        <w:rPr>
          <w:sz w:val="28"/>
          <w:szCs w:val="28"/>
        </w:rPr>
        <w:t xml:space="preserve"> </w:t>
      </w:r>
    </w:p>
    <w:p w:rsidR="00993DB7" w:rsidRPr="00993DB7" w:rsidRDefault="00993DB7" w:rsidP="00993DB7">
      <w:pPr>
        <w:ind w:firstLine="708"/>
        <w:jc w:val="both"/>
        <w:rPr>
          <w:b/>
          <w:sz w:val="28"/>
          <w:szCs w:val="28"/>
        </w:rPr>
      </w:pPr>
      <w:r w:rsidRPr="00993DB7">
        <w:rPr>
          <w:b/>
          <w:sz w:val="28"/>
          <w:szCs w:val="28"/>
        </w:rPr>
        <w:t>2. Належність законопроекту за предметом правового регулювання до сфери дії права Європейського Союзу</w:t>
      </w:r>
    </w:p>
    <w:p w:rsidR="00993DB7" w:rsidRPr="00993DB7" w:rsidRDefault="00993DB7" w:rsidP="00993DB7">
      <w:pPr>
        <w:ind w:firstLine="567"/>
        <w:jc w:val="both"/>
        <w:rPr>
          <w:sz w:val="28"/>
          <w:szCs w:val="28"/>
        </w:rPr>
      </w:pPr>
      <w:r w:rsidRPr="00993DB7">
        <w:rPr>
          <w:sz w:val="28"/>
          <w:szCs w:val="28"/>
        </w:rPr>
        <w:t>Положення проекту закону охоплюється міжнародно-правовими зобов’язаннями України у сфері європейської інтеграції, передбаченими у рамках Глави 4 «Оподаткування» та Глави 10 «Політика у сфері промисловості та підприємництва» Розділу V «Економічне та галузеве співробітництво»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(далі – Угода про асоціацію).</w:t>
      </w:r>
    </w:p>
    <w:p w:rsidR="00993DB7" w:rsidRPr="00993DB7" w:rsidRDefault="00993DB7" w:rsidP="00993DB7">
      <w:pPr>
        <w:ind w:firstLine="708"/>
        <w:rPr>
          <w:b/>
          <w:sz w:val="28"/>
          <w:szCs w:val="28"/>
        </w:rPr>
      </w:pPr>
    </w:p>
    <w:p w:rsidR="00993DB7" w:rsidRPr="00993DB7" w:rsidRDefault="00993DB7" w:rsidP="00993DB7">
      <w:pPr>
        <w:ind w:firstLine="708"/>
        <w:rPr>
          <w:b/>
          <w:sz w:val="28"/>
          <w:szCs w:val="28"/>
        </w:rPr>
      </w:pPr>
      <w:r w:rsidRPr="00993DB7">
        <w:rPr>
          <w:b/>
          <w:sz w:val="28"/>
          <w:szCs w:val="28"/>
        </w:rPr>
        <w:t>3. Відповідність законопроекту праву ЄС</w:t>
      </w:r>
    </w:p>
    <w:p w:rsidR="00993DB7" w:rsidRPr="00993DB7" w:rsidRDefault="00993DB7" w:rsidP="00993DB7">
      <w:pPr>
        <w:ind w:firstLine="567"/>
        <w:jc w:val="both"/>
        <w:rPr>
          <w:sz w:val="28"/>
          <w:szCs w:val="28"/>
        </w:rPr>
      </w:pPr>
      <w:r w:rsidRPr="00993DB7">
        <w:rPr>
          <w:sz w:val="28"/>
          <w:szCs w:val="28"/>
        </w:rPr>
        <w:t xml:space="preserve">Відповідно до статті 350 Угоди про асоціацію, Сторони визнають і зобов’язуються застосувати принципи належного управління в сфері оподаткування, зокрема принципи прозорості, обміну інформацією та добросовісної податкової конкуренції, у тій мірі, в якій підписалися держави-члени на рівні ЄС. </w:t>
      </w:r>
    </w:p>
    <w:p w:rsidR="00993DB7" w:rsidRPr="00993DB7" w:rsidRDefault="00993DB7" w:rsidP="00993DB7">
      <w:pPr>
        <w:ind w:firstLine="567"/>
        <w:jc w:val="both"/>
        <w:rPr>
          <w:sz w:val="28"/>
          <w:szCs w:val="28"/>
        </w:rPr>
      </w:pPr>
      <w:r w:rsidRPr="00993DB7">
        <w:rPr>
          <w:sz w:val="28"/>
          <w:szCs w:val="28"/>
        </w:rPr>
        <w:t xml:space="preserve">Також, відповідно до статті 378, Сторони розвиватимуть та зміцнюватимуть співробітництво з питань політики у сфері промисловості та підприємництва, і, таким чином, поліпшуватимуть умови для підприємницької діяльності для всіх суб’єктів господарювання з особливою увагою до малих та середніх підприємств (МСП). </w:t>
      </w:r>
    </w:p>
    <w:p w:rsidR="00993DB7" w:rsidRPr="00993DB7" w:rsidRDefault="00993DB7" w:rsidP="00993DB7">
      <w:pPr>
        <w:ind w:firstLine="567"/>
        <w:jc w:val="both"/>
        <w:rPr>
          <w:sz w:val="28"/>
          <w:szCs w:val="28"/>
        </w:rPr>
      </w:pPr>
      <w:r w:rsidRPr="00993DB7">
        <w:rPr>
          <w:sz w:val="28"/>
          <w:szCs w:val="28"/>
        </w:rPr>
        <w:t xml:space="preserve">Поглиблене співробітництво має покращити адміністративну структуру та нормативно-правову базу для українських і європейських суб’єктів господарювання в Україні та ЄС та повинно базуватися на політиці ЄС щодо </w:t>
      </w:r>
      <w:r w:rsidRPr="00993DB7">
        <w:rPr>
          <w:sz w:val="28"/>
          <w:szCs w:val="28"/>
        </w:rPr>
        <w:lastRenderedPageBreak/>
        <w:t>розвитку малого і середнього підприємництва та промисловості з урахуванням визнаних на міжнародному рівні принципів та практики у цих сферах.</w:t>
      </w:r>
    </w:p>
    <w:p w:rsidR="00993DB7" w:rsidRPr="00993DB7" w:rsidRDefault="00993DB7" w:rsidP="00993DB7">
      <w:pPr>
        <w:ind w:firstLine="567"/>
        <w:jc w:val="both"/>
        <w:rPr>
          <w:sz w:val="28"/>
          <w:szCs w:val="28"/>
        </w:rPr>
      </w:pPr>
      <w:r w:rsidRPr="00993DB7">
        <w:rPr>
          <w:sz w:val="28"/>
          <w:szCs w:val="28"/>
        </w:rPr>
        <w:t>З цією метою Сторони, в тому числі, співпрацюють задля впровадження стратегій розвитку МСП, що базуватимуться на принципах Європейської хартії малих підприємств. Таке співробітництво також передбачатиме особливу увагу до мікропідприємств та підприємств ремісницького типу, які є надзвичайно важливим елементом економіки України та ЄС.</w:t>
      </w:r>
    </w:p>
    <w:p w:rsidR="00993DB7" w:rsidRPr="00993DB7" w:rsidRDefault="00993DB7" w:rsidP="00993DB7">
      <w:pPr>
        <w:ind w:firstLine="567"/>
        <w:jc w:val="both"/>
        <w:rPr>
          <w:spacing w:val="11"/>
          <w:sz w:val="28"/>
          <w:szCs w:val="28"/>
          <w:shd w:val="clear" w:color="auto" w:fill="FFFFFF"/>
        </w:rPr>
      </w:pPr>
      <w:r w:rsidRPr="00993DB7">
        <w:rPr>
          <w:sz w:val="28"/>
          <w:szCs w:val="28"/>
        </w:rPr>
        <w:t xml:space="preserve">Відповідно до статті 7 «Оподаткування та фінансові питання» Європейської хартії малих підприємств, системи оподаткування країн-членів повинні бути пристосовані так, щоб вони зумовлювали успіх, сприяли започаткуванню нової справи, розширенню економічної  діяльності малого бізнесу та створенню робочих місць, а також спрощували створення  та  наступність  малих  підприємств. Держави-члени повинні застосовувати найефективніші методи роботи у сфері оподаткування та персональної мотивації. </w:t>
      </w:r>
    </w:p>
    <w:p w:rsidR="00993DB7" w:rsidRPr="00993DB7" w:rsidRDefault="00993DB7" w:rsidP="00993DB7">
      <w:pPr>
        <w:ind w:firstLine="709"/>
        <w:jc w:val="both"/>
        <w:rPr>
          <w:sz w:val="28"/>
          <w:szCs w:val="28"/>
        </w:rPr>
      </w:pPr>
      <w:r w:rsidRPr="00993DB7">
        <w:rPr>
          <w:sz w:val="28"/>
          <w:szCs w:val="28"/>
        </w:rPr>
        <w:t>Виходячи з викладеного, необхідність перегляду розміру обсягів граничних доходів для суб'єктів господарювання, які застосовують спрощену систему оподаткування, обліку та звітності не суперечить цілям Угоди про асоціацію.</w:t>
      </w:r>
    </w:p>
    <w:p w:rsidR="00993DB7" w:rsidRPr="00993DB7" w:rsidRDefault="00993DB7" w:rsidP="00993DB7">
      <w:pPr>
        <w:ind w:firstLine="709"/>
        <w:jc w:val="both"/>
        <w:rPr>
          <w:sz w:val="28"/>
          <w:szCs w:val="28"/>
        </w:rPr>
      </w:pPr>
      <w:r w:rsidRPr="00993DB7">
        <w:rPr>
          <w:sz w:val="28"/>
          <w:szCs w:val="28"/>
        </w:rPr>
        <w:t xml:space="preserve">Водночас, терміни набуття чинності, передбачені законопроектом не відповідають принципу стабільності податкового законодавства, адже згідно з статтею 4 «Основні засади податкового законодавства України» Податкового кодексу України, зміни до будь-яких елементів податків та зборів не можуть вноситися пізніш як за шість місяців до початку нового бюджетного періоду, в якому будуть діяти нові правила та ставки. Податки та збори, їх ставки, а також податкові пільги не можуть змінюватися протягом бюджетного року. </w:t>
      </w:r>
    </w:p>
    <w:p w:rsidR="00993DB7" w:rsidRPr="00993DB7" w:rsidRDefault="00993DB7" w:rsidP="00993DB7">
      <w:pPr>
        <w:ind w:firstLine="709"/>
        <w:jc w:val="both"/>
        <w:rPr>
          <w:sz w:val="28"/>
          <w:szCs w:val="28"/>
        </w:rPr>
      </w:pPr>
      <w:r w:rsidRPr="00993DB7">
        <w:rPr>
          <w:sz w:val="28"/>
          <w:szCs w:val="28"/>
        </w:rPr>
        <w:t xml:space="preserve">Запропоновані зміни до Податкового кодексу України </w:t>
      </w:r>
      <w:r w:rsidRPr="00993DB7">
        <w:rPr>
          <w:b/>
          <w:sz w:val="28"/>
          <w:szCs w:val="28"/>
        </w:rPr>
        <w:t>не суперечать</w:t>
      </w:r>
      <w:r w:rsidRPr="00993DB7">
        <w:rPr>
          <w:sz w:val="28"/>
          <w:szCs w:val="28"/>
        </w:rPr>
        <w:t xml:space="preserve"> міжнародно-правовим зобов’язанням України в сфері європейської інтеграції, однак положення щодо набуття чинності проектом закону потребують приведення у відповідність до принципу стабільності та передбачуваності податкового законодавства.</w:t>
      </w:r>
    </w:p>
    <w:p w:rsidR="00A131D3" w:rsidRPr="00993DB7" w:rsidRDefault="00A131D3" w:rsidP="00511B80">
      <w:pPr>
        <w:ind w:firstLine="709"/>
        <w:jc w:val="both"/>
        <w:rPr>
          <w:sz w:val="28"/>
          <w:szCs w:val="28"/>
        </w:rPr>
      </w:pPr>
    </w:p>
    <w:p w:rsidR="00775B86" w:rsidRPr="00993DB7" w:rsidRDefault="00775B86" w:rsidP="00775B86">
      <w:pPr>
        <w:rPr>
          <w:sz w:val="28"/>
          <w:szCs w:val="28"/>
        </w:rPr>
      </w:pPr>
    </w:p>
    <w:p w:rsidR="00775B86" w:rsidRPr="00993DB7" w:rsidRDefault="00775B86" w:rsidP="00775B86">
      <w:pPr>
        <w:spacing w:after="160" w:line="259" w:lineRule="auto"/>
        <w:rPr>
          <w:sz w:val="28"/>
          <w:szCs w:val="28"/>
        </w:rPr>
      </w:pPr>
    </w:p>
    <w:p w:rsidR="00775B86" w:rsidRPr="00993DB7" w:rsidRDefault="00775B86" w:rsidP="00775B86">
      <w:pPr>
        <w:spacing w:after="160" w:line="259" w:lineRule="auto"/>
        <w:rPr>
          <w:sz w:val="28"/>
          <w:szCs w:val="28"/>
        </w:rPr>
      </w:pPr>
    </w:p>
    <w:p w:rsidR="00775B86" w:rsidRPr="00993DB7" w:rsidRDefault="00775B86" w:rsidP="00775B86">
      <w:pPr>
        <w:spacing w:after="160" w:line="259" w:lineRule="auto"/>
        <w:rPr>
          <w:sz w:val="28"/>
          <w:szCs w:val="28"/>
        </w:rPr>
      </w:pPr>
    </w:p>
    <w:p w:rsidR="00775B86" w:rsidRPr="00993DB7" w:rsidRDefault="00775B86" w:rsidP="00775B86">
      <w:pPr>
        <w:spacing w:after="160" w:line="259" w:lineRule="auto"/>
        <w:rPr>
          <w:sz w:val="28"/>
          <w:szCs w:val="28"/>
        </w:rPr>
      </w:pPr>
    </w:p>
    <w:sectPr w:rsidR="00775B86" w:rsidRPr="00993D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B86"/>
    <w:rsid w:val="00183487"/>
    <w:rsid w:val="003E05AE"/>
    <w:rsid w:val="00484D30"/>
    <w:rsid w:val="00511B80"/>
    <w:rsid w:val="00550BB8"/>
    <w:rsid w:val="00581269"/>
    <w:rsid w:val="006064CC"/>
    <w:rsid w:val="006634F2"/>
    <w:rsid w:val="006F02F2"/>
    <w:rsid w:val="00775B86"/>
    <w:rsid w:val="007E5A2F"/>
    <w:rsid w:val="007F1E2C"/>
    <w:rsid w:val="00890D4A"/>
    <w:rsid w:val="008C6A75"/>
    <w:rsid w:val="008F0BDA"/>
    <w:rsid w:val="00993DB7"/>
    <w:rsid w:val="00A131D3"/>
    <w:rsid w:val="00A764E0"/>
    <w:rsid w:val="00A80C57"/>
    <w:rsid w:val="00A96572"/>
    <w:rsid w:val="00AE3446"/>
    <w:rsid w:val="00AF45C1"/>
    <w:rsid w:val="00B8752E"/>
    <w:rsid w:val="00BC6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DEB792-B5C0-4B19-9707-7A0EC5353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5B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Zakonu">
    <w:name w:val="StyleZakonu"/>
    <w:basedOn w:val="a"/>
    <w:link w:val="StyleZakonu0"/>
    <w:uiPriority w:val="99"/>
    <w:rsid w:val="00775B86"/>
    <w:pPr>
      <w:spacing w:after="60" w:line="220" w:lineRule="exact"/>
      <w:ind w:firstLine="284"/>
      <w:jc w:val="both"/>
    </w:pPr>
    <w:rPr>
      <w:sz w:val="20"/>
      <w:szCs w:val="20"/>
    </w:rPr>
  </w:style>
  <w:style w:type="character" w:customStyle="1" w:styleId="rvts9">
    <w:name w:val="rvts9"/>
    <w:basedOn w:val="a0"/>
    <w:rsid w:val="00775B86"/>
    <w:rPr>
      <w:rFonts w:cs="Times New Roman"/>
    </w:rPr>
  </w:style>
  <w:style w:type="character" w:customStyle="1" w:styleId="rvts0">
    <w:name w:val="rvts0"/>
    <w:basedOn w:val="a0"/>
    <w:rsid w:val="00A80C57"/>
  </w:style>
  <w:style w:type="character" w:customStyle="1" w:styleId="StyleZakonu0">
    <w:name w:val="StyleZakonu Знак"/>
    <w:link w:val="StyleZakonu"/>
    <w:uiPriority w:val="99"/>
    <w:locked/>
    <w:rsid w:val="00993DB7"/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475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9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2829</Words>
  <Characters>1614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Фостик Богдан Володимирович</cp:lastModifiedBy>
  <cp:revision>6</cp:revision>
  <dcterms:created xsi:type="dcterms:W3CDTF">2020-03-16T12:46:00Z</dcterms:created>
  <dcterms:modified xsi:type="dcterms:W3CDTF">2020-03-17T11:36:00Z</dcterms:modified>
</cp:coreProperties>
</file>