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5B2" w:rsidRDefault="001035B2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035B2" w:rsidRDefault="001035B2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035B2" w:rsidRDefault="001035B2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035B2" w:rsidRDefault="001035B2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035B2" w:rsidRDefault="001035B2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035B2" w:rsidRDefault="001035B2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7635EF" w:rsidRDefault="007635EF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br/>
        <w:t>з питань фінансів, податкової та митної політики</w:t>
      </w:r>
    </w:p>
    <w:p w:rsidR="008714FA" w:rsidRPr="007635EF" w:rsidRDefault="008714FA" w:rsidP="006E6397">
      <w:pPr>
        <w:spacing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E55DF" w:rsidRPr="0036098B" w:rsidRDefault="007F1A56" w:rsidP="006E6397">
      <w:pPr>
        <w:shd w:val="clear" w:color="auto" w:fill="FFFFFF"/>
        <w:spacing w:before="120" w:after="120" w:line="240" w:lineRule="auto"/>
        <w:ind w:right="17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25</w:t>
      </w:r>
      <w:r w:rsidR="007635EF"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71</w:t>
      </w:r>
      <w:r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-</w:t>
      </w:r>
      <w:r w:rsidR="007635EF"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36098B"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7635EF"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26</w:t>
      </w:r>
      <w:r w:rsidRPr="003609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.12.2019 р.</w:t>
      </w:r>
    </w:p>
    <w:p w:rsidR="007635EF" w:rsidRP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043E97">
        <w:rPr>
          <w:rFonts w:ascii="Times New Roman" w:hAnsi="Times New Roman"/>
          <w:sz w:val="28"/>
          <w:szCs w:val="28"/>
          <w:lang w:val="uk-UA"/>
        </w:rPr>
        <w:t>04</w:t>
      </w:r>
      <w:r w:rsidRPr="007635EF">
        <w:rPr>
          <w:rFonts w:ascii="Times New Roman" w:hAnsi="Times New Roman"/>
          <w:sz w:val="28"/>
          <w:szCs w:val="28"/>
          <w:lang w:val="uk-UA"/>
        </w:rPr>
        <w:t> березня 2020 року (протокол № </w:t>
      </w:r>
      <w:r w:rsidR="00043E97">
        <w:rPr>
          <w:rFonts w:ascii="Times New Roman" w:hAnsi="Times New Roman"/>
          <w:sz w:val="28"/>
          <w:szCs w:val="28"/>
          <w:lang w:val="uk-UA"/>
        </w:rPr>
        <w:t>28</w:t>
      </w:r>
      <w:r w:rsidRPr="007635EF">
        <w:rPr>
          <w:rFonts w:ascii="Times New Roman" w:hAnsi="Times New Roman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«Про внесення змін до деяких законодавчих актів України щодо окремих питань функціонування банківської системи» (реєстр. № 2571-2 від 26.12.2019 р.), внесений народним депутатом України </w:t>
      </w:r>
      <w:proofErr w:type="spellStart"/>
      <w:r w:rsidRPr="007635EF">
        <w:rPr>
          <w:rFonts w:ascii="Times New Roman" w:hAnsi="Times New Roman"/>
          <w:sz w:val="28"/>
          <w:szCs w:val="28"/>
          <w:lang w:val="uk-UA"/>
        </w:rPr>
        <w:t>Дуб</w:t>
      </w:r>
      <w:r w:rsidR="004456BB">
        <w:rPr>
          <w:rFonts w:ascii="Times New Roman" w:hAnsi="Times New Roman"/>
          <w:sz w:val="28"/>
          <w:szCs w:val="28"/>
          <w:lang w:val="uk-UA"/>
        </w:rPr>
        <w:t>і</w:t>
      </w:r>
      <w:r w:rsidRPr="007635EF">
        <w:rPr>
          <w:rFonts w:ascii="Times New Roman" w:hAnsi="Times New Roman"/>
          <w:sz w:val="28"/>
          <w:szCs w:val="28"/>
          <w:lang w:val="uk-UA"/>
        </w:rPr>
        <w:t>нським</w:t>
      </w:r>
      <w:proofErr w:type="spellEnd"/>
      <w:r w:rsidRPr="007635EF">
        <w:rPr>
          <w:rFonts w:ascii="Times New Roman" w:hAnsi="Times New Roman"/>
          <w:sz w:val="28"/>
          <w:szCs w:val="28"/>
          <w:lang w:val="uk-UA"/>
        </w:rPr>
        <w:t> О.А.</w:t>
      </w:r>
    </w:p>
    <w:p w:rsidR="007635EF" w:rsidRP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законопроект є альтернативним до урядового законопроекту (реєстр. № 2571), а його прийняття дозволить удосконалити окремі питання функціонування банківської системи, діяльності Національного банку України, Фонду гарантування вкладів фізичних осіб </w:t>
      </w:r>
      <w:r w:rsidR="004456BB">
        <w:rPr>
          <w:rFonts w:ascii="Times New Roman" w:hAnsi="Times New Roman"/>
          <w:sz w:val="28"/>
          <w:szCs w:val="28"/>
          <w:lang w:val="uk-UA"/>
        </w:rPr>
        <w:t xml:space="preserve">(далі – Фонд), </w:t>
      </w:r>
      <w:r w:rsidRPr="007635EF">
        <w:rPr>
          <w:rFonts w:ascii="Times New Roman" w:hAnsi="Times New Roman"/>
          <w:sz w:val="28"/>
          <w:szCs w:val="28"/>
          <w:lang w:val="uk-UA"/>
        </w:rPr>
        <w:t>в процесі виведення неплатоспроможних банків з ринку (в тому числі шляхом ліквідації), сприятиме дотриманню принципу «правової визначеності», посилить захист гарантованих Конституцією України прав власників (ак</w:t>
      </w:r>
      <w:r w:rsidR="00302EAE">
        <w:rPr>
          <w:rFonts w:ascii="Times New Roman" w:hAnsi="Times New Roman"/>
          <w:sz w:val="28"/>
          <w:szCs w:val="28"/>
          <w:lang w:val="uk-UA"/>
        </w:rPr>
        <w:t xml:space="preserve">ціонерів) банківських установ, </w:t>
      </w:r>
      <w:r w:rsidRPr="007635EF">
        <w:rPr>
          <w:rFonts w:ascii="Times New Roman" w:hAnsi="Times New Roman"/>
          <w:sz w:val="28"/>
          <w:szCs w:val="28"/>
          <w:lang w:val="uk-UA"/>
        </w:rPr>
        <w:t>убезпечить інтереси вкладників та інших кредиторів банків.</w:t>
      </w:r>
    </w:p>
    <w:p w:rsid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>Серед ін</w:t>
      </w:r>
      <w:r w:rsidR="004456BB">
        <w:rPr>
          <w:rFonts w:ascii="Times New Roman" w:hAnsi="Times New Roman"/>
          <w:sz w:val="28"/>
          <w:szCs w:val="28"/>
          <w:lang w:val="uk-UA"/>
        </w:rPr>
        <w:t>шого законопроектом передбачені</w:t>
      </w:r>
      <w:r w:rsidRPr="007635EF">
        <w:rPr>
          <w:rFonts w:ascii="Times New Roman" w:hAnsi="Times New Roman"/>
          <w:sz w:val="28"/>
          <w:szCs w:val="28"/>
          <w:lang w:val="uk-UA"/>
        </w:rPr>
        <w:t xml:space="preserve"> зміни до Закону України «Про систему гарантування вкладів фізичних осіб», зокрема, в частині уточнення положень про</w:t>
      </w:r>
      <w:r w:rsidR="004456BB">
        <w:rPr>
          <w:rFonts w:ascii="Times New Roman" w:hAnsi="Times New Roman"/>
          <w:sz w:val="28"/>
          <w:szCs w:val="28"/>
          <w:lang w:val="uk-UA"/>
        </w:rPr>
        <w:t xml:space="preserve"> д</w:t>
      </w:r>
      <w:r w:rsidR="0030243C">
        <w:rPr>
          <w:rFonts w:ascii="Times New Roman" w:hAnsi="Times New Roman"/>
          <w:sz w:val="28"/>
          <w:szCs w:val="28"/>
          <w:lang w:val="uk-UA"/>
        </w:rPr>
        <w:t>жерела</w:t>
      </w:r>
      <w:r w:rsidR="004456BB">
        <w:rPr>
          <w:rFonts w:ascii="Times New Roman" w:hAnsi="Times New Roman"/>
          <w:sz w:val="28"/>
          <w:szCs w:val="28"/>
          <w:lang w:val="uk-UA"/>
        </w:rPr>
        <w:t xml:space="preserve"> формування коштів Фонду, розпорядження коштами Фонду, </w:t>
      </w:r>
      <w:r w:rsidRPr="007635EF">
        <w:rPr>
          <w:rFonts w:ascii="Times New Roman" w:hAnsi="Times New Roman"/>
          <w:sz w:val="28"/>
          <w:szCs w:val="28"/>
          <w:lang w:val="uk-UA"/>
        </w:rPr>
        <w:t>гарантії за вкладом, особливості продажу неплатоспроможного банку, особливості виведення неплатоспроможного банку з ринку за участю держави.</w:t>
      </w:r>
    </w:p>
    <w:p w:rsidR="0030655D" w:rsidRDefault="004456BB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Поряд з тим, законопроектом запропоновано визначити особливості участі АТ «Державний ощадний банк України» в системі гарантування вкладів фізичних осіб.</w:t>
      </w:r>
      <w:r w:rsidR="0030243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 цього приводу Головне науково-експертне управління Апарату Верховної Ради України зауважує, що у супровідних до за</w:t>
      </w:r>
      <w:r w:rsidR="0030243C">
        <w:rPr>
          <w:rFonts w:ascii="Times New Roman" w:hAnsi="Times New Roman"/>
          <w:sz w:val="28"/>
          <w:szCs w:val="28"/>
          <w:lang w:val="uk-UA"/>
        </w:rPr>
        <w:t>конопроекту документах відсутні</w:t>
      </w:r>
      <w:r>
        <w:rPr>
          <w:rFonts w:ascii="Times New Roman" w:hAnsi="Times New Roman"/>
          <w:sz w:val="28"/>
          <w:szCs w:val="28"/>
          <w:lang w:val="uk-UA"/>
        </w:rPr>
        <w:t xml:space="preserve"> розрахунк</w:t>
      </w:r>
      <w:r w:rsidR="0030243C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додаткового фінансового навантаження на бюджет Фонду у разі реалізації внесеної пропозиції.</w:t>
      </w:r>
    </w:p>
    <w:p w:rsidR="007635EF" w:rsidRP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 xml:space="preserve">Належить зазначити, що згідно із статтями 19 і 25 Закону України «Про систему гарантування вкладів фізичних осіб» одним з джерел формування коштів Фонду у разі наявності ризику недостатності коштів Фонду є кошти державного бюджету (кредит або внесок держави на безповоротній основі), що </w:t>
      </w:r>
      <w:r w:rsidRPr="007635EF">
        <w:rPr>
          <w:rFonts w:ascii="Times New Roman" w:hAnsi="Times New Roman"/>
          <w:sz w:val="28"/>
          <w:szCs w:val="28"/>
          <w:lang w:val="uk-UA"/>
        </w:rPr>
        <w:lastRenderedPageBreak/>
        <w:t>надається з метою забезпечення дотримання Фондом мінімального обсягу коштів.</w:t>
      </w:r>
    </w:p>
    <w:p w:rsidR="007635EF" w:rsidRP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 xml:space="preserve">Згідно із статтею 17 Закону України «Про Державний бюджет України на 2020 рік» надано право Кабінету Міністрів України здійснювати випуски ОВДП понад обсяги в обмін на ці облігації векселів Фонду. </w:t>
      </w:r>
      <w:r w:rsidRPr="007635EF">
        <w:rPr>
          <w:rFonts w:ascii="Times New Roman" w:hAnsi="Times New Roman"/>
          <w:sz w:val="28"/>
          <w:szCs w:val="28"/>
          <w:lang w:val="uk-UA"/>
        </w:rPr>
        <w:br/>
        <w:t>У 2014-2016 роках згідно з аналогічними нормами закону про державний бюджет на відповідний рік здій</w:t>
      </w:r>
      <w:r w:rsidR="00270720">
        <w:rPr>
          <w:rFonts w:ascii="Times New Roman" w:hAnsi="Times New Roman"/>
          <w:sz w:val="28"/>
          <w:szCs w:val="28"/>
          <w:lang w:val="uk-UA"/>
        </w:rPr>
        <w:t>с</w:t>
      </w:r>
      <w:r w:rsidRPr="007635EF">
        <w:rPr>
          <w:rFonts w:ascii="Times New Roman" w:hAnsi="Times New Roman"/>
          <w:sz w:val="28"/>
          <w:szCs w:val="28"/>
          <w:lang w:val="uk-UA"/>
        </w:rPr>
        <w:t>нені такі операції загалом на суму 59,5 млрд грн. При цьому, у 2017-2019 роках такі операції не проводилися, а навпаки протягом 2018-2019 років Фонд достроково погасив векселі за такими операціями, здійсненими у 2014-2016 роках, загалом у сумі 10,1 млрд грн, а також у 2020 році Фондом планується достроково погасити відповідні векселі у сумі 2 млрд грн.</w:t>
      </w:r>
    </w:p>
    <w:p w:rsidR="007635EF" w:rsidRP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бюджету. </w:t>
      </w:r>
    </w:p>
    <w:p w:rsidR="007635EF" w:rsidRPr="007635EF" w:rsidRDefault="007635EF" w:rsidP="006E63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35EF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матиме опосередкований вплив на показники бюджету (може призвести до зміни показників надходжень і витрат державного бюджету, пов’язаних з діяльністю Фонду гарантування вкладів фізичних осіб,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7635EF" w:rsidRPr="007635EF" w:rsidRDefault="007635EF" w:rsidP="006E6397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635EF" w:rsidRPr="007635EF" w:rsidRDefault="007635EF" w:rsidP="006E6397">
      <w:pPr>
        <w:pStyle w:val="Igor"/>
        <w:spacing w:after="0"/>
        <w:rPr>
          <w:spacing w:val="0"/>
        </w:rPr>
      </w:pPr>
    </w:p>
    <w:p w:rsidR="007635EF" w:rsidRPr="007635EF" w:rsidRDefault="007635EF" w:rsidP="006E6397">
      <w:pPr>
        <w:tabs>
          <w:tab w:val="left" w:pos="7088"/>
        </w:tabs>
        <w:spacing w:before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36098B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7635EF" w:rsidSect="00C12EE8">
      <w:headerReference w:type="default" r:id="rId7"/>
      <w:headerReference w:type="first" r:id="rId8"/>
      <w:footerReference w:type="first" r:id="rId9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EBD" w:rsidRDefault="00D81EBD" w:rsidP="005E306B">
      <w:pPr>
        <w:spacing w:after="0" w:line="240" w:lineRule="auto"/>
      </w:pPr>
      <w:r>
        <w:separator/>
      </w:r>
    </w:p>
  </w:endnote>
  <w:endnote w:type="continuationSeparator" w:id="0">
    <w:p w:rsidR="00D81EBD" w:rsidRDefault="00D81EB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81EB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EBD" w:rsidRDefault="00D81EBD" w:rsidP="005E306B">
      <w:pPr>
        <w:spacing w:after="0" w:line="240" w:lineRule="auto"/>
      </w:pPr>
      <w:r>
        <w:separator/>
      </w:r>
    </w:p>
  </w:footnote>
  <w:footnote w:type="continuationSeparator" w:id="0">
    <w:p w:rsidR="00D81EBD" w:rsidRDefault="00D81EB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3E97"/>
    <w:rsid w:val="0005542B"/>
    <w:rsid w:val="000F1586"/>
    <w:rsid w:val="001035B2"/>
    <w:rsid w:val="00141617"/>
    <w:rsid w:val="0019108F"/>
    <w:rsid w:val="0019231B"/>
    <w:rsid w:val="001966F0"/>
    <w:rsid w:val="001C272B"/>
    <w:rsid w:val="001D3C24"/>
    <w:rsid w:val="0021032F"/>
    <w:rsid w:val="00235CD7"/>
    <w:rsid w:val="00270720"/>
    <w:rsid w:val="002A5D4C"/>
    <w:rsid w:val="002B5FC1"/>
    <w:rsid w:val="002D0561"/>
    <w:rsid w:val="002E0A18"/>
    <w:rsid w:val="002E31BF"/>
    <w:rsid w:val="002E44DA"/>
    <w:rsid w:val="002E55DF"/>
    <w:rsid w:val="0030243C"/>
    <w:rsid w:val="00302EAE"/>
    <w:rsid w:val="0030655D"/>
    <w:rsid w:val="0036098B"/>
    <w:rsid w:val="00373D8C"/>
    <w:rsid w:val="003D0996"/>
    <w:rsid w:val="003D1CBA"/>
    <w:rsid w:val="004456BB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2B6C"/>
    <w:rsid w:val="00592C72"/>
    <w:rsid w:val="005A4728"/>
    <w:rsid w:val="005B71F5"/>
    <w:rsid w:val="005C2B98"/>
    <w:rsid w:val="005C674D"/>
    <w:rsid w:val="005E306B"/>
    <w:rsid w:val="005F20B5"/>
    <w:rsid w:val="00626A3E"/>
    <w:rsid w:val="00637FAE"/>
    <w:rsid w:val="00660B13"/>
    <w:rsid w:val="0066623D"/>
    <w:rsid w:val="006E6397"/>
    <w:rsid w:val="006F10E8"/>
    <w:rsid w:val="00713E93"/>
    <w:rsid w:val="0073224C"/>
    <w:rsid w:val="007635EF"/>
    <w:rsid w:val="007A0252"/>
    <w:rsid w:val="007B31A3"/>
    <w:rsid w:val="007D2B6C"/>
    <w:rsid w:val="007F1A56"/>
    <w:rsid w:val="007F5D91"/>
    <w:rsid w:val="0080545D"/>
    <w:rsid w:val="00811821"/>
    <w:rsid w:val="00825344"/>
    <w:rsid w:val="0084269F"/>
    <w:rsid w:val="008714FA"/>
    <w:rsid w:val="008C2B17"/>
    <w:rsid w:val="008D0011"/>
    <w:rsid w:val="008D7BBE"/>
    <w:rsid w:val="0091759A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12EE8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1EBD"/>
    <w:rsid w:val="00DF0115"/>
    <w:rsid w:val="00E179D1"/>
    <w:rsid w:val="00EF229A"/>
    <w:rsid w:val="00F02867"/>
    <w:rsid w:val="00F55423"/>
    <w:rsid w:val="00F91DD3"/>
    <w:rsid w:val="00FA0AF5"/>
    <w:rsid w:val="00FA196F"/>
    <w:rsid w:val="00FC3DF4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51486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97C86-E1E2-459B-8ABC-CF7429C0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2335</Words>
  <Characters>1332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5</cp:revision>
  <cp:lastPrinted>2020-03-04T14:18:00Z</cp:lastPrinted>
  <dcterms:created xsi:type="dcterms:W3CDTF">2020-03-04T13:56:00Z</dcterms:created>
  <dcterms:modified xsi:type="dcterms:W3CDTF">2020-03-04T14:19:00Z</dcterms:modified>
</cp:coreProperties>
</file>