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40457" w:rsidRDefault="00340457" w:rsidP="0037398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6409B0" w:rsidRDefault="004B0A41" w:rsidP="0037398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373988" w:rsidRDefault="004B0A41" w:rsidP="0037398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486471" w:rsidRPr="00486471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</w:p>
    <w:p w:rsidR="00373988" w:rsidRDefault="00486471" w:rsidP="0037398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</w:t>
      </w:r>
      <w:r w:rsidRPr="00486471">
        <w:rPr>
          <w:rFonts w:ascii="Times New Roman" w:hAnsi="Times New Roman" w:cs="Times New Roman"/>
          <w:b/>
          <w:bCs/>
        </w:rPr>
        <w:t>Про судоустрій і статус суддів</w:t>
      </w:r>
      <w:r>
        <w:rPr>
          <w:rFonts w:ascii="Times New Roman" w:hAnsi="Times New Roman" w:cs="Times New Roman"/>
          <w:b/>
          <w:bCs/>
        </w:rPr>
        <w:t>»</w:t>
      </w:r>
      <w:r w:rsidRPr="00486471">
        <w:rPr>
          <w:rFonts w:ascii="Times New Roman" w:hAnsi="Times New Roman" w:cs="Times New Roman"/>
          <w:b/>
          <w:bCs/>
        </w:rPr>
        <w:t xml:space="preserve"> та деяких законів України з метою</w:t>
      </w:r>
    </w:p>
    <w:p w:rsidR="004B0A41" w:rsidRPr="006409B0" w:rsidRDefault="00486471" w:rsidP="0037398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486471">
        <w:rPr>
          <w:rFonts w:ascii="Times New Roman" w:hAnsi="Times New Roman" w:cs="Times New Roman"/>
          <w:b/>
          <w:bCs/>
        </w:rPr>
        <w:t xml:space="preserve"> їх приведення у відповідність до висновку Європейської комісії </w:t>
      </w:r>
      <w:r w:rsidR="00C65B59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>«</w:t>
      </w:r>
      <w:r w:rsidRPr="00486471">
        <w:rPr>
          <w:rFonts w:ascii="Times New Roman" w:hAnsi="Times New Roman" w:cs="Times New Roman"/>
          <w:b/>
          <w:bCs/>
        </w:rPr>
        <w:t>За демократію через право</w:t>
      </w:r>
      <w:r>
        <w:rPr>
          <w:rFonts w:ascii="Times New Roman" w:hAnsi="Times New Roman" w:cs="Times New Roman"/>
          <w:b/>
          <w:bCs/>
        </w:rPr>
        <w:t>»</w:t>
      </w:r>
      <w:r w:rsidRPr="00486471">
        <w:rPr>
          <w:rFonts w:ascii="Times New Roman" w:hAnsi="Times New Roman" w:cs="Times New Roman"/>
          <w:b/>
          <w:bCs/>
        </w:rPr>
        <w:t xml:space="preserve"> (Венеційської комісії) </w:t>
      </w:r>
      <w:r w:rsidR="00C65B59">
        <w:rPr>
          <w:rFonts w:ascii="Times New Roman" w:hAnsi="Times New Roman" w:cs="Times New Roman"/>
          <w:b/>
          <w:bCs/>
        </w:rPr>
        <w:br/>
      </w:r>
      <w:r w:rsidRPr="00486471">
        <w:rPr>
          <w:rFonts w:ascii="Times New Roman" w:hAnsi="Times New Roman" w:cs="Times New Roman"/>
          <w:b/>
          <w:bCs/>
        </w:rPr>
        <w:t>від 09 грудня 2019 року № 969/2019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A1726A" w:rsidRDefault="008B5D30" w:rsidP="00A1726A">
      <w:pPr>
        <w:spacing w:after="0" w:line="240" w:lineRule="auto"/>
        <w:ind w:firstLine="709"/>
        <w:jc w:val="both"/>
      </w:pPr>
      <w:r w:rsidRPr="006409B0">
        <w:t>М</w:t>
      </w:r>
      <w:r w:rsidR="00AC6D2E" w:rsidRPr="006409B0">
        <w:t>етою</w:t>
      </w:r>
      <w:r w:rsidRPr="006409B0">
        <w:t xml:space="preserve"> законопроекту</w:t>
      </w:r>
      <w:r w:rsidR="00AC6D2E" w:rsidRPr="006409B0">
        <w:t xml:space="preserve">, як зазначено в </w:t>
      </w:r>
      <w:r w:rsidR="00865481" w:rsidRPr="006409B0">
        <w:t>п</w:t>
      </w:r>
      <w:r w:rsidR="00AC6D2E" w:rsidRPr="006409B0">
        <w:t>ояснювальній записці</w:t>
      </w:r>
      <w:r w:rsidRPr="006409B0">
        <w:t xml:space="preserve"> до нього</w:t>
      </w:r>
      <w:r w:rsidR="00AC6D2E" w:rsidRPr="006409B0">
        <w:t xml:space="preserve">, є </w:t>
      </w:r>
      <w:r w:rsidR="00FC07D0" w:rsidRPr="00FC07D0">
        <w:t>удосконалення правового механізму забезпечення права особи на справедливий суд, підвищення ефективності діяльності судової системи, удосконалення дисциплінарної відповідальності суддів.</w:t>
      </w:r>
      <w:r w:rsidR="00A1726A">
        <w:t xml:space="preserve"> </w:t>
      </w:r>
    </w:p>
    <w:p w:rsidR="00EC4C24" w:rsidRPr="006409B0" w:rsidRDefault="00EC4C24" w:rsidP="00A1726A">
      <w:pPr>
        <w:spacing w:after="0" w:line="240" w:lineRule="auto"/>
        <w:ind w:firstLine="709"/>
        <w:jc w:val="both"/>
        <w:rPr>
          <w:szCs w:val="28"/>
        </w:rPr>
      </w:pPr>
      <w:r w:rsidRPr="00EC4C24">
        <w:rPr>
          <w:szCs w:val="28"/>
        </w:rPr>
        <w:t xml:space="preserve">Прийняття </w:t>
      </w:r>
      <w:r>
        <w:rPr>
          <w:szCs w:val="28"/>
        </w:rPr>
        <w:t xml:space="preserve">поданого </w:t>
      </w:r>
      <w:r w:rsidRPr="00EC4C24">
        <w:rPr>
          <w:szCs w:val="28"/>
        </w:rPr>
        <w:t>проекту</w:t>
      </w:r>
      <w:r>
        <w:rPr>
          <w:szCs w:val="28"/>
        </w:rPr>
        <w:t>, на думку його ініціаторів,</w:t>
      </w:r>
      <w:r w:rsidRPr="00EC4C24">
        <w:rPr>
          <w:szCs w:val="28"/>
        </w:rPr>
        <w:t xml:space="preserve"> </w:t>
      </w:r>
      <w:r>
        <w:rPr>
          <w:szCs w:val="28"/>
        </w:rPr>
        <w:t>«</w:t>
      </w:r>
      <w:r w:rsidRPr="00EC4C24">
        <w:rPr>
          <w:szCs w:val="28"/>
        </w:rPr>
        <w:t xml:space="preserve">покликане виправити помилки, допущені в процесі прийняття проекту Закону України </w:t>
      </w:r>
      <w:r w:rsidR="005C68D9">
        <w:rPr>
          <w:szCs w:val="28"/>
        </w:rPr>
        <w:br/>
      </w:r>
      <w:r w:rsidRPr="00EC4C24">
        <w:rPr>
          <w:szCs w:val="28"/>
        </w:rPr>
        <w:t>№</w:t>
      </w:r>
      <w:r w:rsidR="00373988">
        <w:rPr>
          <w:szCs w:val="28"/>
        </w:rPr>
        <w:t xml:space="preserve"> </w:t>
      </w:r>
      <w:r w:rsidRPr="00EC4C24">
        <w:rPr>
          <w:szCs w:val="28"/>
        </w:rPr>
        <w:t>1008 «Про внесення змін до деяких законів України щодо діяльності органів суддівського врядування» та привести їх у відповідність до висновку Європейської комісії «За демократію через право» (Венеційської комісії) від 09 грудня 2019 року № 969/2019».</w:t>
      </w:r>
    </w:p>
    <w:p w:rsidR="00FC07D0" w:rsidRDefault="00C65B59" w:rsidP="00666D98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досягнення вказаної мети у законопроекті</w:t>
      </w:r>
      <w:r w:rsidR="00FC07D0">
        <w:rPr>
          <w:rFonts w:ascii="Times New Roman" w:hAnsi="Times New Roman" w:cs="Times New Roman"/>
        </w:rPr>
        <w:t xml:space="preserve"> пропонується внести низку змін до законів України «Про судоустрій і статус суддів» та «Про Вищу раду правосуддя»</w:t>
      </w:r>
      <w:r>
        <w:rPr>
          <w:rFonts w:ascii="Times New Roman" w:hAnsi="Times New Roman" w:cs="Times New Roman"/>
        </w:rPr>
        <w:t xml:space="preserve">, якими: </w:t>
      </w:r>
      <w:r w:rsidR="002A1A7A">
        <w:rPr>
          <w:rFonts w:ascii="Times New Roman" w:hAnsi="Times New Roman" w:cs="Times New Roman"/>
        </w:rPr>
        <w:t xml:space="preserve"> збільшити склад Верховного Суду зі ста до двохсот суддів (</w:t>
      </w:r>
      <w:r>
        <w:rPr>
          <w:rFonts w:ascii="Times New Roman" w:hAnsi="Times New Roman" w:cs="Times New Roman"/>
        </w:rPr>
        <w:t xml:space="preserve">зміни до </w:t>
      </w:r>
      <w:r w:rsidR="002A1A7A">
        <w:rPr>
          <w:rFonts w:ascii="Times New Roman" w:hAnsi="Times New Roman" w:cs="Times New Roman"/>
        </w:rPr>
        <w:t>ч. 1 ст. 37 Закону України «Про судоустрій і статус суддів»</w:t>
      </w:r>
      <w:r>
        <w:rPr>
          <w:rFonts w:ascii="Times New Roman" w:hAnsi="Times New Roman" w:cs="Times New Roman"/>
        </w:rPr>
        <w:t>);</w:t>
      </w:r>
      <w:r w:rsidR="002A1A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</w:t>
      </w:r>
      <w:r w:rsidR="002A1A7A">
        <w:rPr>
          <w:rFonts w:ascii="Times New Roman" w:hAnsi="Times New Roman" w:cs="Times New Roman"/>
        </w:rPr>
        <w:t>адати повноваження здійснювати моніторинг способу життя судді виключно Національному агентству з питань запобігання корупції (</w:t>
      </w:r>
      <w:r>
        <w:rPr>
          <w:rFonts w:ascii="Times New Roman" w:hAnsi="Times New Roman" w:cs="Times New Roman"/>
        </w:rPr>
        <w:t xml:space="preserve">зміни до </w:t>
      </w:r>
      <w:r w:rsidR="002A1A7A">
        <w:rPr>
          <w:rFonts w:ascii="Times New Roman" w:hAnsi="Times New Roman" w:cs="Times New Roman"/>
        </w:rPr>
        <w:t>ч. 1 ст. 59 Закону України «Про судоустрій і статус суддів», ч. 8 ст. 28-1 Закону України «Про Вищу раду правосуддя»</w:t>
      </w:r>
      <w:r>
        <w:rPr>
          <w:rFonts w:ascii="Times New Roman" w:hAnsi="Times New Roman" w:cs="Times New Roman"/>
        </w:rPr>
        <w:t>);</w:t>
      </w:r>
      <w:r w:rsidR="002A1A7A">
        <w:rPr>
          <w:rFonts w:ascii="Times New Roman" w:hAnsi="Times New Roman" w:cs="Times New Roman"/>
        </w:rPr>
        <w:t xml:space="preserve"> </w:t>
      </w:r>
      <w:r w:rsidR="005F1D27">
        <w:rPr>
          <w:rFonts w:ascii="Times New Roman" w:hAnsi="Times New Roman" w:cs="Times New Roman"/>
        </w:rPr>
        <w:t xml:space="preserve">визначити, що підставою для залишення дисциплінарної скарги без розгляду та повернення її скаржнику є відсутність на ній підпису, прізвища, імені, по батькові скаржника або судді, місця проживання (місця перебування, </w:t>
      </w:r>
      <w:r w:rsidR="00457DAF">
        <w:rPr>
          <w:rFonts w:ascii="Times New Roman" w:hAnsi="Times New Roman" w:cs="Times New Roman"/>
        </w:rPr>
        <w:t>місцезнаходження</w:t>
      </w:r>
      <w:r w:rsidR="005F1D27">
        <w:rPr>
          <w:rFonts w:ascii="Times New Roman" w:hAnsi="Times New Roman" w:cs="Times New Roman"/>
        </w:rPr>
        <w:t>) скаржника (п. 1 ч. 1 ст. 44</w:t>
      </w:r>
      <w:r w:rsidR="00457DAF">
        <w:rPr>
          <w:rFonts w:ascii="Times New Roman" w:hAnsi="Times New Roman" w:cs="Times New Roman"/>
        </w:rPr>
        <w:t xml:space="preserve"> Закону України «Про Вищу раду правосуддя» в редакції проекту).</w:t>
      </w:r>
    </w:p>
    <w:p w:rsidR="006A2782" w:rsidRPr="006409B0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За результатами опрацювання поданого законопроекту Головне науково-експертне управління вважає за необхідне зазначити наступне.</w:t>
      </w:r>
    </w:p>
    <w:p w:rsidR="006939E8" w:rsidRDefault="00B72116" w:rsidP="00EC4C24">
      <w:pPr>
        <w:spacing w:after="0" w:line="240" w:lineRule="auto"/>
        <w:ind w:firstLine="709"/>
        <w:jc w:val="both"/>
        <w:rPr>
          <w:szCs w:val="28"/>
        </w:rPr>
      </w:pPr>
      <w:r w:rsidRPr="00340457">
        <w:rPr>
          <w:b/>
          <w:szCs w:val="28"/>
        </w:rPr>
        <w:t>1.</w:t>
      </w:r>
      <w:r>
        <w:rPr>
          <w:szCs w:val="28"/>
        </w:rPr>
        <w:t xml:space="preserve"> Наразі відповідно до ч. 1 ст. 37 Закону України «Про судоустрій і статус суддів» до складу Верховного Суду входять судді у кількості не більше </w:t>
      </w:r>
      <w:r w:rsidRPr="00B72116">
        <w:rPr>
          <w:i/>
          <w:szCs w:val="28"/>
        </w:rPr>
        <w:t>ста</w:t>
      </w:r>
      <w:r>
        <w:rPr>
          <w:szCs w:val="28"/>
        </w:rPr>
        <w:t>. Шляхом внесення змін до зазначеної норми пропонується збільшити кількість суддів, які входять до складу Верховного Суду</w:t>
      </w:r>
      <w:r w:rsidR="00373988">
        <w:rPr>
          <w:szCs w:val="28"/>
        </w:rPr>
        <w:t>,</w:t>
      </w:r>
      <w:r>
        <w:rPr>
          <w:szCs w:val="28"/>
        </w:rPr>
        <w:t xml:space="preserve"> до </w:t>
      </w:r>
      <w:r w:rsidRPr="00B72116">
        <w:rPr>
          <w:i/>
          <w:szCs w:val="28"/>
        </w:rPr>
        <w:t>двохсот</w:t>
      </w:r>
      <w:r>
        <w:rPr>
          <w:i/>
          <w:szCs w:val="28"/>
        </w:rPr>
        <w:t xml:space="preserve"> </w:t>
      </w:r>
      <w:r w:rsidR="00C65B59">
        <w:rPr>
          <w:i/>
          <w:szCs w:val="28"/>
        </w:rPr>
        <w:br/>
      </w:r>
      <w:r>
        <w:rPr>
          <w:szCs w:val="28"/>
        </w:rPr>
        <w:t>(ч. 1 ст. 37 Закону України «Про судоустрій і статус суддів</w:t>
      </w:r>
      <w:r w:rsidR="00074EF0">
        <w:rPr>
          <w:szCs w:val="28"/>
        </w:rPr>
        <w:t xml:space="preserve">» </w:t>
      </w:r>
      <w:r>
        <w:rPr>
          <w:szCs w:val="28"/>
        </w:rPr>
        <w:t xml:space="preserve">в редакції </w:t>
      </w:r>
      <w:r>
        <w:rPr>
          <w:szCs w:val="28"/>
        </w:rPr>
        <w:lastRenderedPageBreak/>
        <w:t>проекту).</w:t>
      </w:r>
      <w:r w:rsidR="00EC4C24">
        <w:rPr>
          <w:szCs w:val="28"/>
        </w:rPr>
        <w:t xml:space="preserve"> На наш погляд, така законодавча пропозиція є дещо сумнівною та передчасною. Адже зменшення кількості суддів Верховного Суду із двохсот до ста </w:t>
      </w:r>
      <w:r w:rsidR="00252701">
        <w:rPr>
          <w:szCs w:val="28"/>
        </w:rPr>
        <w:t xml:space="preserve">у Законі України «Про судоустрій і статус суддів» </w:t>
      </w:r>
      <w:r w:rsidR="00EC4C24">
        <w:rPr>
          <w:szCs w:val="28"/>
        </w:rPr>
        <w:t>відбулося на підставі Закону України «</w:t>
      </w:r>
      <w:r w:rsidR="00EC4C24" w:rsidRPr="00EC4C24">
        <w:rPr>
          <w:szCs w:val="28"/>
        </w:rPr>
        <w:t>Про в</w:t>
      </w:r>
      <w:r w:rsidR="00EC4C24">
        <w:rPr>
          <w:szCs w:val="28"/>
        </w:rPr>
        <w:t>несення змін до Закону України «Про судоустрій і статус суддів»</w:t>
      </w:r>
      <w:r w:rsidR="00EC4C24" w:rsidRPr="00EC4C24">
        <w:rPr>
          <w:szCs w:val="28"/>
        </w:rPr>
        <w:t xml:space="preserve"> та деяких законів України щодо діяльності органів суддівського врядування</w:t>
      </w:r>
      <w:r w:rsidR="00EC4C24">
        <w:rPr>
          <w:szCs w:val="28"/>
        </w:rPr>
        <w:t xml:space="preserve">» </w:t>
      </w:r>
      <w:r w:rsidR="00EC4C24" w:rsidRPr="00EC4C24">
        <w:rPr>
          <w:i/>
          <w:szCs w:val="28"/>
        </w:rPr>
        <w:t>від 16 жовтня 2019 року</w:t>
      </w:r>
      <w:r w:rsidR="00EC4C24">
        <w:rPr>
          <w:szCs w:val="28"/>
        </w:rPr>
        <w:t xml:space="preserve"> </w:t>
      </w:r>
      <w:r w:rsidR="00EC4C24" w:rsidRPr="00EC4C24">
        <w:rPr>
          <w:szCs w:val="28"/>
        </w:rPr>
        <w:t>№ 193-IX</w:t>
      </w:r>
      <w:r w:rsidR="00EC4C24">
        <w:rPr>
          <w:szCs w:val="28"/>
        </w:rPr>
        <w:t xml:space="preserve">. При цьому </w:t>
      </w:r>
      <w:r w:rsidR="00252701">
        <w:rPr>
          <w:szCs w:val="28"/>
        </w:rPr>
        <w:t>у п. 5 розділу ІІ «Прикінцеві та перехідні положення» передбачено, що «</w:t>
      </w:r>
      <w:r w:rsidR="00252701" w:rsidRPr="00252701">
        <w:rPr>
          <w:szCs w:val="28"/>
        </w:rPr>
        <w:t xml:space="preserve">Вища кваліфікаційна комісія суддів України </w:t>
      </w:r>
      <w:r w:rsidR="00252701" w:rsidRPr="00252701">
        <w:rPr>
          <w:i/>
          <w:szCs w:val="28"/>
        </w:rPr>
        <w:t>протягом двох місяців з дня формування її нового складу</w:t>
      </w:r>
      <w:r w:rsidR="00252701" w:rsidRPr="00252701">
        <w:rPr>
          <w:szCs w:val="28"/>
        </w:rPr>
        <w:t xml:space="preserve"> проводить відбір суддів до касаційних судів у складі Верховного Суду із числа суддів відповідних касаційних судів Верховного Суду за критеріями професійної компетентності, етики та доброчесності</w:t>
      </w:r>
      <w:r w:rsidR="00252701">
        <w:rPr>
          <w:szCs w:val="28"/>
        </w:rPr>
        <w:t>»</w:t>
      </w:r>
      <w:r w:rsidR="00252701" w:rsidRPr="00252701">
        <w:rPr>
          <w:szCs w:val="28"/>
        </w:rPr>
        <w:t>.</w:t>
      </w:r>
      <w:r w:rsidR="00252701">
        <w:rPr>
          <w:szCs w:val="28"/>
        </w:rPr>
        <w:t xml:space="preserve"> На даний час новий склад Вищої кваліфікаційної комісії</w:t>
      </w:r>
      <w:r w:rsidR="00252701" w:rsidRPr="00252701">
        <w:rPr>
          <w:szCs w:val="28"/>
        </w:rPr>
        <w:t xml:space="preserve"> суддів України</w:t>
      </w:r>
      <w:r w:rsidR="00252701">
        <w:rPr>
          <w:szCs w:val="28"/>
        </w:rPr>
        <w:t xml:space="preserve"> ще не сформовано, а</w:t>
      </w:r>
      <w:r w:rsidR="003D7D30">
        <w:rPr>
          <w:szCs w:val="28"/>
        </w:rPr>
        <w:t>,</w:t>
      </w:r>
      <w:r w:rsidR="00252701">
        <w:rPr>
          <w:szCs w:val="28"/>
        </w:rPr>
        <w:t xml:space="preserve"> отже</w:t>
      </w:r>
      <w:r w:rsidR="003D7D30">
        <w:rPr>
          <w:szCs w:val="28"/>
        </w:rPr>
        <w:t>,</w:t>
      </w:r>
      <w:r w:rsidR="00252701">
        <w:rPr>
          <w:szCs w:val="28"/>
        </w:rPr>
        <w:t xml:space="preserve"> Верховний Суд продовжує діяти у попередньому складі.</w:t>
      </w:r>
    </w:p>
    <w:p w:rsidR="001A6340" w:rsidRDefault="00252701" w:rsidP="001A6340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Враховуючи те, що чергова зміна напрямку державної політики щодо діяльності Верховного Суду відбулася нещодавно, говор</w:t>
      </w:r>
      <w:r w:rsidR="0095294F">
        <w:rPr>
          <w:szCs w:val="28"/>
        </w:rPr>
        <w:t>ити про її недоліки чи переваги</w:t>
      </w:r>
      <w:r>
        <w:rPr>
          <w:szCs w:val="28"/>
        </w:rPr>
        <w:t xml:space="preserve"> наразі досить складно. З огляду на це, Головне управління дотримується позиції стосовно необхідності закінчення розпочатого </w:t>
      </w:r>
      <w:r w:rsidR="001A6340">
        <w:rPr>
          <w:szCs w:val="28"/>
        </w:rPr>
        <w:t>процесу судової реформи в Україні</w:t>
      </w:r>
      <w:r>
        <w:rPr>
          <w:szCs w:val="28"/>
        </w:rPr>
        <w:t xml:space="preserve">. Кардинальна зміна вектору </w:t>
      </w:r>
      <w:r w:rsidR="001B5CCA">
        <w:rPr>
          <w:szCs w:val="28"/>
        </w:rPr>
        <w:t xml:space="preserve">державної політики у цій сфері протягом такого короткого проміжку часу, на наш погляд, буде не тільки неефективною, а й може загалом призвести до розбалансування судової системи та </w:t>
      </w:r>
      <w:r w:rsidR="001B5CCA" w:rsidRPr="0095294F">
        <w:rPr>
          <w:szCs w:val="28"/>
        </w:rPr>
        <w:t>втрат</w:t>
      </w:r>
      <w:r w:rsidR="007D2F4D" w:rsidRPr="0095294F">
        <w:rPr>
          <w:szCs w:val="28"/>
        </w:rPr>
        <w:t>и</w:t>
      </w:r>
      <w:r w:rsidR="001B5CCA" w:rsidRPr="0095294F">
        <w:rPr>
          <w:szCs w:val="28"/>
        </w:rPr>
        <w:t xml:space="preserve"> громадян</w:t>
      </w:r>
      <w:r w:rsidR="009E66BB" w:rsidRPr="0095294F">
        <w:rPr>
          <w:szCs w:val="28"/>
        </w:rPr>
        <w:t>ами</w:t>
      </w:r>
      <w:r w:rsidR="001B5CCA" w:rsidRPr="0095294F">
        <w:rPr>
          <w:szCs w:val="28"/>
        </w:rPr>
        <w:t xml:space="preserve"> </w:t>
      </w:r>
      <w:r w:rsidR="001A6340" w:rsidRPr="0095294F">
        <w:rPr>
          <w:szCs w:val="28"/>
        </w:rPr>
        <w:t xml:space="preserve">можливості </w:t>
      </w:r>
      <w:r w:rsidR="001B5CCA">
        <w:rPr>
          <w:szCs w:val="28"/>
        </w:rPr>
        <w:t>доступу до правосуддя.</w:t>
      </w:r>
    </w:p>
    <w:p w:rsidR="00340457" w:rsidRDefault="00340457" w:rsidP="001B5CC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Окрім цього, при визначенні загальної кількості суддів Верховного Суду, на нашу думку, перш за все слід було б брати до уваги обсяг можливого навантаження на кожного суддю і, зокрема, кількість справ, які касаційні суди, які діють у складі Верховного Суду повинні розглядати в касаційному порядку. Однак у доданих до проекту супровідних документах не міститься статистичних даних, розрахунків навантаження чи інших аргументів, які б свідчили, що кількість справ, які розглядаються у Верховному Суді, вимагає збереження загальної кількості суддів у цьому суді на рівні 200.</w:t>
      </w:r>
    </w:p>
    <w:p w:rsidR="00074EF0" w:rsidRDefault="00DF5CA8" w:rsidP="00E708C2">
      <w:pPr>
        <w:spacing w:after="0" w:line="240" w:lineRule="auto"/>
        <w:ind w:firstLine="709"/>
        <w:jc w:val="both"/>
        <w:rPr>
          <w:lang w:eastAsia="ru-RU"/>
        </w:rPr>
      </w:pPr>
      <w:r w:rsidRPr="00340457">
        <w:rPr>
          <w:b/>
          <w:lang w:eastAsia="ru-RU"/>
        </w:rPr>
        <w:t>2.</w:t>
      </w:r>
      <w:r>
        <w:rPr>
          <w:lang w:eastAsia="ru-RU"/>
        </w:rPr>
        <w:t xml:space="preserve"> </w:t>
      </w:r>
      <w:r w:rsidR="00074EF0">
        <w:rPr>
          <w:lang w:eastAsia="ru-RU"/>
        </w:rPr>
        <w:t>Відповідно до ч. 1 ст. 59 Закону України «Про судоустрій і статус суддів» «з</w:t>
      </w:r>
      <w:r w:rsidR="00E752F8" w:rsidRPr="00E752F8">
        <w:rPr>
          <w:lang w:eastAsia="ru-RU"/>
        </w:rPr>
        <w:t xml:space="preserve"> метою встановлення відповідності рівня життя судді наявному у нього та членів його сім’ї майну і одержаним ними доходам, проводиться </w:t>
      </w:r>
      <w:r w:rsidR="00E752F8" w:rsidRPr="00703DFF">
        <w:rPr>
          <w:i/>
          <w:lang w:eastAsia="ru-RU"/>
        </w:rPr>
        <w:t xml:space="preserve">моніторинг способу </w:t>
      </w:r>
      <w:r w:rsidR="00074EF0" w:rsidRPr="00703DFF">
        <w:rPr>
          <w:i/>
          <w:lang w:eastAsia="ru-RU"/>
        </w:rPr>
        <w:t>життя судді</w:t>
      </w:r>
      <w:r w:rsidR="00074EF0">
        <w:rPr>
          <w:lang w:eastAsia="ru-RU"/>
        </w:rPr>
        <w:t xml:space="preserve"> відповідно до закону». </w:t>
      </w:r>
      <w:r w:rsidR="0096426B">
        <w:rPr>
          <w:lang w:eastAsia="ru-RU"/>
        </w:rPr>
        <w:t xml:space="preserve">Законопроектом пропонується уточнити, що зазначений моніторинг проводиться виключно Національним агентством з питань запобігання корупції. </w:t>
      </w:r>
      <w:r w:rsidR="00703DFF">
        <w:rPr>
          <w:lang w:eastAsia="ru-RU"/>
        </w:rPr>
        <w:t>Одночасно</w:t>
      </w:r>
      <w:r w:rsidR="001A6340">
        <w:rPr>
          <w:lang w:eastAsia="ru-RU"/>
        </w:rPr>
        <w:t xml:space="preserve"> </w:t>
      </w:r>
      <w:r w:rsidR="00703DFF">
        <w:rPr>
          <w:lang w:eastAsia="ru-RU"/>
        </w:rPr>
        <w:t xml:space="preserve">у проекті передбачається внесення змін до ч. 8 ст. 28-1 Закону України «Про Вищу раду правосуддя», відповідно до яких Комісія з питань доброчесності та етики </w:t>
      </w:r>
      <w:r w:rsidR="00703DFF" w:rsidRPr="00322876">
        <w:rPr>
          <w:lang w:eastAsia="ru-RU"/>
        </w:rPr>
        <w:t>при Вищій раді правосуддя</w:t>
      </w:r>
      <w:r w:rsidR="00703DFF">
        <w:rPr>
          <w:lang w:eastAsia="ru-RU"/>
        </w:rPr>
        <w:t xml:space="preserve"> позбавляється повноважень здійснювати</w:t>
      </w:r>
      <w:r w:rsidR="00703DFF" w:rsidRPr="00C42178">
        <w:rPr>
          <w:lang w:eastAsia="ru-RU"/>
        </w:rPr>
        <w:t xml:space="preserve"> </w:t>
      </w:r>
      <w:r w:rsidR="0095294F">
        <w:rPr>
          <w:i/>
          <w:lang w:eastAsia="ru-RU"/>
        </w:rPr>
        <w:t>моніторинг</w:t>
      </w:r>
      <w:r w:rsidR="00703DFF" w:rsidRPr="00703DFF">
        <w:rPr>
          <w:i/>
          <w:lang w:eastAsia="ru-RU"/>
        </w:rPr>
        <w:t xml:space="preserve"> інформації про суддів Верховного Суду</w:t>
      </w:r>
      <w:r w:rsidR="00D12B0C">
        <w:rPr>
          <w:lang w:eastAsia="ru-RU"/>
        </w:rPr>
        <w:t>.</w:t>
      </w:r>
    </w:p>
    <w:p w:rsidR="00495C73" w:rsidRDefault="0096426B" w:rsidP="00703DFF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Зазначен</w:t>
      </w:r>
      <w:r w:rsidR="00703DFF">
        <w:rPr>
          <w:lang w:eastAsia="ru-RU"/>
        </w:rPr>
        <w:t>і</w:t>
      </w:r>
      <w:r>
        <w:rPr>
          <w:lang w:eastAsia="ru-RU"/>
        </w:rPr>
        <w:t xml:space="preserve"> </w:t>
      </w:r>
      <w:r w:rsidR="00703DFF">
        <w:rPr>
          <w:lang w:eastAsia="ru-RU"/>
        </w:rPr>
        <w:t>пропозиції</w:t>
      </w:r>
      <w:r>
        <w:rPr>
          <w:lang w:eastAsia="ru-RU"/>
        </w:rPr>
        <w:t xml:space="preserve">, на наш погляд, є </w:t>
      </w:r>
      <w:r w:rsidR="00703DFF">
        <w:rPr>
          <w:lang w:eastAsia="ru-RU"/>
        </w:rPr>
        <w:t xml:space="preserve">юридично некоректними. Адже поняття «моніторинг способу життя судді» та «моніторинг інформації про суддю» не є ідентичними. </w:t>
      </w:r>
      <w:r w:rsidR="00481D50">
        <w:rPr>
          <w:lang w:eastAsia="ru-RU"/>
        </w:rPr>
        <w:t xml:space="preserve">До того ж, зазначені різновиди моніторингу </w:t>
      </w:r>
      <w:r w:rsidR="00176EB9">
        <w:rPr>
          <w:lang w:eastAsia="ru-RU"/>
        </w:rPr>
        <w:t>провадяться різними суб’єктами.</w:t>
      </w:r>
      <w:r w:rsidR="0095294F" w:rsidRPr="0095294F">
        <w:rPr>
          <w:lang w:eastAsia="ru-RU"/>
        </w:rPr>
        <w:t xml:space="preserve"> </w:t>
      </w:r>
      <w:r w:rsidR="00D12B0C">
        <w:rPr>
          <w:lang w:eastAsia="ru-RU"/>
        </w:rPr>
        <w:t xml:space="preserve">Зокрема, відповідно до вимог ч. 1 ст. 51 Закону України «Про запобігання корупції» </w:t>
      </w:r>
      <w:r w:rsidR="00D12B0C" w:rsidRPr="00D12B0C">
        <w:rPr>
          <w:i/>
          <w:lang w:eastAsia="ru-RU"/>
        </w:rPr>
        <w:t>моніторинг способу життя суб’єктів декларування</w:t>
      </w:r>
      <w:r w:rsidR="00D12B0C">
        <w:rPr>
          <w:lang w:eastAsia="ru-RU"/>
        </w:rPr>
        <w:t xml:space="preserve"> проводиться </w:t>
      </w:r>
      <w:r w:rsidR="00EF0E93" w:rsidRPr="00EF0E93">
        <w:rPr>
          <w:i/>
          <w:lang w:eastAsia="ru-RU"/>
        </w:rPr>
        <w:t>виключно</w:t>
      </w:r>
      <w:r w:rsidR="00EF0E93">
        <w:rPr>
          <w:lang w:eastAsia="ru-RU"/>
        </w:rPr>
        <w:t xml:space="preserve"> </w:t>
      </w:r>
      <w:r w:rsidR="00D12B0C">
        <w:rPr>
          <w:lang w:eastAsia="ru-RU"/>
        </w:rPr>
        <w:t xml:space="preserve">Національним агентством з </w:t>
      </w:r>
      <w:r w:rsidR="00D12B0C">
        <w:rPr>
          <w:lang w:eastAsia="ru-RU"/>
        </w:rPr>
        <w:lastRenderedPageBreak/>
        <w:t>питань запобігання корупції</w:t>
      </w:r>
      <w:r w:rsidR="00D12B0C" w:rsidRPr="00D12B0C">
        <w:rPr>
          <w:lang w:eastAsia="ru-RU"/>
        </w:rPr>
        <w:t xml:space="preserve"> </w:t>
      </w:r>
      <w:r w:rsidR="00D12B0C" w:rsidRPr="00373988">
        <w:rPr>
          <w:i/>
          <w:lang w:eastAsia="ru-RU"/>
        </w:rPr>
        <w:t>з метою встановлення відповідності їх рівня життя наявним у них та членів їх сім’ї майну і одержаним ними доходам згідно з декларацією особи, уповноваженої на виконання функцій держави або місцевого самоврядування</w:t>
      </w:r>
      <w:r w:rsidR="00D12B0C" w:rsidRPr="00D12B0C">
        <w:rPr>
          <w:lang w:eastAsia="ru-RU"/>
        </w:rPr>
        <w:t>, що подається відповідно до цього Закону.</w:t>
      </w:r>
    </w:p>
    <w:p w:rsidR="00D12B0C" w:rsidRDefault="00D12B0C" w:rsidP="00703DFF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 xml:space="preserve">У свою чергу, у п. 6 ч. 8 ст. 28-1 Закону України «Про Вищу раду правосуддя» йдеться про те, що Комісія з питань доброчесності та етики </w:t>
      </w:r>
      <w:r w:rsidRPr="00322876">
        <w:rPr>
          <w:lang w:eastAsia="ru-RU"/>
        </w:rPr>
        <w:t>при Вищій раді правосуддя</w:t>
      </w:r>
      <w:r>
        <w:rPr>
          <w:lang w:eastAsia="ru-RU"/>
        </w:rPr>
        <w:t xml:space="preserve"> здійснює</w:t>
      </w:r>
      <w:r w:rsidRPr="00D12B0C">
        <w:rPr>
          <w:lang w:eastAsia="ru-RU"/>
        </w:rPr>
        <w:t xml:space="preserve"> моніторинг інформації про суддів Верховного Суду </w:t>
      </w:r>
      <w:r w:rsidRPr="00373988">
        <w:rPr>
          <w:i/>
          <w:lang w:eastAsia="ru-RU"/>
        </w:rPr>
        <w:t>з метою виявлення дисциплінарних порушень, грубого або систематичного нехтування суддею своїми обов’язками, його несумісності зі статусом судді чи його невідповідності займаній посаді, порушення обов’язку підтвердити законність джерела походження майна</w:t>
      </w:r>
      <w:r w:rsidRPr="00D12B0C">
        <w:rPr>
          <w:lang w:eastAsia="ru-RU"/>
        </w:rPr>
        <w:t>.</w:t>
      </w:r>
      <w:r w:rsidR="00EF0E93">
        <w:rPr>
          <w:lang w:eastAsia="ru-RU"/>
        </w:rPr>
        <w:t xml:space="preserve"> При цьому Національне агентство з питань запобігання корупції </w:t>
      </w:r>
      <w:r w:rsidR="00481D50">
        <w:rPr>
          <w:lang w:eastAsia="ru-RU"/>
        </w:rPr>
        <w:t>не наділене чинним законодавством України повноваженнями пров</w:t>
      </w:r>
      <w:r w:rsidR="00373988">
        <w:rPr>
          <w:lang w:eastAsia="ru-RU"/>
        </w:rPr>
        <w:t>о</w:t>
      </w:r>
      <w:r w:rsidR="00481D50">
        <w:rPr>
          <w:lang w:eastAsia="ru-RU"/>
        </w:rPr>
        <w:t xml:space="preserve">дити </w:t>
      </w:r>
      <w:r w:rsidR="00373988">
        <w:rPr>
          <w:lang w:eastAsia="ru-RU"/>
        </w:rPr>
        <w:t>згадані</w:t>
      </w:r>
      <w:r w:rsidR="00481D50">
        <w:rPr>
          <w:lang w:eastAsia="ru-RU"/>
        </w:rPr>
        <w:t xml:space="preserve"> у вказаній нормі заходи. Отже, у випадку прийняття законопроекту у пропонованій редакції така «перевірка» суддів Верховного Суду офіційно здійснюватися не буде, що навряд чи сприятиме досягнення цілей та мети поданого законопроекту.</w:t>
      </w:r>
    </w:p>
    <w:p w:rsidR="007D1CE7" w:rsidRDefault="00C8011B" w:rsidP="00E708C2">
      <w:pPr>
        <w:spacing w:after="0" w:line="240" w:lineRule="auto"/>
        <w:ind w:firstLine="709"/>
        <w:jc w:val="both"/>
        <w:rPr>
          <w:lang w:eastAsia="ru-RU"/>
        </w:rPr>
      </w:pPr>
      <w:r w:rsidRPr="00340457">
        <w:rPr>
          <w:b/>
          <w:lang w:eastAsia="ru-RU"/>
        </w:rPr>
        <w:t>3.</w:t>
      </w:r>
      <w:r>
        <w:rPr>
          <w:lang w:eastAsia="ru-RU"/>
        </w:rPr>
        <w:t xml:space="preserve"> </w:t>
      </w:r>
      <w:r w:rsidR="00D13B23">
        <w:rPr>
          <w:lang w:eastAsia="ru-RU"/>
        </w:rPr>
        <w:t xml:space="preserve">Підставою для звільнення члена Вищої кваліфікаційної комісії суддів України з посади пропонується визнати </w:t>
      </w:r>
      <w:r w:rsidR="00D13B23" w:rsidRPr="00D13B23">
        <w:rPr>
          <w:i/>
          <w:u w:val="single"/>
          <w:lang w:eastAsia="ru-RU"/>
        </w:rPr>
        <w:t>суттєве</w:t>
      </w:r>
      <w:r w:rsidR="00D13B23">
        <w:rPr>
          <w:lang w:eastAsia="ru-RU"/>
        </w:rPr>
        <w:t xml:space="preserve"> порушення вимог, установлених законодавством у сфері запобігання корупції</w:t>
      </w:r>
      <w:r w:rsidR="00481D50">
        <w:rPr>
          <w:lang w:eastAsia="ru-RU"/>
        </w:rPr>
        <w:t xml:space="preserve"> (п. 4 ч. 1 ст. 96 Закону України «Про судоустрій і статус суддів»)</w:t>
      </w:r>
      <w:r w:rsidR="00D13B23">
        <w:rPr>
          <w:lang w:eastAsia="ru-RU"/>
        </w:rPr>
        <w:t xml:space="preserve">. Водночас </w:t>
      </w:r>
      <w:r w:rsidR="00481D50">
        <w:rPr>
          <w:lang w:eastAsia="ru-RU"/>
        </w:rPr>
        <w:t xml:space="preserve">у проекті </w:t>
      </w:r>
      <w:r w:rsidR="00D13B23">
        <w:rPr>
          <w:lang w:eastAsia="ru-RU"/>
        </w:rPr>
        <w:t>не врахована оціночність зазначеного поняття, а також критерії визначення «суттєвості» порушення вимог у сфері запобігання корупції.</w:t>
      </w:r>
    </w:p>
    <w:p w:rsidR="007E79DD" w:rsidRPr="00453045" w:rsidRDefault="005C68D9" w:rsidP="00453045">
      <w:pPr>
        <w:spacing w:after="0" w:line="240" w:lineRule="auto"/>
        <w:ind w:firstLine="709"/>
        <w:jc w:val="both"/>
        <w:rPr>
          <w:i/>
          <w:szCs w:val="28"/>
        </w:rPr>
      </w:pPr>
      <w:r w:rsidRPr="00340457">
        <w:rPr>
          <w:b/>
          <w:lang w:val="ru-RU" w:eastAsia="ru-RU"/>
        </w:rPr>
        <w:t>4</w:t>
      </w:r>
      <w:r w:rsidR="00D13B23" w:rsidRPr="00340457">
        <w:rPr>
          <w:b/>
          <w:lang w:eastAsia="ru-RU"/>
        </w:rPr>
        <w:t>.</w:t>
      </w:r>
      <w:r w:rsidR="00D13B23" w:rsidRPr="00453045">
        <w:rPr>
          <w:lang w:eastAsia="ru-RU"/>
        </w:rPr>
        <w:t xml:space="preserve"> </w:t>
      </w:r>
      <w:r w:rsidR="009E5037" w:rsidRPr="00453045">
        <w:t>В ч. 1 ст. 126 Конституції України передбачено, що незалежність і недоторканність судді гарантується Конституцією і законами України.</w:t>
      </w:r>
      <w:r w:rsidR="00481D50">
        <w:t xml:space="preserve"> </w:t>
      </w:r>
      <w:r w:rsidR="009E5037" w:rsidRPr="00453045">
        <w:t>Належне матеріальне забезпечення суддів, які здійснюють правосуддя, та суддів у відставці є елементом конституційного статусу судді</w:t>
      </w:r>
      <w:r w:rsidR="00B8180B">
        <w:t>в</w:t>
      </w:r>
      <w:r w:rsidR="009E5037" w:rsidRPr="00453045">
        <w:t xml:space="preserve">, гарантією </w:t>
      </w:r>
      <w:r w:rsidR="00B8180B">
        <w:t>їх</w:t>
      </w:r>
      <w:r w:rsidR="009E5037" w:rsidRPr="00453045">
        <w:t xml:space="preserve"> незалежності.</w:t>
      </w:r>
      <w:r w:rsidR="00481D50">
        <w:t xml:space="preserve"> </w:t>
      </w:r>
      <w:r w:rsidR="007E79DD" w:rsidRPr="00453045">
        <w:rPr>
          <w:szCs w:val="28"/>
        </w:rPr>
        <w:t>Згідно</w:t>
      </w:r>
      <w:r w:rsidRPr="005C68D9">
        <w:rPr>
          <w:szCs w:val="28"/>
          <w:lang w:val="ru-RU"/>
        </w:rPr>
        <w:t xml:space="preserve"> </w:t>
      </w:r>
      <w:r>
        <w:rPr>
          <w:szCs w:val="28"/>
        </w:rPr>
        <w:t>з</w:t>
      </w:r>
      <w:r w:rsidR="007E79DD" w:rsidRPr="00453045">
        <w:rPr>
          <w:szCs w:val="28"/>
        </w:rPr>
        <w:t xml:space="preserve"> ч. 2 ст. 130 Основного Закону України розмір винагороди судді встановлюється законом про судоустрій. У свою чергу, у </w:t>
      </w:r>
      <w:r w:rsidR="00481D50">
        <w:rPr>
          <w:szCs w:val="28"/>
        </w:rPr>
        <w:br/>
      </w:r>
      <w:r w:rsidR="007E79DD" w:rsidRPr="00453045">
        <w:rPr>
          <w:szCs w:val="28"/>
        </w:rPr>
        <w:t>ч. 2 чинної ст. 135 Закону</w:t>
      </w:r>
      <w:r w:rsidR="00481D50">
        <w:rPr>
          <w:szCs w:val="28"/>
        </w:rPr>
        <w:t xml:space="preserve"> України «Про </w:t>
      </w:r>
      <w:r w:rsidR="007E79DD" w:rsidRPr="00453045">
        <w:rPr>
          <w:szCs w:val="28"/>
        </w:rPr>
        <w:t xml:space="preserve"> </w:t>
      </w:r>
      <w:r w:rsidR="00481D50">
        <w:rPr>
          <w:szCs w:val="28"/>
        </w:rPr>
        <w:t xml:space="preserve">судоустрій і статус суддів» </w:t>
      </w:r>
      <w:r w:rsidR="007E79DD" w:rsidRPr="00453045">
        <w:rPr>
          <w:szCs w:val="28"/>
        </w:rPr>
        <w:t xml:space="preserve">передбачається, що </w:t>
      </w:r>
      <w:r w:rsidR="007E79DD" w:rsidRPr="00453045">
        <w:rPr>
          <w:i/>
          <w:szCs w:val="28"/>
        </w:rPr>
        <w:t>суддівська винагорода складається з посадового окладу та доплат за: 1) вислугу років; 2) перебування на адміністративній посаді в суді; 3) науковий ступінь; 4) роботу, що передбачає доступ до державної таємниці.</w:t>
      </w:r>
    </w:p>
    <w:p w:rsidR="009D7644" w:rsidRPr="00453045" w:rsidRDefault="007E79DD" w:rsidP="00453045">
      <w:pPr>
        <w:pStyle w:val="a3"/>
        <w:ind w:firstLine="709"/>
        <w:rPr>
          <w:rFonts w:ascii="Times New Roman" w:hAnsi="Times New Roman"/>
        </w:rPr>
      </w:pPr>
      <w:r w:rsidRPr="00453045">
        <w:rPr>
          <w:rFonts w:ascii="Times New Roman" w:hAnsi="Times New Roman"/>
        </w:rPr>
        <w:t>Наразі згідно з п. 3 ч</w:t>
      </w:r>
      <w:r w:rsidR="00481D50">
        <w:rPr>
          <w:rFonts w:ascii="Times New Roman" w:hAnsi="Times New Roman"/>
        </w:rPr>
        <w:t>.</w:t>
      </w:r>
      <w:r w:rsidRPr="00453045">
        <w:rPr>
          <w:rFonts w:ascii="Times New Roman" w:hAnsi="Times New Roman"/>
        </w:rPr>
        <w:t xml:space="preserve"> 3 ст. 135 Закону України «Про судоустрій і статус суддів» базовий розмір посадового окладу судді Верховного Суду </w:t>
      </w:r>
      <w:r w:rsidR="00481D50">
        <w:rPr>
          <w:rFonts w:ascii="Times New Roman" w:hAnsi="Times New Roman"/>
        </w:rPr>
        <w:t>становить</w:t>
      </w:r>
      <w:r w:rsidRPr="00453045">
        <w:rPr>
          <w:rFonts w:ascii="Times New Roman" w:hAnsi="Times New Roman"/>
        </w:rPr>
        <w:t xml:space="preserve"> 55 прожиткових мінімумів для працездатних осіб, розмір якого встановлено на 1 січня календарного року</w:t>
      </w:r>
      <w:r w:rsidR="009D7644" w:rsidRPr="00453045">
        <w:rPr>
          <w:rFonts w:ascii="Times New Roman" w:hAnsi="Times New Roman"/>
        </w:rPr>
        <w:t xml:space="preserve">. З 1 січня 2020 року зазначена сума складає </w:t>
      </w:r>
      <w:r w:rsidR="00481D50">
        <w:rPr>
          <w:rFonts w:ascii="Times New Roman" w:hAnsi="Times New Roman"/>
        </w:rPr>
        <w:br/>
      </w:r>
      <w:r w:rsidR="00C74A68" w:rsidRPr="00340457">
        <w:rPr>
          <w:rFonts w:ascii="Times New Roman" w:hAnsi="Times New Roman"/>
        </w:rPr>
        <w:t>111</w:t>
      </w:r>
      <w:r w:rsidR="00481D50" w:rsidRPr="00340457">
        <w:rPr>
          <w:rFonts w:ascii="Times New Roman" w:hAnsi="Times New Roman"/>
        </w:rPr>
        <w:t xml:space="preserve"> </w:t>
      </w:r>
      <w:r w:rsidR="00C74A68" w:rsidRPr="00340457">
        <w:rPr>
          <w:rFonts w:ascii="Times New Roman" w:hAnsi="Times New Roman"/>
        </w:rPr>
        <w:t>485</w:t>
      </w:r>
      <w:r w:rsidR="00AD2EB1" w:rsidRPr="00340457">
        <w:rPr>
          <w:rFonts w:ascii="Times New Roman" w:hAnsi="Times New Roman"/>
        </w:rPr>
        <w:t xml:space="preserve"> грн</w:t>
      </w:r>
      <w:r w:rsidR="00AD2EB1" w:rsidRPr="00453045">
        <w:rPr>
          <w:rFonts w:ascii="Times New Roman" w:hAnsi="Times New Roman"/>
        </w:rPr>
        <w:t>.</w:t>
      </w:r>
    </w:p>
    <w:p w:rsidR="00385DC6" w:rsidRPr="00340457" w:rsidRDefault="008C063A" w:rsidP="00453045">
      <w:pPr>
        <w:pStyle w:val="1"/>
        <w:widowControl w:val="0"/>
        <w:jc w:val="both"/>
        <w:rPr>
          <w:rFonts w:ascii="Times New Roman" w:hAnsi="Times New Roman"/>
          <w:b w:val="0"/>
        </w:rPr>
      </w:pPr>
      <w:r w:rsidRPr="00453045">
        <w:rPr>
          <w:rFonts w:ascii="Times New Roman" w:hAnsi="Times New Roman"/>
          <w:b w:val="0"/>
        </w:rPr>
        <w:t xml:space="preserve">Законопроектом пропонується </w:t>
      </w:r>
      <w:r w:rsidR="00DE03B0" w:rsidRPr="00453045">
        <w:rPr>
          <w:rFonts w:ascii="Times New Roman" w:hAnsi="Times New Roman"/>
          <w:b w:val="0"/>
        </w:rPr>
        <w:t>збіль</w:t>
      </w:r>
      <w:r w:rsidRPr="00453045">
        <w:rPr>
          <w:rFonts w:ascii="Times New Roman" w:hAnsi="Times New Roman"/>
          <w:b w:val="0"/>
        </w:rPr>
        <w:t>шити розмір посадового окладу судді Верховного Суду з 55 до 75 прожиткових мінімумів</w:t>
      </w:r>
      <w:r w:rsidR="00DE03B0" w:rsidRPr="00453045">
        <w:rPr>
          <w:rFonts w:ascii="Times New Roman" w:hAnsi="Times New Roman"/>
          <w:b w:val="0"/>
        </w:rPr>
        <w:t xml:space="preserve"> для працездатних осіб, розмір якого встановлено на 1 січня календарного року</w:t>
      </w:r>
      <w:r w:rsidR="00F318C1">
        <w:rPr>
          <w:rFonts w:ascii="Times New Roman" w:hAnsi="Times New Roman"/>
          <w:b w:val="0"/>
        </w:rPr>
        <w:t xml:space="preserve"> (див. зміни до </w:t>
      </w:r>
      <w:r w:rsidR="00F318C1">
        <w:rPr>
          <w:rFonts w:ascii="Times New Roman" w:hAnsi="Times New Roman"/>
          <w:b w:val="0"/>
        </w:rPr>
        <w:br/>
        <w:t xml:space="preserve">п. 3 ч. 2 ст. 135 </w:t>
      </w:r>
      <w:r w:rsidR="00F318C1" w:rsidRPr="00F318C1">
        <w:rPr>
          <w:rFonts w:ascii="Times New Roman" w:hAnsi="Times New Roman"/>
          <w:b w:val="0"/>
        </w:rPr>
        <w:t>Закону України «Про судоустрій і статус суддів»)</w:t>
      </w:r>
      <w:r w:rsidR="00DE03B0" w:rsidRPr="00F318C1">
        <w:rPr>
          <w:rFonts w:ascii="Times New Roman" w:hAnsi="Times New Roman"/>
          <w:b w:val="0"/>
        </w:rPr>
        <w:t>.</w:t>
      </w:r>
      <w:r w:rsidR="00DE03B0" w:rsidRPr="00453045">
        <w:rPr>
          <w:rFonts w:ascii="Times New Roman" w:hAnsi="Times New Roman"/>
          <w:b w:val="0"/>
        </w:rPr>
        <w:t xml:space="preserve"> </w:t>
      </w:r>
      <w:r w:rsidR="00F318C1">
        <w:rPr>
          <w:rFonts w:ascii="Times New Roman" w:hAnsi="Times New Roman"/>
          <w:b w:val="0"/>
        </w:rPr>
        <w:t>Тобто, у</w:t>
      </w:r>
      <w:r w:rsidR="00DE03B0" w:rsidRPr="00453045">
        <w:rPr>
          <w:rFonts w:ascii="Times New Roman" w:hAnsi="Times New Roman"/>
          <w:b w:val="0"/>
        </w:rPr>
        <w:t xml:space="preserve"> разі прийняття запропонованих проектом змін сума посадового окладу судді </w:t>
      </w:r>
      <w:r w:rsidR="00DE03B0" w:rsidRPr="00453045">
        <w:rPr>
          <w:rFonts w:ascii="Times New Roman" w:hAnsi="Times New Roman"/>
          <w:b w:val="0"/>
        </w:rPr>
        <w:lastRenderedPageBreak/>
        <w:t xml:space="preserve">Верховного Суду складатиме </w:t>
      </w:r>
      <w:r w:rsidR="00C74A68" w:rsidRPr="00340457">
        <w:rPr>
          <w:rFonts w:ascii="Times New Roman" w:hAnsi="Times New Roman"/>
          <w:b w:val="0"/>
        </w:rPr>
        <w:t>152</w:t>
      </w:r>
      <w:r w:rsidR="00F318C1" w:rsidRPr="00340457">
        <w:rPr>
          <w:rFonts w:ascii="Times New Roman" w:hAnsi="Times New Roman"/>
          <w:b w:val="0"/>
        </w:rPr>
        <w:t xml:space="preserve"> </w:t>
      </w:r>
      <w:r w:rsidR="00C74A68" w:rsidRPr="00340457">
        <w:rPr>
          <w:rFonts w:ascii="Times New Roman" w:hAnsi="Times New Roman"/>
          <w:b w:val="0"/>
        </w:rPr>
        <w:t>025 грн</w:t>
      </w:r>
      <w:r w:rsidR="00DE03B0" w:rsidRPr="00340457">
        <w:rPr>
          <w:rFonts w:ascii="Times New Roman" w:hAnsi="Times New Roman"/>
          <w:b w:val="0"/>
        </w:rPr>
        <w:t>.</w:t>
      </w:r>
    </w:p>
    <w:p w:rsidR="00453045" w:rsidRPr="00453045" w:rsidRDefault="005C68D9" w:rsidP="00453045">
      <w:pPr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>З</w:t>
      </w:r>
      <w:r w:rsidR="00F318C1">
        <w:rPr>
          <w:szCs w:val="28"/>
        </w:rPr>
        <w:t xml:space="preserve">вертаємо увагу, що, </w:t>
      </w:r>
      <w:r w:rsidR="00F318C1" w:rsidRPr="00F318C1">
        <w:rPr>
          <w:i/>
          <w:szCs w:val="28"/>
        </w:rPr>
        <w:t>по-перше</w:t>
      </w:r>
      <w:r w:rsidR="00F318C1">
        <w:rPr>
          <w:szCs w:val="28"/>
        </w:rPr>
        <w:t xml:space="preserve">, </w:t>
      </w:r>
      <w:r w:rsidR="00F318C1" w:rsidRPr="00F318C1">
        <w:rPr>
          <w:i/>
          <w:szCs w:val="28"/>
        </w:rPr>
        <w:t>д</w:t>
      </w:r>
      <w:r w:rsidR="00453045" w:rsidRPr="00453045">
        <w:rPr>
          <w:i/>
          <w:szCs w:val="28"/>
        </w:rPr>
        <w:t xml:space="preserve">о базового розміру посадового окладу додатково застосовуються такий </w:t>
      </w:r>
      <w:r w:rsidR="00453045" w:rsidRPr="00340457">
        <w:rPr>
          <w:i/>
          <w:szCs w:val="28"/>
        </w:rPr>
        <w:t>регіональний коефіцієнт</w:t>
      </w:r>
      <w:r w:rsidR="00453045" w:rsidRPr="00453045">
        <w:rPr>
          <w:szCs w:val="28"/>
        </w:rPr>
        <w:t>: 1,25 - якщо суддя здійснює правосуддя у суді, що розташований у населеному пункті з кількістю населення щонайменше один мільйон осіб.</w:t>
      </w:r>
    </w:p>
    <w:p w:rsidR="00453045" w:rsidRPr="00453045" w:rsidRDefault="00F318C1" w:rsidP="00453045">
      <w:pPr>
        <w:spacing w:after="0" w:line="240" w:lineRule="auto"/>
        <w:ind w:firstLine="720"/>
        <w:jc w:val="both"/>
        <w:rPr>
          <w:szCs w:val="28"/>
        </w:rPr>
      </w:pPr>
      <w:r>
        <w:rPr>
          <w:i/>
          <w:szCs w:val="28"/>
        </w:rPr>
        <w:t>По-друге, с</w:t>
      </w:r>
      <w:r w:rsidR="00453045" w:rsidRPr="00453045">
        <w:rPr>
          <w:i/>
          <w:szCs w:val="28"/>
        </w:rPr>
        <w:t xml:space="preserve">уддям виплачується </w:t>
      </w:r>
      <w:r w:rsidR="00453045" w:rsidRPr="00340457">
        <w:rPr>
          <w:i/>
          <w:szCs w:val="28"/>
        </w:rPr>
        <w:t>щомісячна доплата за вислугу років</w:t>
      </w:r>
      <w:r w:rsidR="00453045" w:rsidRPr="00453045">
        <w:rPr>
          <w:szCs w:val="28"/>
        </w:rPr>
        <w:t xml:space="preserve"> у розмірі: за наявності стажу роботи </w:t>
      </w:r>
      <w:r w:rsidR="00453045" w:rsidRPr="00453045">
        <w:rPr>
          <w:i/>
          <w:szCs w:val="28"/>
        </w:rPr>
        <w:t>більше 3 років - 15 відсотків</w:t>
      </w:r>
      <w:r w:rsidR="00453045" w:rsidRPr="00453045">
        <w:rPr>
          <w:szCs w:val="28"/>
        </w:rPr>
        <w:t xml:space="preserve">, більше 5 років - </w:t>
      </w:r>
      <w:r w:rsidR="00453045" w:rsidRPr="00453045">
        <w:rPr>
          <w:i/>
          <w:szCs w:val="28"/>
        </w:rPr>
        <w:t>20 відсотків</w:t>
      </w:r>
      <w:r w:rsidR="00453045" w:rsidRPr="00453045">
        <w:rPr>
          <w:szCs w:val="28"/>
        </w:rPr>
        <w:t xml:space="preserve">, більше 10 років - </w:t>
      </w:r>
      <w:r w:rsidR="00453045" w:rsidRPr="00453045">
        <w:rPr>
          <w:i/>
          <w:szCs w:val="28"/>
        </w:rPr>
        <w:t>30 відсотків</w:t>
      </w:r>
      <w:r w:rsidR="00453045" w:rsidRPr="00453045">
        <w:rPr>
          <w:szCs w:val="28"/>
        </w:rPr>
        <w:t xml:space="preserve">, більше 15 років - </w:t>
      </w:r>
      <w:r w:rsidR="00453045" w:rsidRPr="00453045">
        <w:rPr>
          <w:i/>
          <w:szCs w:val="28"/>
        </w:rPr>
        <w:t>40 відсотків</w:t>
      </w:r>
      <w:r w:rsidR="00453045" w:rsidRPr="00453045">
        <w:rPr>
          <w:szCs w:val="28"/>
        </w:rPr>
        <w:t xml:space="preserve">, більше 20 років - </w:t>
      </w:r>
      <w:r w:rsidR="00453045" w:rsidRPr="00453045">
        <w:rPr>
          <w:i/>
          <w:szCs w:val="28"/>
        </w:rPr>
        <w:t>50 відсотків</w:t>
      </w:r>
      <w:r w:rsidR="00453045" w:rsidRPr="00453045">
        <w:rPr>
          <w:szCs w:val="28"/>
        </w:rPr>
        <w:t xml:space="preserve">, більше 25 років - </w:t>
      </w:r>
      <w:r w:rsidR="00453045" w:rsidRPr="00453045">
        <w:rPr>
          <w:i/>
          <w:szCs w:val="28"/>
        </w:rPr>
        <w:t>60 відсотків</w:t>
      </w:r>
      <w:r w:rsidR="00453045" w:rsidRPr="00453045">
        <w:rPr>
          <w:szCs w:val="28"/>
        </w:rPr>
        <w:t xml:space="preserve">, більше 30 років - </w:t>
      </w:r>
      <w:r w:rsidR="00453045" w:rsidRPr="00453045">
        <w:rPr>
          <w:i/>
          <w:szCs w:val="28"/>
        </w:rPr>
        <w:t>70 відсотків</w:t>
      </w:r>
      <w:r w:rsidR="00453045" w:rsidRPr="00453045">
        <w:rPr>
          <w:szCs w:val="28"/>
        </w:rPr>
        <w:t xml:space="preserve">, більше 35 років - </w:t>
      </w:r>
      <w:r w:rsidR="00453045" w:rsidRPr="00453045">
        <w:rPr>
          <w:i/>
          <w:szCs w:val="28"/>
        </w:rPr>
        <w:t>80 відсотків посадового окладу</w:t>
      </w:r>
      <w:r w:rsidR="00453045" w:rsidRPr="00453045">
        <w:rPr>
          <w:szCs w:val="28"/>
        </w:rPr>
        <w:t>.</w:t>
      </w:r>
    </w:p>
    <w:p w:rsidR="00453045" w:rsidRPr="00453045" w:rsidRDefault="00F318C1" w:rsidP="00453045">
      <w:pPr>
        <w:spacing w:after="0" w:line="240" w:lineRule="auto"/>
        <w:ind w:firstLine="720"/>
        <w:jc w:val="both"/>
        <w:rPr>
          <w:szCs w:val="28"/>
        </w:rPr>
      </w:pPr>
      <w:r w:rsidRPr="00F318C1">
        <w:rPr>
          <w:i/>
          <w:szCs w:val="28"/>
        </w:rPr>
        <w:t>По-третє,</w:t>
      </w:r>
      <w:r>
        <w:rPr>
          <w:szCs w:val="28"/>
        </w:rPr>
        <w:t xml:space="preserve"> с</w:t>
      </w:r>
      <w:r w:rsidR="00453045" w:rsidRPr="00453045">
        <w:rPr>
          <w:szCs w:val="28"/>
        </w:rPr>
        <w:t xml:space="preserve">уддям, які обіймають </w:t>
      </w:r>
      <w:r w:rsidR="00453045" w:rsidRPr="00453045">
        <w:rPr>
          <w:i/>
          <w:szCs w:val="28"/>
        </w:rPr>
        <w:t>посади заступника голови суду, секретаря, голови судової палати, секретаря Пленуму Верховного Суду, секретаря Великої Палати Верховного Суду</w:t>
      </w:r>
      <w:r w:rsidR="00453045" w:rsidRPr="00453045">
        <w:rPr>
          <w:szCs w:val="28"/>
        </w:rPr>
        <w:t xml:space="preserve">, виплачується </w:t>
      </w:r>
      <w:r w:rsidR="00453045" w:rsidRPr="00340457">
        <w:rPr>
          <w:i/>
          <w:szCs w:val="28"/>
        </w:rPr>
        <w:t>щомісячна доплата</w:t>
      </w:r>
      <w:r w:rsidR="00453045" w:rsidRPr="00453045">
        <w:rPr>
          <w:i/>
          <w:szCs w:val="28"/>
        </w:rPr>
        <w:t xml:space="preserve"> в розмірі 5 відсотків посадового окладу судді відповідного суду</w:t>
      </w:r>
      <w:r w:rsidR="00453045" w:rsidRPr="00453045">
        <w:rPr>
          <w:szCs w:val="28"/>
        </w:rPr>
        <w:t xml:space="preserve">, </w:t>
      </w:r>
      <w:r w:rsidR="00453045" w:rsidRPr="00453045">
        <w:rPr>
          <w:i/>
          <w:szCs w:val="28"/>
        </w:rPr>
        <w:t>голові суду</w:t>
      </w:r>
      <w:r w:rsidR="00453045" w:rsidRPr="00453045">
        <w:rPr>
          <w:szCs w:val="28"/>
        </w:rPr>
        <w:t xml:space="preserve"> – </w:t>
      </w:r>
      <w:r w:rsidR="00453045" w:rsidRPr="00453045">
        <w:rPr>
          <w:i/>
          <w:szCs w:val="28"/>
        </w:rPr>
        <w:t>10 відсотків посадового окладу судді відповідного суду</w:t>
      </w:r>
      <w:r w:rsidR="00453045" w:rsidRPr="00453045">
        <w:rPr>
          <w:szCs w:val="28"/>
        </w:rPr>
        <w:t>.</w:t>
      </w:r>
    </w:p>
    <w:p w:rsidR="00453045" w:rsidRPr="00453045" w:rsidRDefault="00F318C1" w:rsidP="00453045">
      <w:pPr>
        <w:spacing w:after="0" w:line="240" w:lineRule="auto"/>
        <w:ind w:firstLine="720"/>
        <w:jc w:val="both"/>
        <w:rPr>
          <w:szCs w:val="28"/>
        </w:rPr>
      </w:pPr>
      <w:r w:rsidRPr="00F318C1">
        <w:rPr>
          <w:i/>
          <w:szCs w:val="28"/>
        </w:rPr>
        <w:t>По-четверте</w:t>
      </w:r>
      <w:r>
        <w:rPr>
          <w:szCs w:val="28"/>
        </w:rPr>
        <w:t>, с</w:t>
      </w:r>
      <w:r w:rsidR="00453045" w:rsidRPr="00453045">
        <w:rPr>
          <w:szCs w:val="28"/>
        </w:rPr>
        <w:t xml:space="preserve">уддям виплачується </w:t>
      </w:r>
      <w:r w:rsidR="00453045" w:rsidRPr="00340457">
        <w:rPr>
          <w:i/>
          <w:szCs w:val="28"/>
        </w:rPr>
        <w:t>щомісячна доплата за науковий ступінь</w:t>
      </w:r>
      <w:r w:rsidR="00453045" w:rsidRPr="005C68D9">
        <w:rPr>
          <w:i/>
          <w:szCs w:val="28"/>
        </w:rPr>
        <w:t xml:space="preserve"> </w:t>
      </w:r>
      <w:r w:rsidR="00453045" w:rsidRPr="00453045">
        <w:rPr>
          <w:i/>
          <w:szCs w:val="28"/>
        </w:rPr>
        <w:t>кандидата (доктора філософії) або доктора наук із відповідної спеціальності</w:t>
      </w:r>
      <w:r w:rsidR="00453045" w:rsidRPr="00453045">
        <w:rPr>
          <w:szCs w:val="28"/>
        </w:rPr>
        <w:t xml:space="preserve"> в розмірі </w:t>
      </w:r>
      <w:r w:rsidR="00453045" w:rsidRPr="00453045">
        <w:rPr>
          <w:i/>
          <w:szCs w:val="28"/>
        </w:rPr>
        <w:t>відповідно 15 і 20 відсотків посадового окладу судді відповідного суду</w:t>
      </w:r>
      <w:r w:rsidR="00453045" w:rsidRPr="00453045">
        <w:rPr>
          <w:szCs w:val="28"/>
        </w:rPr>
        <w:t>.</w:t>
      </w:r>
    </w:p>
    <w:p w:rsidR="00453045" w:rsidRDefault="00F318C1" w:rsidP="00453045">
      <w:pPr>
        <w:spacing w:after="0" w:line="240" w:lineRule="auto"/>
        <w:ind w:firstLine="720"/>
        <w:jc w:val="both"/>
        <w:rPr>
          <w:szCs w:val="28"/>
        </w:rPr>
      </w:pPr>
      <w:r w:rsidRPr="00F318C1">
        <w:rPr>
          <w:i/>
          <w:szCs w:val="28"/>
        </w:rPr>
        <w:t>По-п’яте</w:t>
      </w:r>
      <w:r>
        <w:rPr>
          <w:szCs w:val="28"/>
        </w:rPr>
        <w:t>, с</w:t>
      </w:r>
      <w:r w:rsidR="00453045" w:rsidRPr="00453045">
        <w:rPr>
          <w:szCs w:val="28"/>
        </w:rPr>
        <w:t xml:space="preserve">уддям виплачується </w:t>
      </w:r>
      <w:r w:rsidR="00453045" w:rsidRPr="00340457">
        <w:rPr>
          <w:i/>
          <w:szCs w:val="28"/>
        </w:rPr>
        <w:t>щомісячна доплата за роботу, яка передбачає доступ до державної таємниці</w:t>
      </w:r>
      <w:r w:rsidR="00453045" w:rsidRPr="00340457">
        <w:rPr>
          <w:szCs w:val="28"/>
        </w:rPr>
        <w:t>,</w:t>
      </w:r>
      <w:r w:rsidR="00453045" w:rsidRPr="00453045">
        <w:rPr>
          <w:szCs w:val="28"/>
        </w:rPr>
        <w:t xml:space="preserve"> у розмірі залежно від ступеня секретності інформації: відомості та їх носії, що мають ступінь секретності «Цілком таємно», - </w:t>
      </w:r>
      <w:r w:rsidR="00453045" w:rsidRPr="00453045">
        <w:rPr>
          <w:i/>
          <w:szCs w:val="28"/>
        </w:rPr>
        <w:t>10 відсотків посадового окладу судді відповідного суду</w:t>
      </w:r>
      <w:r w:rsidR="00453045" w:rsidRPr="00453045">
        <w:rPr>
          <w:szCs w:val="28"/>
        </w:rPr>
        <w:t xml:space="preserve">; відомості та їх носії, що мають ступінь секретності «Таємно», - </w:t>
      </w:r>
      <w:r w:rsidR="00453045" w:rsidRPr="00453045">
        <w:rPr>
          <w:i/>
          <w:szCs w:val="28"/>
        </w:rPr>
        <w:t>5 відсотків посадового окладу судді відповідного суду</w:t>
      </w:r>
      <w:r w:rsidR="00453045" w:rsidRPr="00453045">
        <w:rPr>
          <w:szCs w:val="28"/>
        </w:rPr>
        <w:t>.</w:t>
      </w:r>
    </w:p>
    <w:p w:rsidR="00B00413" w:rsidRDefault="00F318C1" w:rsidP="00453045">
      <w:pPr>
        <w:spacing w:after="0" w:line="240" w:lineRule="auto"/>
        <w:ind w:firstLine="720"/>
        <w:jc w:val="both"/>
      </w:pPr>
      <w:r>
        <w:rPr>
          <w:szCs w:val="28"/>
        </w:rPr>
        <w:t>При цьому усі зазначені види надбавок та доплат будуть нараховуватися пропорційно до передбаченого законом розміру окладу судді Верховного Суду. Отже, в залежності від вислуги років та інших ел</w:t>
      </w:r>
      <w:r w:rsidR="005C68D9">
        <w:rPr>
          <w:szCs w:val="28"/>
        </w:rPr>
        <w:t>ементів правового статусу судді</w:t>
      </w:r>
      <w:r>
        <w:rPr>
          <w:szCs w:val="28"/>
        </w:rPr>
        <w:t xml:space="preserve"> його щомісячна суддівська винагорода може сягати </w:t>
      </w:r>
      <w:r>
        <w:rPr>
          <w:szCs w:val="28"/>
        </w:rPr>
        <w:br/>
        <w:t xml:space="preserve">більше 500 000 грн. </w:t>
      </w:r>
      <w:r w:rsidR="005C68D9">
        <w:rPr>
          <w:szCs w:val="28"/>
        </w:rPr>
        <w:t>При цьому</w:t>
      </w:r>
      <w:r>
        <w:rPr>
          <w:szCs w:val="28"/>
        </w:rPr>
        <w:t xml:space="preserve"> </w:t>
      </w:r>
      <w:r w:rsidRPr="001D7AD3">
        <w:t xml:space="preserve">за даними Міністерства фінансів України станом на </w:t>
      </w:r>
      <w:r>
        <w:t>листопад</w:t>
      </w:r>
      <w:r w:rsidRPr="001D7AD3">
        <w:t xml:space="preserve"> 2019 року </w:t>
      </w:r>
      <w:r w:rsidRPr="001D7AD3">
        <w:rPr>
          <w:i/>
        </w:rPr>
        <w:t>середня зарплата по Україні</w:t>
      </w:r>
      <w:r w:rsidRPr="001D7AD3">
        <w:t xml:space="preserve"> склада</w:t>
      </w:r>
      <w:r>
        <w:t>ла</w:t>
      </w:r>
      <w:r w:rsidRPr="001D7AD3">
        <w:t xml:space="preserve"> </w:t>
      </w:r>
      <w:r w:rsidR="00340457">
        <w:br/>
      </w:r>
      <w:r w:rsidRPr="00340457">
        <w:t>10 679 грн</w:t>
      </w:r>
      <w:r w:rsidRPr="00340457">
        <w:rPr>
          <w:rStyle w:val="ac"/>
        </w:rPr>
        <w:footnoteReference w:id="1"/>
      </w:r>
      <w:r w:rsidRPr="00340457">
        <w:t>.</w:t>
      </w:r>
      <w:r>
        <w:t xml:space="preserve"> Враховуючи наведене</w:t>
      </w:r>
      <w:r w:rsidR="003D7D30">
        <w:t>,</w:t>
      </w:r>
      <w:r>
        <w:t xml:space="preserve"> вважаємо запропоноване</w:t>
      </w:r>
      <w:r w:rsidR="005C68D9">
        <w:t xml:space="preserve"> у</w:t>
      </w:r>
      <w:r>
        <w:t xml:space="preserve"> проект</w:t>
      </w:r>
      <w:r w:rsidR="005C68D9">
        <w:t>і</w:t>
      </w:r>
      <w:r>
        <w:t xml:space="preserve"> збільшення посадового окладу судді Верховного Суду необґ</w:t>
      </w:r>
      <w:r w:rsidR="006E20E1">
        <w:t>рунтованим законодавчим кроком.</w:t>
      </w:r>
    </w:p>
    <w:p w:rsidR="00385DC6" w:rsidRPr="00453045" w:rsidRDefault="00F318C1" w:rsidP="00B00413">
      <w:pPr>
        <w:spacing w:after="0" w:line="240" w:lineRule="auto"/>
        <w:ind w:firstLine="720"/>
        <w:jc w:val="both"/>
        <w:rPr>
          <w:b/>
          <w:bCs/>
        </w:rPr>
      </w:pPr>
      <w:r>
        <w:t>Крім того, зверта</w:t>
      </w:r>
      <w:r w:rsidR="00B00413">
        <w:t>ємо увагу, що з</w:t>
      </w:r>
      <w:r w:rsidR="00385DC6" w:rsidRPr="00453045">
        <w:t xml:space="preserve">гідно з приписами </w:t>
      </w:r>
      <w:r w:rsidR="00B00413">
        <w:t>ч. 1 ст.</w:t>
      </w:r>
      <w:r w:rsidR="00385DC6" w:rsidRPr="00453045">
        <w:t xml:space="preserve"> 27 Бюджетного кодексу України, якій відповідає зміст </w:t>
      </w:r>
      <w:r w:rsidR="00B00413">
        <w:t>ч. 3 ст.</w:t>
      </w:r>
      <w:r w:rsidR="00385DC6" w:rsidRPr="00453045">
        <w:t xml:space="preserve"> 91 Регламенту Верховної Ради України, до законопроекту, прийняття якого призведе до зміни показників бюджету, суб’єкт права законодавчої ініціативи зобов’язаний додати фінансово-економічне обґрунтування (включаючи відповідні розрахунки). Всупереч вимогам зазначених норм у пояснювальній записці до законопроекту відповідні розрахунки не наводяться.</w:t>
      </w:r>
    </w:p>
    <w:p w:rsidR="00B00413" w:rsidRDefault="005C68D9" w:rsidP="00437AD4">
      <w:pPr>
        <w:pStyle w:val="a3"/>
        <w:ind w:firstLine="709"/>
        <w:rPr>
          <w:rFonts w:ascii="Times New Roman" w:hAnsi="Times New Roman"/>
        </w:rPr>
      </w:pPr>
      <w:r w:rsidRPr="00340457">
        <w:rPr>
          <w:rFonts w:ascii="Times New Roman" w:hAnsi="Times New Roman"/>
          <w:b/>
        </w:rPr>
        <w:t>5</w:t>
      </w:r>
      <w:r w:rsidR="00192952" w:rsidRPr="00340457">
        <w:rPr>
          <w:rFonts w:ascii="Times New Roman" w:hAnsi="Times New Roman"/>
          <w:b/>
        </w:rPr>
        <w:t>.</w:t>
      </w:r>
      <w:r w:rsidR="00192952">
        <w:rPr>
          <w:rFonts w:ascii="Times New Roman" w:hAnsi="Times New Roman"/>
        </w:rPr>
        <w:t xml:space="preserve"> </w:t>
      </w:r>
      <w:r w:rsidR="00B00413">
        <w:rPr>
          <w:rFonts w:ascii="Times New Roman" w:hAnsi="Times New Roman"/>
        </w:rPr>
        <w:t>Частина 1 ст.</w:t>
      </w:r>
      <w:r w:rsidR="00C04CCF">
        <w:rPr>
          <w:rFonts w:ascii="Times New Roman" w:hAnsi="Times New Roman"/>
        </w:rPr>
        <w:t xml:space="preserve"> 44 Закону України «Про Вищу раду правосуддя» містить вичерпний перелік випадків, коли дисциплінарна скарга залишається без </w:t>
      </w:r>
      <w:r w:rsidR="00C04CCF">
        <w:rPr>
          <w:rFonts w:ascii="Times New Roman" w:hAnsi="Times New Roman"/>
        </w:rPr>
        <w:lastRenderedPageBreak/>
        <w:t xml:space="preserve">розгляду та повертається скаржнику. </w:t>
      </w:r>
      <w:r w:rsidR="00437AD4">
        <w:rPr>
          <w:rFonts w:ascii="Times New Roman" w:hAnsi="Times New Roman"/>
        </w:rPr>
        <w:t xml:space="preserve">Зазначені наслідки мають місце якщо: </w:t>
      </w:r>
      <w:r w:rsidR="00B00413">
        <w:rPr>
          <w:rFonts w:ascii="Times New Roman" w:hAnsi="Times New Roman"/>
        </w:rPr>
        <w:br/>
      </w:r>
      <w:r w:rsidR="00437AD4" w:rsidRPr="00437AD4">
        <w:rPr>
          <w:rFonts w:ascii="Times New Roman" w:hAnsi="Times New Roman"/>
        </w:rPr>
        <w:t xml:space="preserve">1) дисциплінарна скарга подана з порушенням порядку, визначеного Законом України </w:t>
      </w:r>
      <w:r w:rsidR="00437AD4">
        <w:rPr>
          <w:rFonts w:ascii="Times New Roman" w:hAnsi="Times New Roman"/>
        </w:rPr>
        <w:t xml:space="preserve">«Про судоустрій і статус суддів»; </w:t>
      </w:r>
      <w:r w:rsidR="00437AD4" w:rsidRPr="00437AD4">
        <w:rPr>
          <w:rFonts w:ascii="Times New Roman" w:hAnsi="Times New Roman"/>
        </w:rPr>
        <w:t>2) дисциплінарна скарга не містить відомостей про ознаки дисциплінарного проступку судді;</w:t>
      </w:r>
      <w:r w:rsidR="00437AD4">
        <w:rPr>
          <w:rFonts w:ascii="Times New Roman" w:hAnsi="Times New Roman"/>
        </w:rPr>
        <w:t xml:space="preserve"> </w:t>
      </w:r>
      <w:r w:rsidR="00437AD4" w:rsidRPr="00437AD4">
        <w:rPr>
          <w:rFonts w:ascii="Times New Roman" w:hAnsi="Times New Roman"/>
        </w:rPr>
        <w:t>3) дисциплінарна скарга не містить посилання на фактичні дані (свідчення, докази) щодо дисциплінарного проступку судді;</w:t>
      </w:r>
      <w:r w:rsidR="00437AD4">
        <w:rPr>
          <w:rFonts w:ascii="Times New Roman" w:hAnsi="Times New Roman"/>
        </w:rPr>
        <w:t xml:space="preserve"> </w:t>
      </w:r>
      <w:r w:rsidR="00437AD4" w:rsidRPr="00437AD4">
        <w:rPr>
          <w:rFonts w:ascii="Times New Roman" w:hAnsi="Times New Roman"/>
        </w:rPr>
        <w:t>4) дисциплінарна скарга містить виражені у непристойній формі висловлювання або висловлювання, що принижують честь і гідність будь-якої особи;</w:t>
      </w:r>
      <w:r w:rsidR="00437AD4">
        <w:rPr>
          <w:rFonts w:ascii="Times New Roman" w:hAnsi="Times New Roman"/>
        </w:rPr>
        <w:t xml:space="preserve"> </w:t>
      </w:r>
      <w:r w:rsidR="00437AD4" w:rsidRPr="00437AD4">
        <w:rPr>
          <w:rFonts w:ascii="Times New Roman" w:hAnsi="Times New Roman"/>
        </w:rPr>
        <w:t>5) у дисциплінарній скарзі порушується питання про притягнення до дисциплінарної відповідальності судді, звільненого з посади або повноваження якого припинені;</w:t>
      </w:r>
      <w:r w:rsidR="00437AD4">
        <w:rPr>
          <w:rFonts w:ascii="Times New Roman" w:hAnsi="Times New Roman"/>
        </w:rPr>
        <w:t xml:space="preserve"> </w:t>
      </w:r>
      <w:r w:rsidR="00437AD4" w:rsidRPr="00437AD4">
        <w:rPr>
          <w:rFonts w:ascii="Times New Roman" w:hAnsi="Times New Roman"/>
        </w:rPr>
        <w:t>6) дисциплінарна скарга ґрунтується лише на доводах, що можуть бути перевірені виключно судом вищої інстанції в порядку, передбаченому процесуальним законом.</w:t>
      </w:r>
    </w:p>
    <w:p w:rsidR="00AD2EB1" w:rsidRDefault="005C68D9" w:rsidP="00437AD4">
      <w:pPr>
        <w:pStyle w:val="a3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У п</w:t>
      </w:r>
      <w:r w:rsidR="00917B46">
        <w:rPr>
          <w:rFonts w:ascii="Times New Roman" w:hAnsi="Times New Roman"/>
        </w:rPr>
        <w:t>роект</w:t>
      </w:r>
      <w:r>
        <w:rPr>
          <w:rFonts w:ascii="Times New Roman" w:hAnsi="Times New Roman"/>
        </w:rPr>
        <w:t>і</w:t>
      </w:r>
      <w:r w:rsidR="00917B46">
        <w:rPr>
          <w:rFonts w:ascii="Times New Roman" w:hAnsi="Times New Roman"/>
        </w:rPr>
        <w:t xml:space="preserve"> пропонується доповнити наведений перелік, зазначивши, що дисциплінарна скарга залишається також без розгляду та повертається скаржнику, </w:t>
      </w:r>
      <w:r w:rsidR="00917B46" w:rsidRPr="00B00413">
        <w:rPr>
          <w:rFonts w:ascii="Times New Roman" w:hAnsi="Times New Roman"/>
          <w:i/>
        </w:rPr>
        <w:t>якщо вона не підписана чи не містить прізвища, імені, по батькові скаржника або судді, місця проживання (місця перебування, місцезнаходження) скаржника</w:t>
      </w:r>
      <w:r w:rsidR="00917B46">
        <w:rPr>
          <w:rFonts w:ascii="Times New Roman" w:hAnsi="Times New Roman"/>
        </w:rPr>
        <w:t xml:space="preserve"> (</w:t>
      </w:r>
      <w:r w:rsidR="00B00413">
        <w:rPr>
          <w:rFonts w:ascii="Times New Roman" w:hAnsi="Times New Roman"/>
        </w:rPr>
        <w:t xml:space="preserve">див. </w:t>
      </w:r>
      <w:r w:rsidR="00917B46">
        <w:rPr>
          <w:rFonts w:ascii="Times New Roman" w:hAnsi="Times New Roman"/>
        </w:rPr>
        <w:t>п. 1 ч. 1 ст. 44 Закону України «Про Вищу раду</w:t>
      </w:r>
      <w:r w:rsidR="00B00413">
        <w:rPr>
          <w:rFonts w:ascii="Times New Roman" w:hAnsi="Times New Roman"/>
        </w:rPr>
        <w:t xml:space="preserve"> правосуддя» в редакції проекту)</w:t>
      </w:r>
      <w:r w:rsidR="00917B46">
        <w:rPr>
          <w:rFonts w:ascii="Times New Roman" w:hAnsi="Times New Roman"/>
        </w:rPr>
        <w:t>. Зазначена пропозиція</w:t>
      </w:r>
      <w:r w:rsidR="00B00413">
        <w:rPr>
          <w:rFonts w:ascii="Times New Roman" w:hAnsi="Times New Roman"/>
        </w:rPr>
        <w:t>, на наш погляд,</w:t>
      </w:r>
      <w:r w:rsidR="00917B46">
        <w:rPr>
          <w:rFonts w:ascii="Times New Roman" w:hAnsi="Times New Roman"/>
        </w:rPr>
        <w:t xml:space="preserve"> суперечить </w:t>
      </w:r>
      <w:r w:rsidR="00B00413">
        <w:rPr>
          <w:rFonts w:ascii="Times New Roman" w:hAnsi="Times New Roman"/>
        </w:rPr>
        <w:t xml:space="preserve">вимогам </w:t>
      </w:r>
      <w:r w:rsidR="00917B46">
        <w:rPr>
          <w:rFonts w:ascii="Times New Roman" w:hAnsi="Times New Roman"/>
        </w:rPr>
        <w:t xml:space="preserve">ч. 1 ст. 42 </w:t>
      </w:r>
      <w:r>
        <w:rPr>
          <w:rFonts w:ascii="Times New Roman" w:hAnsi="Times New Roman"/>
        </w:rPr>
        <w:t>згаданого вище</w:t>
      </w:r>
      <w:r w:rsidR="00917B46">
        <w:rPr>
          <w:rFonts w:ascii="Times New Roman" w:hAnsi="Times New Roman"/>
        </w:rPr>
        <w:t xml:space="preserve"> </w:t>
      </w:r>
      <w:r w:rsidR="00B00413">
        <w:rPr>
          <w:rFonts w:ascii="Times New Roman" w:hAnsi="Times New Roman"/>
        </w:rPr>
        <w:t>З</w:t>
      </w:r>
      <w:r w:rsidR="00917B46">
        <w:rPr>
          <w:rFonts w:ascii="Times New Roman" w:hAnsi="Times New Roman"/>
        </w:rPr>
        <w:t xml:space="preserve">акону, відповідно до якої </w:t>
      </w:r>
      <w:r w:rsidR="00E039E4">
        <w:rPr>
          <w:rFonts w:ascii="Times New Roman" w:hAnsi="Times New Roman"/>
        </w:rPr>
        <w:t>серед</w:t>
      </w:r>
      <w:r w:rsidR="00917B46">
        <w:rPr>
          <w:rFonts w:ascii="Times New Roman" w:hAnsi="Times New Roman"/>
        </w:rPr>
        <w:t xml:space="preserve"> підстав початку дисциплінарного провадження є </w:t>
      </w:r>
      <w:r w:rsidR="00917B46" w:rsidRPr="00E039E4">
        <w:rPr>
          <w:rFonts w:ascii="Times New Roman" w:hAnsi="Times New Roman"/>
          <w:i/>
        </w:rPr>
        <w:t xml:space="preserve">самостійне виявлення членами Вищої ради правосуддя </w:t>
      </w:r>
      <w:r w:rsidR="00917B46" w:rsidRPr="00340457">
        <w:rPr>
          <w:rFonts w:ascii="Times New Roman" w:hAnsi="Times New Roman"/>
          <w:i/>
        </w:rPr>
        <w:t>з будь-якого джерела</w:t>
      </w:r>
      <w:r w:rsidR="00917B46" w:rsidRPr="00E039E4">
        <w:rPr>
          <w:rFonts w:ascii="Times New Roman" w:hAnsi="Times New Roman"/>
          <w:i/>
        </w:rPr>
        <w:t xml:space="preserve"> обставин</w:t>
      </w:r>
      <w:r w:rsidR="00917B46" w:rsidRPr="00917B46">
        <w:rPr>
          <w:rFonts w:ascii="Times New Roman" w:hAnsi="Times New Roman"/>
        </w:rPr>
        <w:t>, що можуть свідчити про вчинення суддею дисциплінарного проступку, або за ініціативою Дисциплінарної палати, Комісії з питань доброчесності та етики чи Вищої кваліфікаційної комісії суддів України</w:t>
      </w:r>
      <w:r w:rsidR="00E039E4">
        <w:rPr>
          <w:rFonts w:ascii="Times New Roman" w:hAnsi="Times New Roman"/>
        </w:rPr>
        <w:t xml:space="preserve"> у випадках, визначених законом. </w:t>
      </w:r>
      <w:r w:rsidR="00111953">
        <w:rPr>
          <w:rFonts w:ascii="Times New Roman" w:hAnsi="Times New Roman"/>
        </w:rPr>
        <w:t>Зокрема, за умови самостійного виявлення членом Вищої ради правосуддя з певного джерела обставин, що можуть свідчити про вчинення суддею дисциплінарного проступку</w:t>
      </w:r>
      <w:r>
        <w:rPr>
          <w:rFonts w:ascii="Times New Roman" w:hAnsi="Times New Roman"/>
        </w:rPr>
        <w:t>,</w:t>
      </w:r>
      <w:r w:rsidR="00111953">
        <w:rPr>
          <w:rFonts w:ascii="Times New Roman" w:hAnsi="Times New Roman"/>
        </w:rPr>
        <w:t xml:space="preserve"> незрозуміл</w:t>
      </w:r>
      <w:r>
        <w:rPr>
          <w:rFonts w:ascii="Times New Roman" w:hAnsi="Times New Roman"/>
        </w:rPr>
        <w:t>о</w:t>
      </w:r>
      <w:r w:rsidR="00111953">
        <w:rPr>
          <w:rFonts w:ascii="Times New Roman" w:hAnsi="Times New Roman"/>
        </w:rPr>
        <w:t xml:space="preserve">, кого </w:t>
      </w:r>
      <w:r w:rsidR="00B00413">
        <w:rPr>
          <w:rFonts w:ascii="Times New Roman" w:hAnsi="Times New Roman"/>
        </w:rPr>
        <w:t xml:space="preserve">саме </w:t>
      </w:r>
      <w:r w:rsidR="00111953">
        <w:rPr>
          <w:rFonts w:ascii="Times New Roman" w:hAnsi="Times New Roman"/>
        </w:rPr>
        <w:t xml:space="preserve">слід </w:t>
      </w:r>
      <w:r w:rsidR="00B00413">
        <w:rPr>
          <w:rFonts w:ascii="Times New Roman" w:hAnsi="Times New Roman"/>
        </w:rPr>
        <w:t>в</w:t>
      </w:r>
      <w:r w:rsidR="00111953">
        <w:rPr>
          <w:rFonts w:ascii="Times New Roman" w:hAnsi="Times New Roman"/>
        </w:rPr>
        <w:t>казати в якості скаржника.</w:t>
      </w:r>
    </w:p>
    <w:p w:rsidR="006B00ED" w:rsidRPr="00B00413" w:rsidRDefault="005C68D9" w:rsidP="00B00413">
      <w:pPr>
        <w:pStyle w:val="a3"/>
        <w:ind w:firstLine="709"/>
        <w:rPr>
          <w:rFonts w:ascii="Times New Roman" w:hAnsi="Times New Roman" w:cs="Times New Roman"/>
        </w:rPr>
      </w:pPr>
      <w:r w:rsidRPr="00340457">
        <w:rPr>
          <w:rFonts w:ascii="Times New Roman" w:hAnsi="Times New Roman" w:cs="Times New Roman"/>
          <w:b/>
        </w:rPr>
        <w:t>6</w:t>
      </w:r>
      <w:r w:rsidR="00B00413" w:rsidRPr="00340457">
        <w:rPr>
          <w:rFonts w:ascii="Times New Roman" w:hAnsi="Times New Roman" w:cs="Times New Roman"/>
          <w:b/>
        </w:rPr>
        <w:t>.</w:t>
      </w:r>
      <w:r w:rsidR="00B00413" w:rsidRPr="00B00413">
        <w:rPr>
          <w:rFonts w:ascii="Times New Roman" w:hAnsi="Times New Roman" w:cs="Times New Roman"/>
        </w:rPr>
        <w:t xml:space="preserve"> Законопроект містить також інші неточності та суперечності. Однак, </w:t>
      </w:r>
      <w:r w:rsidR="00B00413">
        <w:rPr>
          <w:rFonts w:ascii="Times New Roman" w:hAnsi="Times New Roman" w:cs="Times New Roman"/>
        </w:rPr>
        <w:t>в</w:t>
      </w:r>
      <w:r w:rsidR="00850A13" w:rsidRPr="00B00413">
        <w:rPr>
          <w:rFonts w:ascii="Times New Roman" w:hAnsi="Times New Roman" w:cs="Times New Roman"/>
        </w:rPr>
        <w:t xml:space="preserve">раховуючи </w:t>
      </w:r>
      <w:r w:rsidR="00B00413">
        <w:rPr>
          <w:rFonts w:ascii="Times New Roman" w:hAnsi="Times New Roman" w:cs="Times New Roman"/>
        </w:rPr>
        <w:t>наведені вище суттєві концептуальні</w:t>
      </w:r>
      <w:r w:rsidR="00732436" w:rsidRPr="00B00413">
        <w:rPr>
          <w:rFonts w:ascii="Times New Roman" w:hAnsi="Times New Roman" w:cs="Times New Roman"/>
        </w:rPr>
        <w:t xml:space="preserve"> </w:t>
      </w:r>
      <w:r w:rsidR="00B00413">
        <w:rPr>
          <w:rFonts w:ascii="Times New Roman" w:hAnsi="Times New Roman" w:cs="Times New Roman"/>
        </w:rPr>
        <w:t>зауваження</w:t>
      </w:r>
      <w:r w:rsidR="00732436" w:rsidRPr="00B00413">
        <w:rPr>
          <w:rFonts w:ascii="Times New Roman" w:hAnsi="Times New Roman" w:cs="Times New Roman"/>
        </w:rPr>
        <w:t xml:space="preserve"> до </w:t>
      </w:r>
      <w:r w:rsidR="00B00413">
        <w:rPr>
          <w:rFonts w:ascii="Times New Roman" w:hAnsi="Times New Roman" w:cs="Times New Roman"/>
        </w:rPr>
        <w:t>його змісту</w:t>
      </w:r>
      <w:r w:rsidR="00850A13" w:rsidRPr="00B00413">
        <w:rPr>
          <w:rFonts w:ascii="Times New Roman" w:hAnsi="Times New Roman" w:cs="Times New Roman"/>
        </w:rPr>
        <w:t xml:space="preserve"> висловлення </w:t>
      </w:r>
      <w:r w:rsidR="00B00413">
        <w:rPr>
          <w:rFonts w:ascii="Times New Roman" w:hAnsi="Times New Roman" w:cs="Times New Roman"/>
        </w:rPr>
        <w:t xml:space="preserve">менш важливих зауважень (наприклад, щодо </w:t>
      </w:r>
      <w:r>
        <w:rPr>
          <w:rFonts w:ascii="Times New Roman" w:hAnsi="Times New Roman" w:cs="Times New Roman"/>
        </w:rPr>
        <w:t>недодержання</w:t>
      </w:r>
      <w:r w:rsidR="00B00413">
        <w:rPr>
          <w:rFonts w:ascii="Times New Roman" w:hAnsi="Times New Roman" w:cs="Times New Roman"/>
        </w:rPr>
        <w:t xml:space="preserve"> правил законодавчої техніки) </w:t>
      </w:r>
      <w:r w:rsidR="00732436" w:rsidRPr="00B00413">
        <w:rPr>
          <w:rFonts w:ascii="Times New Roman" w:hAnsi="Times New Roman" w:cs="Times New Roman"/>
        </w:rPr>
        <w:t>є недоцільним.</w:t>
      </w:r>
    </w:p>
    <w:p w:rsidR="00732436" w:rsidRPr="00B00413" w:rsidRDefault="00732436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732436" w:rsidRDefault="00732436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>Узагальнюючий висновок: за результатами розгляду у першому читанні законопроект доцільно відхил</w:t>
      </w:r>
      <w:r w:rsidR="00D75EEC" w:rsidRPr="006409B0">
        <w:rPr>
          <w:rFonts w:eastAsia="Times New Roman"/>
          <w:szCs w:val="28"/>
          <w:lang w:eastAsia="ru-RU"/>
        </w:rPr>
        <w:t>ити.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340457" w:rsidRDefault="00340457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E39" w:rsidRDefault="006C7E39" w:rsidP="004B0A41">
      <w:pPr>
        <w:spacing w:after="0" w:line="240" w:lineRule="auto"/>
      </w:pPr>
      <w:r>
        <w:separator/>
      </w:r>
    </w:p>
  </w:endnote>
  <w:endnote w:type="continuationSeparator" w:id="0">
    <w:p w:rsidR="006C7E39" w:rsidRDefault="006C7E39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F03F9">
      <w:rPr>
        <w:rStyle w:val="a9"/>
        <w:noProof/>
      </w:rPr>
      <w:t>5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E39" w:rsidRDefault="006C7E39" w:rsidP="004B0A41">
      <w:pPr>
        <w:spacing w:after="0" w:line="240" w:lineRule="auto"/>
      </w:pPr>
      <w:r>
        <w:separator/>
      </w:r>
    </w:p>
  </w:footnote>
  <w:footnote w:type="continuationSeparator" w:id="0">
    <w:p w:rsidR="006C7E39" w:rsidRDefault="006C7E39" w:rsidP="004B0A41">
      <w:pPr>
        <w:spacing w:after="0" w:line="240" w:lineRule="auto"/>
      </w:pPr>
      <w:r>
        <w:continuationSeparator/>
      </w:r>
    </w:p>
  </w:footnote>
  <w:footnote w:id="1">
    <w:p w:rsidR="00F318C1" w:rsidRPr="00011B8B" w:rsidRDefault="00F318C1" w:rsidP="00F318C1">
      <w:pPr>
        <w:pStyle w:val="aa"/>
        <w:spacing w:after="0" w:line="240" w:lineRule="auto"/>
      </w:pPr>
      <w:r>
        <w:rPr>
          <w:rStyle w:val="ac"/>
        </w:rPr>
        <w:footnoteRef/>
      </w:r>
      <w:r>
        <w:t xml:space="preserve"> Мінфін. </w:t>
      </w:r>
      <w:r w:rsidRPr="001F27CA">
        <w:t>Середня зарплата в Україні</w:t>
      </w:r>
      <w:r>
        <w:t xml:space="preserve">. </w:t>
      </w:r>
      <w:r>
        <w:rPr>
          <w:lang w:val="en-US"/>
        </w:rPr>
        <w:t>URL</w:t>
      </w:r>
      <w:r>
        <w:t xml:space="preserve">: </w:t>
      </w:r>
      <w:r w:rsidRPr="00011B8B">
        <w:t>https://index.minfin.com.ua/ua/labour/salary/average/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15315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86471">
      <w:rPr>
        <w:sz w:val="20"/>
        <w:szCs w:val="20"/>
      </w:rPr>
      <w:t>2692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486471">
      <w:rPr>
        <w:sz w:val="20"/>
        <w:szCs w:val="20"/>
      </w:rPr>
      <w:t>2</w:t>
    </w:r>
    <w:r w:rsidR="00AA54D7" w:rsidRPr="009B655C">
      <w:rPr>
        <w:sz w:val="20"/>
        <w:szCs w:val="20"/>
      </w:rPr>
      <w:t>7</w:t>
    </w:r>
    <w:r w:rsidR="00111235" w:rsidRPr="009B655C">
      <w:rPr>
        <w:sz w:val="20"/>
        <w:szCs w:val="20"/>
      </w:rPr>
      <w:t>.12</w:t>
    </w:r>
    <w:r w:rsidR="004B0A41" w:rsidRPr="009B655C">
      <w:rPr>
        <w:sz w:val="20"/>
        <w:szCs w:val="20"/>
      </w:rPr>
      <w:t>.201</w:t>
    </w:r>
    <w:r w:rsidR="006C0813" w:rsidRPr="009B655C">
      <w:rPr>
        <w:sz w:val="20"/>
        <w:szCs w:val="20"/>
      </w:rPr>
      <w:t>9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</w:t>
    </w:r>
    <w:r w:rsidR="00486471">
      <w:rPr>
        <w:sz w:val="20"/>
        <w:szCs w:val="20"/>
      </w:rPr>
      <w:t>О. Макаров, С. Власенко, Я. Юрчишин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0F52"/>
    <w:rsid w:val="00004E8C"/>
    <w:rsid w:val="000070A1"/>
    <w:rsid w:val="00012D35"/>
    <w:rsid w:val="0001342E"/>
    <w:rsid w:val="00013C40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4EF0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4A54"/>
    <w:rsid w:val="000D6E24"/>
    <w:rsid w:val="000E02B5"/>
    <w:rsid w:val="000E1FF1"/>
    <w:rsid w:val="000E20A9"/>
    <w:rsid w:val="000E2F8C"/>
    <w:rsid w:val="000E52BD"/>
    <w:rsid w:val="000E71A7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1953"/>
    <w:rsid w:val="001120E7"/>
    <w:rsid w:val="001121CC"/>
    <w:rsid w:val="0011294E"/>
    <w:rsid w:val="00116155"/>
    <w:rsid w:val="00116FEA"/>
    <w:rsid w:val="0012301C"/>
    <w:rsid w:val="00127D71"/>
    <w:rsid w:val="00127EF2"/>
    <w:rsid w:val="00130FDC"/>
    <w:rsid w:val="00132260"/>
    <w:rsid w:val="001324A9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14A9"/>
    <w:rsid w:val="00162CB1"/>
    <w:rsid w:val="0016719D"/>
    <w:rsid w:val="00172737"/>
    <w:rsid w:val="0017318E"/>
    <w:rsid w:val="0017359A"/>
    <w:rsid w:val="00176EB9"/>
    <w:rsid w:val="00185D58"/>
    <w:rsid w:val="00185F4A"/>
    <w:rsid w:val="001918FD"/>
    <w:rsid w:val="001920E8"/>
    <w:rsid w:val="00192952"/>
    <w:rsid w:val="0019701E"/>
    <w:rsid w:val="001A0C31"/>
    <w:rsid w:val="001A2A4C"/>
    <w:rsid w:val="001A30D8"/>
    <w:rsid w:val="001A6340"/>
    <w:rsid w:val="001B29B2"/>
    <w:rsid w:val="001B37FF"/>
    <w:rsid w:val="001B3DFB"/>
    <w:rsid w:val="001B3FF1"/>
    <w:rsid w:val="001B5CCA"/>
    <w:rsid w:val="001B6DC3"/>
    <w:rsid w:val="001C050A"/>
    <w:rsid w:val="001C11BB"/>
    <w:rsid w:val="001C2B0C"/>
    <w:rsid w:val="001C3BBA"/>
    <w:rsid w:val="001C46BF"/>
    <w:rsid w:val="001C67FD"/>
    <w:rsid w:val="001C77C7"/>
    <w:rsid w:val="001D0C38"/>
    <w:rsid w:val="001E07AF"/>
    <w:rsid w:val="001E205C"/>
    <w:rsid w:val="001E2827"/>
    <w:rsid w:val="001E2FE5"/>
    <w:rsid w:val="001E40F2"/>
    <w:rsid w:val="001F1023"/>
    <w:rsid w:val="001F35A3"/>
    <w:rsid w:val="001F3763"/>
    <w:rsid w:val="001F3C31"/>
    <w:rsid w:val="001F4486"/>
    <w:rsid w:val="001F5F59"/>
    <w:rsid w:val="001F7366"/>
    <w:rsid w:val="002018D4"/>
    <w:rsid w:val="00201CED"/>
    <w:rsid w:val="00201F59"/>
    <w:rsid w:val="00204CC5"/>
    <w:rsid w:val="00205FFA"/>
    <w:rsid w:val="0021422C"/>
    <w:rsid w:val="002208D9"/>
    <w:rsid w:val="00220D1C"/>
    <w:rsid w:val="00221A83"/>
    <w:rsid w:val="00223A3E"/>
    <w:rsid w:val="00230181"/>
    <w:rsid w:val="0023074D"/>
    <w:rsid w:val="00233A09"/>
    <w:rsid w:val="002363D2"/>
    <w:rsid w:val="002368C4"/>
    <w:rsid w:val="002414BC"/>
    <w:rsid w:val="00241813"/>
    <w:rsid w:val="002419B2"/>
    <w:rsid w:val="0024207D"/>
    <w:rsid w:val="002423B3"/>
    <w:rsid w:val="00244A44"/>
    <w:rsid w:val="00245391"/>
    <w:rsid w:val="00245B8D"/>
    <w:rsid w:val="00252701"/>
    <w:rsid w:val="00254E0E"/>
    <w:rsid w:val="002568AF"/>
    <w:rsid w:val="00263FC2"/>
    <w:rsid w:val="00264C21"/>
    <w:rsid w:val="00270062"/>
    <w:rsid w:val="002711CF"/>
    <w:rsid w:val="002712E6"/>
    <w:rsid w:val="0027336F"/>
    <w:rsid w:val="00275040"/>
    <w:rsid w:val="00275053"/>
    <w:rsid w:val="00281549"/>
    <w:rsid w:val="002819AC"/>
    <w:rsid w:val="00283C98"/>
    <w:rsid w:val="00283E8B"/>
    <w:rsid w:val="002855D7"/>
    <w:rsid w:val="00285DEB"/>
    <w:rsid w:val="00287237"/>
    <w:rsid w:val="00287E13"/>
    <w:rsid w:val="00292947"/>
    <w:rsid w:val="00294449"/>
    <w:rsid w:val="0029446F"/>
    <w:rsid w:val="002968D4"/>
    <w:rsid w:val="00297286"/>
    <w:rsid w:val="002979D6"/>
    <w:rsid w:val="002A0367"/>
    <w:rsid w:val="002A19A7"/>
    <w:rsid w:val="002A1A7A"/>
    <w:rsid w:val="002A4E77"/>
    <w:rsid w:val="002A568B"/>
    <w:rsid w:val="002A6C19"/>
    <w:rsid w:val="002A6DCE"/>
    <w:rsid w:val="002A7127"/>
    <w:rsid w:val="002B45F5"/>
    <w:rsid w:val="002B498C"/>
    <w:rsid w:val="002B4EC6"/>
    <w:rsid w:val="002B6C61"/>
    <w:rsid w:val="002C0B9B"/>
    <w:rsid w:val="002C6AE9"/>
    <w:rsid w:val="002D424C"/>
    <w:rsid w:val="002D43ED"/>
    <w:rsid w:val="002D6F01"/>
    <w:rsid w:val="002D7D2D"/>
    <w:rsid w:val="002E1B87"/>
    <w:rsid w:val="002E1F5F"/>
    <w:rsid w:val="002E37E4"/>
    <w:rsid w:val="002E3DAB"/>
    <w:rsid w:val="002E6110"/>
    <w:rsid w:val="002E6D0E"/>
    <w:rsid w:val="002F028E"/>
    <w:rsid w:val="002F142D"/>
    <w:rsid w:val="002F14F7"/>
    <w:rsid w:val="002F1520"/>
    <w:rsid w:val="002F1E4E"/>
    <w:rsid w:val="002F2B8E"/>
    <w:rsid w:val="002F5755"/>
    <w:rsid w:val="00301704"/>
    <w:rsid w:val="003060A0"/>
    <w:rsid w:val="003061D5"/>
    <w:rsid w:val="00310095"/>
    <w:rsid w:val="00312CA4"/>
    <w:rsid w:val="00312E17"/>
    <w:rsid w:val="00313C55"/>
    <w:rsid w:val="003156D5"/>
    <w:rsid w:val="00317F08"/>
    <w:rsid w:val="00321D92"/>
    <w:rsid w:val="00322259"/>
    <w:rsid w:val="00322876"/>
    <w:rsid w:val="0032336D"/>
    <w:rsid w:val="003238F7"/>
    <w:rsid w:val="003265AF"/>
    <w:rsid w:val="003277E9"/>
    <w:rsid w:val="00330C16"/>
    <w:rsid w:val="00332991"/>
    <w:rsid w:val="00333B7E"/>
    <w:rsid w:val="00334DDB"/>
    <w:rsid w:val="00335C8F"/>
    <w:rsid w:val="0033797B"/>
    <w:rsid w:val="00337CBD"/>
    <w:rsid w:val="00340457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3988"/>
    <w:rsid w:val="00374A0C"/>
    <w:rsid w:val="003771A7"/>
    <w:rsid w:val="00381374"/>
    <w:rsid w:val="00381565"/>
    <w:rsid w:val="0038320F"/>
    <w:rsid w:val="00385DC6"/>
    <w:rsid w:val="003868D8"/>
    <w:rsid w:val="00387A7C"/>
    <w:rsid w:val="00391940"/>
    <w:rsid w:val="003929B4"/>
    <w:rsid w:val="0039468E"/>
    <w:rsid w:val="0039475A"/>
    <w:rsid w:val="00396788"/>
    <w:rsid w:val="003A293E"/>
    <w:rsid w:val="003A42AF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D7D30"/>
    <w:rsid w:val="003E482B"/>
    <w:rsid w:val="003F03F9"/>
    <w:rsid w:val="003F0506"/>
    <w:rsid w:val="003F08E6"/>
    <w:rsid w:val="003F1D69"/>
    <w:rsid w:val="003F4E96"/>
    <w:rsid w:val="003F7206"/>
    <w:rsid w:val="004022D1"/>
    <w:rsid w:val="0040589F"/>
    <w:rsid w:val="004068BF"/>
    <w:rsid w:val="00410815"/>
    <w:rsid w:val="00411D09"/>
    <w:rsid w:val="00411E83"/>
    <w:rsid w:val="00413E3D"/>
    <w:rsid w:val="00415315"/>
    <w:rsid w:val="0041576E"/>
    <w:rsid w:val="00422290"/>
    <w:rsid w:val="004267B5"/>
    <w:rsid w:val="00426F1C"/>
    <w:rsid w:val="00427550"/>
    <w:rsid w:val="00431390"/>
    <w:rsid w:val="00432A7E"/>
    <w:rsid w:val="00433922"/>
    <w:rsid w:val="00434085"/>
    <w:rsid w:val="00435A1D"/>
    <w:rsid w:val="00437AD4"/>
    <w:rsid w:val="004419B7"/>
    <w:rsid w:val="00441CC1"/>
    <w:rsid w:val="0044351A"/>
    <w:rsid w:val="0044408D"/>
    <w:rsid w:val="00446430"/>
    <w:rsid w:val="00446F33"/>
    <w:rsid w:val="00452224"/>
    <w:rsid w:val="00452925"/>
    <w:rsid w:val="00452C75"/>
    <w:rsid w:val="00453045"/>
    <w:rsid w:val="00453358"/>
    <w:rsid w:val="004543A0"/>
    <w:rsid w:val="00457DAF"/>
    <w:rsid w:val="00461BF2"/>
    <w:rsid w:val="00463CE3"/>
    <w:rsid w:val="00464C2A"/>
    <w:rsid w:val="00470081"/>
    <w:rsid w:val="00473E99"/>
    <w:rsid w:val="00473EB7"/>
    <w:rsid w:val="00474458"/>
    <w:rsid w:val="00481D50"/>
    <w:rsid w:val="00486471"/>
    <w:rsid w:val="00486C3B"/>
    <w:rsid w:val="004947F6"/>
    <w:rsid w:val="00494C21"/>
    <w:rsid w:val="0049538F"/>
    <w:rsid w:val="00495C73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16437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3DD5"/>
    <w:rsid w:val="005543CE"/>
    <w:rsid w:val="00554BED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C68D9"/>
    <w:rsid w:val="005D0E5D"/>
    <w:rsid w:val="005D1FE8"/>
    <w:rsid w:val="005D25F5"/>
    <w:rsid w:val="005D38D5"/>
    <w:rsid w:val="005D5F49"/>
    <w:rsid w:val="005D6B1C"/>
    <w:rsid w:val="005E019C"/>
    <w:rsid w:val="005E033E"/>
    <w:rsid w:val="005E3FEA"/>
    <w:rsid w:val="005E5D6D"/>
    <w:rsid w:val="005E60B7"/>
    <w:rsid w:val="005E7760"/>
    <w:rsid w:val="005F1D27"/>
    <w:rsid w:val="005F254C"/>
    <w:rsid w:val="005F3446"/>
    <w:rsid w:val="005F49C4"/>
    <w:rsid w:val="005F5D19"/>
    <w:rsid w:val="005F75E2"/>
    <w:rsid w:val="00601C3E"/>
    <w:rsid w:val="0060235B"/>
    <w:rsid w:val="006075F1"/>
    <w:rsid w:val="006113F9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853E2"/>
    <w:rsid w:val="006939E8"/>
    <w:rsid w:val="00694CF8"/>
    <w:rsid w:val="0069707C"/>
    <w:rsid w:val="00697F0D"/>
    <w:rsid w:val="006A15DF"/>
    <w:rsid w:val="006A1AFD"/>
    <w:rsid w:val="006A2782"/>
    <w:rsid w:val="006A2F4B"/>
    <w:rsid w:val="006B00ED"/>
    <w:rsid w:val="006B1EAC"/>
    <w:rsid w:val="006B3190"/>
    <w:rsid w:val="006B543A"/>
    <w:rsid w:val="006B7E99"/>
    <w:rsid w:val="006C0813"/>
    <w:rsid w:val="006C15ED"/>
    <w:rsid w:val="006C1D57"/>
    <w:rsid w:val="006C3303"/>
    <w:rsid w:val="006C495A"/>
    <w:rsid w:val="006C746E"/>
    <w:rsid w:val="006C7E39"/>
    <w:rsid w:val="006D2A38"/>
    <w:rsid w:val="006D3152"/>
    <w:rsid w:val="006D6D33"/>
    <w:rsid w:val="006E0309"/>
    <w:rsid w:val="006E198F"/>
    <w:rsid w:val="006E20E1"/>
    <w:rsid w:val="006E696E"/>
    <w:rsid w:val="006E6EC9"/>
    <w:rsid w:val="006F2E41"/>
    <w:rsid w:val="006F71B6"/>
    <w:rsid w:val="006F77A2"/>
    <w:rsid w:val="007006A4"/>
    <w:rsid w:val="00703DFF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4C27"/>
    <w:rsid w:val="00726559"/>
    <w:rsid w:val="00731D99"/>
    <w:rsid w:val="00732436"/>
    <w:rsid w:val="007363CA"/>
    <w:rsid w:val="00740B59"/>
    <w:rsid w:val="007432E8"/>
    <w:rsid w:val="00745B74"/>
    <w:rsid w:val="00750A50"/>
    <w:rsid w:val="00751BC0"/>
    <w:rsid w:val="00752AE3"/>
    <w:rsid w:val="00754F94"/>
    <w:rsid w:val="0075579C"/>
    <w:rsid w:val="00755F73"/>
    <w:rsid w:val="007650D3"/>
    <w:rsid w:val="00772A9E"/>
    <w:rsid w:val="00773C67"/>
    <w:rsid w:val="00774814"/>
    <w:rsid w:val="00777128"/>
    <w:rsid w:val="00780956"/>
    <w:rsid w:val="00782E89"/>
    <w:rsid w:val="00783700"/>
    <w:rsid w:val="00785A32"/>
    <w:rsid w:val="007875EE"/>
    <w:rsid w:val="00787ABE"/>
    <w:rsid w:val="0079064D"/>
    <w:rsid w:val="007938AD"/>
    <w:rsid w:val="00794454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D1CE7"/>
    <w:rsid w:val="007D1E31"/>
    <w:rsid w:val="007D2F4D"/>
    <w:rsid w:val="007E06F3"/>
    <w:rsid w:val="007E2D28"/>
    <w:rsid w:val="007E45AF"/>
    <w:rsid w:val="007E522F"/>
    <w:rsid w:val="007E68A8"/>
    <w:rsid w:val="007E79DD"/>
    <w:rsid w:val="007F0938"/>
    <w:rsid w:val="007F0B9A"/>
    <w:rsid w:val="007F1E70"/>
    <w:rsid w:val="007F46B5"/>
    <w:rsid w:val="007F55F6"/>
    <w:rsid w:val="007F59DF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9F6"/>
    <w:rsid w:val="00813A10"/>
    <w:rsid w:val="008216E6"/>
    <w:rsid w:val="00825C14"/>
    <w:rsid w:val="0083102B"/>
    <w:rsid w:val="00832147"/>
    <w:rsid w:val="00836318"/>
    <w:rsid w:val="00837D5D"/>
    <w:rsid w:val="0084250D"/>
    <w:rsid w:val="00843E8D"/>
    <w:rsid w:val="00845970"/>
    <w:rsid w:val="00845EFF"/>
    <w:rsid w:val="00850A13"/>
    <w:rsid w:val="00854E50"/>
    <w:rsid w:val="00862BFD"/>
    <w:rsid w:val="00865481"/>
    <w:rsid w:val="00867CA1"/>
    <w:rsid w:val="0087426D"/>
    <w:rsid w:val="00874295"/>
    <w:rsid w:val="0087577F"/>
    <w:rsid w:val="00875BBA"/>
    <w:rsid w:val="00876243"/>
    <w:rsid w:val="00881CA5"/>
    <w:rsid w:val="0089677E"/>
    <w:rsid w:val="008A30F9"/>
    <w:rsid w:val="008A4141"/>
    <w:rsid w:val="008A5AFE"/>
    <w:rsid w:val="008A5E59"/>
    <w:rsid w:val="008A631F"/>
    <w:rsid w:val="008B0206"/>
    <w:rsid w:val="008B1059"/>
    <w:rsid w:val="008B3042"/>
    <w:rsid w:val="008B3713"/>
    <w:rsid w:val="008B4CD0"/>
    <w:rsid w:val="008B4CEB"/>
    <w:rsid w:val="008B5D30"/>
    <w:rsid w:val="008C063A"/>
    <w:rsid w:val="008C4CF5"/>
    <w:rsid w:val="008C7BE9"/>
    <w:rsid w:val="008D5112"/>
    <w:rsid w:val="008D5A8E"/>
    <w:rsid w:val="008D600E"/>
    <w:rsid w:val="008D7F96"/>
    <w:rsid w:val="008E1224"/>
    <w:rsid w:val="008E313B"/>
    <w:rsid w:val="008E575B"/>
    <w:rsid w:val="008E6523"/>
    <w:rsid w:val="008E782F"/>
    <w:rsid w:val="008F0807"/>
    <w:rsid w:val="008F4EFA"/>
    <w:rsid w:val="00900B3E"/>
    <w:rsid w:val="009027C1"/>
    <w:rsid w:val="00905543"/>
    <w:rsid w:val="00905FFF"/>
    <w:rsid w:val="00910D64"/>
    <w:rsid w:val="00917B46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294F"/>
    <w:rsid w:val="009532F0"/>
    <w:rsid w:val="00954E18"/>
    <w:rsid w:val="00955BCA"/>
    <w:rsid w:val="009574AF"/>
    <w:rsid w:val="009607D5"/>
    <w:rsid w:val="00961133"/>
    <w:rsid w:val="00962548"/>
    <w:rsid w:val="009632BD"/>
    <w:rsid w:val="0096426B"/>
    <w:rsid w:val="00965EF4"/>
    <w:rsid w:val="00967A36"/>
    <w:rsid w:val="00967AED"/>
    <w:rsid w:val="00971DF8"/>
    <w:rsid w:val="00973AFB"/>
    <w:rsid w:val="00977BC9"/>
    <w:rsid w:val="00983C6C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1FA3"/>
    <w:rsid w:val="009B24FF"/>
    <w:rsid w:val="009B4CDF"/>
    <w:rsid w:val="009B655C"/>
    <w:rsid w:val="009C4F6C"/>
    <w:rsid w:val="009C5391"/>
    <w:rsid w:val="009C6255"/>
    <w:rsid w:val="009C648A"/>
    <w:rsid w:val="009C69A7"/>
    <w:rsid w:val="009D07BB"/>
    <w:rsid w:val="009D16D6"/>
    <w:rsid w:val="009D1B3B"/>
    <w:rsid w:val="009D3BC2"/>
    <w:rsid w:val="009D5FC7"/>
    <w:rsid w:val="009D6176"/>
    <w:rsid w:val="009D7644"/>
    <w:rsid w:val="009E04ED"/>
    <w:rsid w:val="009E153C"/>
    <w:rsid w:val="009E393A"/>
    <w:rsid w:val="009E5037"/>
    <w:rsid w:val="009E5495"/>
    <w:rsid w:val="009E56EF"/>
    <w:rsid w:val="009E66BB"/>
    <w:rsid w:val="009F0FC7"/>
    <w:rsid w:val="009F1164"/>
    <w:rsid w:val="009F4DD1"/>
    <w:rsid w:val="009F558C"/>
    <w:rsid w:val="009F692D"/>
    <w:rsid w:val="009F6F8C"/>
    <w:rsid w:val="00A03396"/>
    <w:rsid w:val="00A050E0"/>
    <w:rsid w:val="00A13D97"/>
    <w:rsid w:val="00A15855"/>
    <w:rsid w:val="00A1595B"/>
    <w:rsid w:val="00A15B73"/>
    <w:rsid w:val="00A16175"/>
    <w:rsid w:val="00A16198"/>
    <w:rsid w:val="00A1726A"/>
    <w:rsid w:val="00A179C2"/>
    <w:rsid w:val="00A22219"/>
    <w:rsid w:val="00A222D1"/>
    <w:rsid w:val="00A23BC4"/>
    <w:rsid w:val="00A26889"/>
    <w:rsid w:val="00A27EFF"/>
    <w:rsid w:val="00A35338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550DD"/>
    <w:rsid w:val="00A60943"/>
    <w:rsid w:val="00A61C9C"/>
    <w:rsid w:val="00A61EB8"/>
    <w:rsid w:val="00A652D3"/>
    <w:rsid w:val="00A6540F"/>
    <w:rsid w:val="00A67429"/>
    <w:rsid w:val="00A676DD"/>
    <w:rsid w:val="00A70D85"/>
    <w:rsid w:val="00A71ACA"/>
    <w:rsid w:val="00A72EB1"/>
    <w:rsid w:val="00A73DC2"/>
    <w:rsid w:val="00A74728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167A"/>
    <w:rsid w:val="00A948B2"/>
    <w:rsid w:val="00A9576D"/>
    <w:rsid w:val="00A96CD6"/>
    <w:rsid w:val="00AA0D69"/>
    <w:rsid w:val="00AA1919"/>
    <w:rsid w:val="00AA2A73"/>
    <w:rsid w:val="00AA54D7"/>
    <w:rsid w:val="00AA6D23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2EB1"/>
    <w:rsid w:val="00AD4763"/>
    <w:rsid w:val="00AD52CD"/>
    <w:rsid w:val="00AD5441"/>
    <w:rsid w:val="00AD64FE"/>
    <w:rsid w:val="00AD686C"/>
    <w:rsid w:val="00AE5893"/>
    <w:rsid w:val="00AE5EDA"/>
    <w:rsid w:val="00AE73A3"/>
    <w:rsid w:val="00AE7CB0"/>
    <w:rsid w:val="00AF5D19"/>
    <w:rsid w:val="00AF661B"/>
    <w:rsid w:val="00AF76DF"/>
    <w:rsid w:val="00B00413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327B5"/>
    <w:rsid w:val="00B46C1E"/>
    <w:rsid w:val="00B46C60"/>
    <w:rsid w:val="00B474BA"/>
    <w:rsid w:val="00B509D0"/>
    <w:rsid w:val="00B60E46"/>
    <w:rsid w:val="00B62909"/>
    <w:rsid w:val="00B679B6"/>
    <w:rsid w:val="00B71B45"/>
    <w:rsid w:val="00B72116"/>
    <w:rsid w:val="00B741E0"/>
    <w:rsid w:val="00B7582E"/>
    <w:rsid w:val="00B8180B"/>
    <w:rsid w:val="00B8195A"/>
    <w:rsid w:val="00B97F00"/>
    <w:rsid w:val="00BA082A"/>
    <w:rsid w:val="00BA0ECE"/>
    <w:rsid w:val="00BA2102"/>
    <w:rsid w:val="00BA49F9"/>
    <w:rsid w:val="00BB1EFE"/>
    <w:rsid w:val="00BB2745"/>
    <w:rsid w:val="00BB293A"/>
    <w:rsid w:val="00BB450E"/>
    <w:rsid w:val="00BB4568"/>
    <w:rsid w:val="00BB6A47"/>
    <w:rsid w:val="00BB74EB"/>
    <w:rsid w:val="00BB752E"/>
    <w:rsid w:val="00BB7FE6"/>
    <w:rsid w:val="00BC08E3"/>
    <w:rsid w:val="00BC1E03"/>
    <w:rsid w:val="00BC22A9"/>
    <w:rsid w:val="00BC241D"/>
    <w:rsid w:val="00BC5319"/>
    <w:rsid w:val="00BD65A4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4152"/>
    <w:rsid w:val="00C04CCF"/>
    <w:rsid w:val="00C0503A"/>
    <w:rsid w:val="00C071A7"/>
    <w:rsid w:val="00C07F91"/>
    <w:rsid w:val="00C1062F"/>
    <w:rsid w:val="00C115BC"/>
    <w:rsid w:val="00C1165A"/>
    <w:rsid w:val="00C12354"/>
    <w:rsid w:val="00C14F2F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178"/>
    <w:rsid w:val="00C4279A"/>
    <w:rsid w:val="00C42E23"/>
    <w:rsid w:val="00C5395E"/>
    <w:rsid w:val="00C5402E"/>
    <w:rsid w:val="00C54C69"/>
    <w:rsid w:val="00C55C4A"/>
    <w:rsid w:val="00C565C9"/>
    <w:rsid w:val="00C56A12"/>
    <w:rsid w:val="00C571B5"/>
    <w:rsid w:val="00C576C1"/>
    <w:rsid w:val="00C60127"/>
    <w:rsid w:val="00C609DB"/>
    <w:rsid w:val="00C61D77"/>
    <w:rsid w:val="00C63B7B"/>
    <w:rsid w:val="00C64E8D"/>
    <w:rsid w:val="00C65B59"/>
    <w:rsid w:val="00C66CB5"/>
    <w:rsid w:val="00C67659"/>
    <w:rsid w:val="00C67996"/>
    <w:rsid w:val="00C72868"/>
    <w:rsid w:val="00C74A68"/>
    <w:rsid w:val="00C753E2"/>
    <w:rsid w:val="00C8011B"/>
    <w:rsid w:val="00C812CD"/>
    <w:rsid w:val="00C81C2F"/>
    <w:rsid w:val="00C8521D"/>
    <w:rsid w:val="00C86589"/>
    <w:rsid w:val="00C90922"/>
    <w:rsid w:val="00C9170C"/>
    <w:rsid w:val="00C922A4"/>
    <w:rsid w:val="00CA0910"/>
    <w:rsid w:val="00CA5BD2"/>
    <w:rsid w:val="00CB1188"/>
    <w:rsid w:val="00CB1789"/>
    <w:rsid w:val="00CB5CF1"/>
    <w:rsid w:val="00CB5E3A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D6F9A"/>
    <w:rsid w:val="00CE01B8"/>
    <w:rsid w:val="00CE08CC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2B0C"/>
    <w:rsid w:val="00D13B23"/>
    <w:rsid w:val="00D14FDE"/>
    <w:rsid w:val="00D172D6"/>
    <w:rsid w:val="00D213DF"/>
    <w:rsid w:val="00D25227"/>
    <w:rsid w:val="00D2682C"/>
    <w:rsid w:val="00D27906"/>
    <w:rsid w:val="00D30F38"/>
    <w:rsid w:val="00D3272E"/>
    <w:rsid w:val="00D33F72"/>
    <w:rsid w:val="00D340B1"/>
    <w:rsid w:val="00D4013B"/>
    <w:rsid w:val="00D4062D"/>
    <w:rsid w:val="00D455C8"/>
    <w:rsid w:val="00D51830"/>
    <w:rsid w:val="00D53873"/>
    <w:rsid w:val="00D54651"/>
    <w:rsid w:val="00D6096A"/>
    <w:rsid w:val="00D6110E"/>
    <w:rsid w:val="00D61939"/>
    <w:rsid w:val="00D62D0D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963EE"/>
    <w:rsid w:val="00DA0F4A"/>
    <w:rsid w:val="00DA1C32"/>
    <w:rsid w:val="00DA2077"/>
    <w:rsid w:val="00DA373B"/>
    <w:rsid w:val="00DA4093"/>
    <w:rsid w:val="00DB0837"/>
    <w:rsid w:val="00DB278E"/>
    <w:rsid w:val="00DC05CB"/>
    <w:rsid w:val="00DC157A"/>
    <w:rsid w:val="00DC3155"/>
    <w:rsid w:val="00DC3AB5"/>
    <w:rsid w:val="00DC5956"/>
    <w:rsid w:val="00DD553C"/>
    <w:rsid w:val="00DE03B0"/>
    <w:rsid w:val="00DE2F05"/>
    <w:rsid w:val="00DF0355"/>
    <w:rsid w:val="00DF3618"/>
    <w:rsid w:val="00DF5CA8"/>
    <w:rsid w:val="00DF5CCA"/>
    <w:rsid w:val="00DF6360"/>
    <w:rsid w:val="00E0370B"/>
    <w:rsid w:val="00E039E4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08C2"/>
    <w:rsid w:val="00E71913"/>
    <w:rsid w:val="00E71D66"/>
    <w:rsid w:val="00E72C88"/>
    <w:rsid w:val="00E752F8"/>
    <w:rsid w:val="00E76C68"/>
    <w:rsid w:val="00E7720B"/>
    <w:rsid w:val="00E77CF9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2BE2"/>
    <w:rsid w:val="00EC48F1"/>
    <w:rsid w:val="00EC4C24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0E93"/>
    <w:rsid w:val="00EF15B7"/>
    <w:rsid w:val="00EF1C51"/>
    <w:rsid w:val="00EF1FA4"/>
    <w:rsid w:val="00EF4CEE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17B4D"/>
    <w:rsid w:val="00F219A0"/>
    <w:rsid w:val="00F2317A"/>
    <w:rsid w:val="00F23F57"/>
    <w:rsid w:val="00F243DE"/>
    <w:rsid w:val="00F26D0A"/>
    <w:rsid w:val="00F2774D"/>
    <w:rsid w:val="00F278EE"/>
    <w:rsid w:val="00F300AC"/>
    <w:rsid w:val="00F30BDA"/>
    <w:rsid w:val="00F318C1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0B0D"/>
    <w:rsid w:val="00FA24D5"/>
    <w:rsid w:val="00FA624D"/>
    <w:rsid w:val="00FB0EB2"/>
    <w:rsid w:val="00FB15E7"/>
    <w:rsid w:val="00FB357A"/>
    <w:rsid w:val="00FB417F"/>
    <w:rsid w:val="00FB497D"/>
    <w:rsid w:val="00FB6F89"/>
    <w:rsid w:val="00FB784C"/>
    <w:rsid w:val="00FC07D0"/>
    <w:rsid w:val="00FC201F"/>
    <w:rsid w:val="00FC2042"/>
    <w:rsid w:val="00FC2F89"/>
    <w:rsid w:val="00FC55C2"/>
    <w:rsid w:val="00FC59E1"/>
    <w:rsid w:val="00FC6FF1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174C"/>
    <w:rsid w:val="00FE356D"/>
    <w:rsid w:val="00FE5A7E"/>
    <w:rsid w:val="00FE5BFB"/>
    <w:rsid w:val="00FE78D0"/>
    <w:rsid w:val="00FF0D7B"/>
    <w:rsid w:val="00FF14D1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semiHidden/>
    <w:rsid w:val="001E2FE5"/>
    <w:rPr>
      <w:lang w:eastAsia="en-US"/>
    </w:rPr>
  </w:style>
  <w:style w:type="character" w:styleId="ac">
    <w:name w:val="footnote reference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rsid w:val="00F17B4D"/>
  </w:style>
  <w:style w:type="paragraph" w:styleId="af">
    <w:name w:val="List Paragraph"/>
    <w:basedOn w:val="a"/>
    <w:uiPriority w:val="34"/>
    <w:qFormat/>
    <w:rsid w:val="00252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3F0D9-1AF4-40BC-A44C-84E56165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8686</Words>
  <Characters>4952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2020-02-07T14:02:00Z</cp:lastPrinted>
  <dcterms:created xsi:type="dcterms:W3CDTF">2020-02-07T15:41:00Z</dcterms:created>
  <dcterms:modified xsi:type="dcterms:W3CDTF">2020-02-07T15:41:00Z</dcterms:modified>
</cp:coreProperties>
</file>