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B2980" w:rsidRDefault="006B2980" w:rsidP="006B2980">
      <w:pPr>
        <w:keepNext/>
        <w:spacing w:after="0" w:line="240" w:lineRule="auto"/>
        <w:jc w:val="center"/>
        <w:outlineLvl w:val="0"/>
        <w:rPr>
          <w:rFonts w:eastAsia="Times New Roman" w:cs="Times New Roman"/>
          <w:b/>
          <w:szCs w:val="28"/>
          <w:lang w:val="uk-UA" w:eastAsia="ru-RU"/>
        </w:rPr>
      </w:pPr>
    </w:p>
    <w:p w:rsidR="00233A70" w:rsidRDefault="00233A70" w:rsidP="006B2980">
      <w:pPr>
        <w:keepNext/>
        <w:spacing w:after="0" w:line="240" w:lineRule="auto"/>
        <w:jc w:val="center"/>
        <w:outlineLvl w:val="0"/>
        <w:rPr>
          <w:rFonts w:eastAsia="Times New Roman" w:cs="Times New Roman"/>
          <w:b/>
          <w:szCs w:val="28"/>
          <w:lang w:val="uk-UA" w:eastAsia="ru-RU"/>
        </w:rPr>
      </w:pPr>
    </w:p>
    <w:p w:rsidR="00233A70" w:rsidRDefault="00233A70" w:rsidP="006B2980">
      <w:pPr>
        <w:keepNext/>
        <w:spacing w:after="0" w:line="240" w:lineRule="auto"/>
        <w:jc w:val="center"/>
        <w:outlineLvl w:val="0"/>
        <w:rPr>
          <w:rFonts w:eastAsia="Times New Roman" w:cs="Times New Roman"/>
          <w:b/>
          <w:szCs w:val="28"/>
          <w:lang w:val="uk-UA" w:eastAsia="ru-RU"/>
        </w:rPr>
      </w:pPr>
    </w:p>
    <w:p w:rsidR="00233A70" w:rsidRDefault="00233A70" w:rsidP="006B2980">
      <w:pPr>
        <w:keepNext/>
        <w:spacing w:after="0" w:line="240" w:lineRule="auto"/>
        <w:jc w:val="center"/>
        <w:outlineLvl w:val="0"/>
        <w:rPr>
          <w:rFonts w:eastAsia="Times New Roman" w:cs="Times New Roman"/>
          <w:b/>
          <w:szCs w:val="28"/>
          <w:lang w:val="uk-UA" w:eastAsia="ru-RU"/>
        </w:rPr>
      </w:pPr>
    </w:p>
    <w:p w:rsidR="00233A70" w:rsidRDefault="00233A70" w:rsidP="006B2980">
      <w:pPr>
        <w:keepNext/>
        <w:spacing w:after="0" w:line="240" w:lineRule="auto"/>
        <w:jc w:val="center"/>
        <w:outlineLvl w:val="0"/>
        <w:rPr>
          <w:rFonts w:eastAsia="Times New Roman" w:cs="Times New Roman"/>
          <w:b/>
          <w:szCs w:val="28"/>
          <w:lang w:val="uk-UA" w:eastAsia="ru-RU"/>
        </w:rPr>
      </w:pPr>
    </w:p>
    <w:p w:rsidR="006B2980" w:rsidRPr="00233A70" w:rsidRDefault="006B2980" w:rsidP="00233A70">
      <w:pPr>
        <w:keepNext/>
        <w:spacing w:after="0" w:line="240" w:lineRule="auto"/>
        <w:jc w:val="center"/>
        <w:outlineLvl w:val="0"/>
        <w:rPr>
          <w:rFonts w:eastAsia="Times New Roman" w:cs="Times New Roman"/>
          <w:b/>
          <w:szCs w:val="28"/>
          <w:lang w:val="uk-UA" w:eastAsia="ru-RU"/>
        </w:rPr>
      </w:pPr>
      <w:r w:rsidRPr="00233A70">
        <w:rPr>
          <w:rFonts w:eastAsia="Times New Roman" w:cs="Times New Roman"/>
          <w:b/>
          <w:szCs w:val="28"/>
          <w:lang w:val="uk-UA" w:eastAsia="ru-RU"/>
        </w:rPr>
        <w:t>ВИСНОВОК</w:t>
      </w:r>
    </w:p>
    <w:p w:rsidR="006B2980" w:rsidRPr="00012A47" w:rsidRDefault="006B2980" w:rsidP="00233A70">
      <w:pPr>
        <w:keepNext/>
        <w:keepLines/>
        <w:spacing w:after="0" w:line="240" w:lineRule="auto"/>
        <w:jc w:val="center"/>
        <w:rPr>
          <w:rFonts w:ascii="Antiqua" w:eastAsia="Times New Roman" w:hAnsi="Antiqua" w:cs="Times New Roman"/>
          <w:b/>
          <w:szCs w:val="28"/>
          <w:lang w:val="uk-UA" w:eastAsia="ru-RU"/>
        </w:rPr>
      </w:pPr>
      <w:r w:rsidRPr="00233A70">
        <w:rPr>
          <w:rFonts w:eastAsia="Times New Roman" w:cs="Times New Roman"/>
          <w:b/>
          <w:szCs w:val="28"/>
          <w:lang w:val="uk-UA" w:eastAsia="ru-RU"/>
        </w:rPr>
        <w:t xml:space="preserve">на </w:t>
      </w:r>
      <w:r w:rsidRPr="00233A70">
        <w:rPr>
          <w:rFonts w:eastAsia="Times New Roman" w:cs="Times New Roman"/>
          <w:b/>
          <w:spacing w:val="-2"/>
          <w:szCs w:val="28"/>
          <w:lang w:val="uk-UA" w:eastAsia="ru-RU"/>
        </w:rPr>
        <w:t xml:space="preserve">проект Закону України </w:t>
      </w:r>
      <w:r w:rsidRPr="00233A70">
        <w:rPr>
          <w:rFonts w:eastAsia="Times New Roman" w:cs="Times New Roman"/>
          <w:b/>
          <w:color w:val="000000"/>
          <w:szCs w:val="28"/>
          <w:bdr w:val="none" w:sz="0" w:space="0" w:color="auto" w:frame="1"/>
          <w:lang w:val="uk-UA" w:eastAsia="ru-RU"/>
        </w:rPr>
        <w:t>«</w:t>
      </w:r>
      <w:r w:rsidRPr="00012A47">
        <w:rPr>
          <w:rFonts w:eastAsia="Times New Roman" w:cs="Times New Roman"/>
          <w:b/>
          <w:szCs w:val="28"/>
          <w:lang w:val="uk-UA" w:eastAsia="ru-RU"/>
        </w:rPr>
        <w:t>Про внесення змін до деяких законів України щодо пенсійного забезпечення за вислугу років»</w:t>
      </w:r>
    </w:p>
    <w:p w:rsidR="006B2980" w:rsidRPr="00012A47" w:rsidRDefault="006B2980" w:rsidP="006B2980">
      <w:pPr>
        <w:keepNext/>
        <w:keepLines/>
        <w:spacing w:after="0" w:line="240" w:lineRule="auto"/>
        <w:ind w:firstLine="709"/>
        <w:jc w:val="both"/>
        <w:rPr>
          <w:rFonts w:eastAsia="Times New Roman" w:cs="Times New Roman"/>
          <w:szCs w:val="28"/>
          <w:lang w:val="uk-UA" w:eastAsia="ru-RU"/>
        </w:rPr>
      </w:pPr>
    </w:p>
    <w:p w:rsidR="006B2980" w:rsidRPr="00012A47" w:rsidRDefault="006B2980" w:rsidP="006B2980">
      <w:pPr>
        <w:keepNext/>
        <w:keepLines/>
        <w:spacing w:after="0" w:line="240" w:lineRule="auto"/>
        <w:ind w:firstLine="709"/>
        <w:contextualSpacing/>
        <w:jc w:val="both"/>
        <w:rPr>
          <w:rFonts w:eastAsia="Times New Roman" w:cs="Times New Roman"/>
          <w:szCs w:val="28"/>
          <w:lang w:val="uk-UA" w:eastAsia="ru-RU"/>
        </w:rPr>
      </w:pPr>
      <w:r w:rsidRPr="00012A47">
        <w:rPr>
          <w:rFonts w:eastAsia="Times New Roman" w:cs="Times New Roman"/>
          <w:szCs w:val="28"/>
          <w:lang w:val="uk-UA" w:eastAsia="ru-RU"/>
        </w:rPr>
        <w:t xml:space="preserve">Законопроект поданий як альтернативний до проекту Закону </w:t>
      </w:r>
      <w:r w:rsidR="00376762" w:rsidRPr="00012A47">
        <w:rPr>
          <w:rFonts w:eastAsia="Times New Roman" w:cs="Times New Roman"/>
          <w:szCs w:val="28"/>
          <w:lang w:val="uk-UA" w:eastAsia="ru-RU"/>
        </w:rPr>
        <w:br/>
      </w:r>
      <w:r w:rsidRPr="00012A47">
        <w:rPr>
          <w:rFonts w:eastAsia="Times New Roman" w:cs="Times New Roman"/>
          <w:szCs w:val="28"/>
          <w:lang w:val="uk-UA" w:eastAsia="ru-RU"/>
        </w:rPr>
        <w:t xml:space="preserve">«Про запровадження програм пенсійного забезпечення за вислугу років» </w:t>
      </w:r>
      <w:r w:rsidRPr="00012A47">
        <w:rPr>
          <w:rFonts w:eastAsia="Times New Roman" w:cs="Times New Roman"/>
          <w:szCs w:val="28"/>
          <w:lang w:val="uk-UA" w:eastAsia="ru-RU"/>
        </w:rPr>
        <w:br/>
        <w:t>(</w:t>
      </w:r>
      <w:r w:rsidR="00376762" w:rsidRPr="00012A47">
        <w:rPr>
          <w:rFonts w:eastAsia="Times New Roman" w:cs="Times New Roman"/>
          <w:szCs w:val="28"/>
          <w:lang w:val="uk-UA" w:eastAsia="ru-RU"/>
        </w:rPr>
        <w:t>реєстр. № 2617 від 18.12.2019).</w:t>
      </w:r>
      <w:r w:rsidRPr="00012A47">
        <w:rPr>
          <w:rFonts w:eastAsia="Times New Roman" w:cs="Times New Roman"/>
          <w:szCs w:val="28"/>
          <w:lang w:val="uk-UA" w:eastAsia="ru-RU"/>
        </w:rPr>
        <w:t xml:space="preserve"> Але хоча обидва проекти мають загальне спрямування на регулювання суспільних відносин щодо пенсійного забезпечення за вислугу років, проект </w:t>
      </w:r>
      <w:r w:rsidR="00376762" w:rsidRPr="00012A47">
        <w:rPr>
          <w:rFonts w:eastAsia="Times New Roman" w:cs="Times New Roman"/>
          <w:szCs w:val="28"/>
          <w:lang w:val="uk-UA" w:eastAsia="ru-RU"/>
        </w:rPr>
        <w:t xml:space="preserve">реєстр. </w:t>
      </w:r>
      <w:r w:rsidRPr="00012A47">
        <w:rPr>
          <w:rFonts w:eastAsia="Times New Roman" w:cs="Times New Roman"/>
          <w:szCs w:val="28"/>
          <w:lang w:val="uk-UA" w:eastAsia="ru-RU"/>
        </w:rPr>
        <w:t xml:space="preserve">№ 2617-1 має самостійне значення, оскільки запропонований в ньому спосіб регулювання вказаних відносин відрізняється від способу, який пропонується </w:t>
      </w:r>
      <w:r w:rsidR="00376762" w:rsidRPr="00012A47">
        <w:rPr>
          <w:rFonts w:eastAsia="Times New Roman" w:cs="Times New Roman"/>
          <w:szCs w:val="28"/>
          <w:lang w:val="uk-UA" w:eastAsia="ru-RU"/>
        </w:rPr>
        <w:t>в</w:t>
      </w:r>
      <w:r w:rsidRPr="00012A47">
        <w:rPr>
          <w:rFonts w:eastAsia="Times New Roman" w:cs="Times New Roman"/>
          <w:szCs w:val="28"/>
          <w:lang w:val="uk-UA" w:eastAsia="ru-RU"/>
        </w:rPr>
        <w:t xml:space="preserve"> основному проекті.</w:t>
      </w:r>
    </w:p>
    <w:p w:rsidR="006B2980" w:rsidRPr="00233A70" w:rsidRDefault="006B2980" w:rsidP="006B2980">
      <w:pPr>
        <w:keepNext/>
        <w:keepLines/>
        <w:spacing w:after="0" w:line="240" w:lineRule="auto"/>
        <w:ind w:firstLine="709"/>
        <w:contextualSpacing/>
        <w:jc w:val="both"/>
        <w:rPr>
          <w:rFonts w:eastAsia="Times New Roman" w:cs="Times New Roman"/>
          <w:szCs w:val="28"/>
          <w:lang w:val="uk-UA" w:eastAsia="ru-RU"/>
        </w:rPr>
      </w:pPr>
      <w:r w:rsidRPr="00012A47">
        <w:rPr>
          <w:rFonts w:eastAsia="Times New Roman" w:cs="Times New Roman"/>
          <w:szCs w:val="28"/>
          <w:lang w:val="uk-UA" w:eastAsia="ru-RU"/>
        </w:rPr>
        <w:t>Головна відмінність проекту реєстр. № 2617-1 від основного проекту полягає в тому, що в ньому проблема пенсійного забезпечення за вислугу років вирішується шляхом викладення у новій редакції ст. ст. 54, 55 Закону України «Про пенсійне забезпечення», якими відновлю</w:t>
      </w:r>
      <w:r w:rsidR="00376762" w:rsidRPr="00012A47">
        <w:rPr>
          <w:rFonts w:eastAsia="Times New Roman" w:cs="Times New Roman"/>
          <w:szCs w:val="28"/>
          <w:lang w:val="uk-UA" w:eastAsia="ru-RU"/>
        </w:rPr>
        <w:t>є</w:t>
      </w:r>
      <w:r w:rsidRPr="00012A47">
        <w:rPr>
          <w:rFonts w:eastAsia="Times New Roman" w:cs="Times New Roman"/>
          <w:szCs w:val="28"/>
          <w:lang w:val="uk-UA" w:eastAsia="ru-RU"/>
        </w:rPr>
        <w:t>ться їх попередня редакція, яка діяла до прийняття Закону України «Про внесення змін до деяких законодавчих актів України щодо пенсійног</w:t>
      </w:r>
      <w:r w:rsidR="00376762" w:rsidRPr="00012A47">
        <w:rPr>
          <w:rFonts w:eastAsia="Times New Roman" w:cs="Times New Roman"/>
          <w:szCs w:val="28"/>
          <w:lang w:val="uk-UA" w:eastAsia="ru-RU"/>
        </w:rPr>
        <w:t xml:space="preserve">о забезпечення» </w:t>
      </w:r>
      <w:r w:rsidR="00D3160A">
        <w:rPr>
          <w:rFonts w:eastAsia="Times New Roman" w:cs="Times New Roman"/>
          <w:szCs w:val="28"/>
          <w:lang w:val="uk-UA" w:eastAsia="ru-RU"/>
        </w:rPr>
        <w:t xml:space="preserve">                                             </w:t>
      </w:r>
      <w:r w:rsidR="00376762" w:rsidRPr="00012A47">
        <w:rPr>
          <w:rFonts w:eastAsia="Times New Roman" w:cs="Times New Roman"/>
          <w:szCs w:val="28"/>
          <w:lang w:val="uk-UA" w:eastAsia="ru-RU"/>
        </w:rPr>
        <w:t>від 02.03.2015</w:t>
      </w:r>
      <w:r w:rsidR="00EF0E84">
        <w:rPr>
          <w:rFonts w:eastAsia="Times New Roman" w:cs="Times New Roman"/>
          <w:szCs w:val="28"/>
          <w:lang w:val="uk-UA" w:eastAsia="ru-RU"/>
        </w:rPr>
        <w:t xml:space="preserve"> </w:t>
      </w:r>
      <w:r w:rsidRPr="00012A47">
        <w:rPr>
          <w:rFonts w:eastAsia="Times New Roman" w:cs="Times New Roman"/>
          <w:szCs w:val="28"/>
          <w:lang w:val="uk-UA" w:eastAsia="ru-RU"/>
        </w:rPr>
        <w:t>№ 213-VІІ. Натомість у основному прое</w:t>
      </w:r>
      <w:r w:rsidR="00376762" w:rsidRPr="00012A47">
        <w:rPr>
          <w:rFonts w:eastAsia="Times New Roman" w:cs="Times New Roman"/>
          <w:szCs w:val="28"/>
          <w:lang w:val="uk-UA" w:eastAsia="ru-RU"/>
        </w:rPr>
        <w:t>кті пропонується</w:t>
      </w:r>
      <w:r w:rsidR="00376762">
        <w:rPr>
          <w:rFonts w:eastAsia="Times New Roman" w:cs="Times New Roman"/>
          <w:szCs w:val="28"/>
          <w:lang w:val="uk-UA" w:eastAsia="ru-RU"/>
        </w:rPr>
        <w:t xml:space="preserve"> запровадження </w:t>
      </w:r>
      <w:r w:rsidRPr="00233A70">
        <w:rPr>
          <w:rFonts w:eastAsia="Times New Roman" w:cs="Times New Roman"/>
          <w:szCs w:val="28"/>
          <w:lang w:val="uk-UA" w:eastAsia="ru-RU"/>
        </w:rPr>
        <w:t xml:space="preserve">спеціальних програм пенсійного забезпечення за вислугу років, які реалізуються недержавними пенсійними фондами в системі недержавного пенсійного забезпечення. </w:t>
      </w:r>
    </w:p>
    <w:p w:rsidR="006B2980" w:rsidRPr="00012A47" w:rsidRDefault="006B2980" w:rsidP="006B2980">
      <w:pPr>
        <w:keepNext/>
        <w:keepLines/>
        <w:spacing w:after="0" w:line="240" w:lineRule="auto"/>
        <w:ind w:firstLine="709"/>
        <w:contextualSpacing/>
        <w:jc w:val="both"/>
        <w:rPr>
          <w:rFonts w:eastAsia="Times New Roman" w:cs="Times New Roman"/>
          <w:szCs w:val="28"/>
          <w:lang w:val="uk-UA" w:eastAsia="ru-RU"/>
        </w:rPr>
      </w:pPr>
      <w:r w:rsidRPr="00233A70">
        <w:rPr>
          <w:rFonts w:eastAsia="Times New Roman" w:cs="Times New Roman"/>
          <w:szCs w:val="28"/>
          <w:lang w:val="uk-UA" w:eastAsia="ru-RU"/>
        </w:rPr>
        <w:t xml:space="preserve">Розглянувши проект реєстр. № 2617-1, Головне управління, не заперечуючи </w:t>
      </w:r>
      <w:r w:rsidRPr="00012A47">
        <w:rPr>
          <w:rFonts w:eastAsia="Times New Roman" w:cs="Times New Roman"/>
          <w:szCs w:val="28"/>
          <w:lang w:val="uk-UA" w:eastAsia="ru-RU"/>
        </w:rPr>
        <w:t>загало</w:t>
      </w:r>
      <w:r w:rsidR="00376762" w:rsidRPr="00012A47">
        <w:rPr>
          <w:rFonts w:eastAsia="Times New Roman" w:cs="Times New Roman"/>
          <w:szCs w:val="28"/>
          <w:lang w:val="uk-UA" w:eastAsia="ru-RU"/>
        </w:rPr>
        <w:t xml:space="preserve">м щодо відновлення призначення </w:t>
      </w:r>
      <w:r w:rsidRPr="00012A47">
        <w:rPr>
          <w:rFonts w:eastAsia="Times New Roman" w:cs="Times New Roman"/>
          <w:szCs w:val="28"/>
          <w:lang w:val="uk-UA" w:eastAsia="ru-RU"/>
        </w:rPr>
        <w:t xml:space="preserve">пенсій за вислугу років, вважає, що таке відновлення вказаних пенсій має відбуватися на підставі системного підходу. </w:t>
      </w:r>
    </w:p>
    <w:p w:rsidR="006B2980" w:rsidRPr="00012A47" w:rsidRDefault="006B2980" w:rsidP="00233A70">
      <w:pPr>
        <w:pStyle w:val="a5"/>
        <w:ind w:firstLine="708"/>
        <w:jc w:val="both"/>
        <w:rPr>
          <w:rFonts w:eastAsia="Times New Roman" w:cs="Times New Roman"/>
          <w:sz w:val="28"/>
          <w:szCs w:val="28"/>
          <w:lang w:val="uk-UA" w:eastAsia="ru-RU"/>
        </w:rPr>
      </w:pPr>
      <w:r w:rsidRPr="00012A47">
        <w:rPr>
          <w:rFonts w:eastAsia="Times New Roman" w:cs="Times New Roman"/>
          <w:b/>
          <w:sz w:val="28"/>
          <w:szCs w:val="28"/>
          <w:lang w:val="uk-UA" w:eastAsia="ru-RU"/>
        </w:rPr>
        <w:t>1.</w:t>
      </w:r>
      <w:r w:rsidRPr="00012A47">
        <w:rPr>
          <w:rFonts w:eastAsia="Times New Roman" w:cs="Times New Roman"/>
          <w:sz w:val="28"/>
          <w:szCs w:val="28"/>
          <w:lang w:val="uk-UA" w:eastAsia="ru-RU"/>
        </w:rPr>
        <w:t xml:space="preserve"> Насамперед слід звернути увагу, що пенсія за вислугу років як така не є притаманною для страхової пенсійної системи, не узгоджується зі змістом Закону України «Про загальнообов’язкове державне пенсійне страхування», а її виплата є невластивою</w:t>
      </w:r>
      <w:r w:rsidRPr="00233A70">
        <w:rPr>
          <w:rFonts w:eastAsia="Times New Roman" w:cs="Times New Roman"/>
          <w:sz w:val="28"/>
          <w:szCs w:val="28"/>
          <w:lang w:val="uk-UA" w:eastAsia="ru-RU"/>
        </w:rPr>
        <w:t xml:space="preserve"> для Пенсійного фонду України. Вважаємо, що з метою збереження стабільності страхової солідарної пенсійної системи та запобігання виникненню правових колізій у пенсійному законодавстві підняті у законопроекті питання доцільніше врегульовувати у відповідних законодавчих актах щодо запровадження пенсійного забезпечення через професійні  та корпоративні фонди, прийняття яких було передбачено у </w:t>
      </w:r>
      <w:r w:rsidR="001502D6">
        <w:rPr>
          <w:rFonts w:eastAsia="Times New Roman" w:cs="Times New Roman"/>
          <w:sz w:val="28"/>
          <w:szCs w:val="28"/>
          <w:lang w:val="uk-UA" w:eastAsia="ru-RU"/>
        </w:rPr>
        <w:t xml:space="preserve">                       </w:t>
      </w:r>
      <w:r w:rsidRPr="00233A70">
        <w:rPr>
          <w:rFonts w:eastAsia="Times New Roman" w:cs="Times New Roman"/>
          <w:sz w:val="28"/>
          <w:szCs w:val="28"/>
          <w:lang w:val="uk-UA" w:eastAsia="ru-RU"/>
        </w:rPr>
        <w:t>п</w:t>
      </w:r>
      <w:r w:rsidR="00233A70">
        <w:rPr>
          <w:rFonts w:eastAsia="Times New Roman" w:cs="Times New Roman"/>
          <w:sz w:val="28"/>
          <w:szCs w:val="28"/>
          <w:lang w:val="uk-UA" w:eastAsia="ru-RU"/>
        </w:rPr>
        <w:t xml:space="preserve">. </w:t>
      </w:r>
      <w:r w:rsidRPr="00233A70">
        <w:rPr>
          <w:rFonts w:eastAsia="Times New Roman" w:cs="Times New Roman"/>
          <w:sz w:val="28"/>
          <w:szCs w:val="28"/>
          <w:lang w:val="uk-UA" w:eastAsia="ru-RU"/>
        </w:rPr>
        <w:t>2 розділу ХV «Прикінцеві положення» Закону України «Про загальнообов’язкове державне пенсійне страхування» на момент його прийняття</w:t>
      </w:r>
      <w:r w:rsidR="00233A70" w:rsidRPr="00233A70">
        <w:rPr>
          <w:rFonts w:eastAsia="Times New Roman" w:cs="Times New Roman"/>
          <w:sz w:val="28"/>
          <w:szCs w:val="28"/>
          <w:lang w:val="uk-UA" w:eastAsia="ru-RU"/>
        </w:rPr>
        <w:t xml:space="preserve"> (</w:t>
      </w:r>
      <w:r w:rsidR="00233A70" w:rsidRPr="00233A70">
        <w:rPr>
          <w:sz w:val="28"/>
          <w:szCs w:val="28"/>
          <w:lang w:val="uk-UA"/>
        </w:rPr>
        <w:t>положення про виплату пенсій за вислугу років через  професійні та корпоративні форми було виключено з цього пункту у його нової редакції на підставі Законом України «</w:t>
      </w:r>
      <w:r w:rsidR="00233A70" w:rsidRPr="00233A70">
        <w:rPr>
          <w:rStyle w:val="st24"/>
          <w:b w:val="0"/>
          <w:sz w:val="28"/>
          <w:szCs w:val="28"/>
          <w:lang w:val="uk-UA"/>
        </w:rPr>
        <w:t xml:space="preserve">Про внесення змін до деяких законодавчих актів України щодо підвищення пенсій» від 03.10.2017 </w:t>
      </w:r>
      <w:r w:rsidR="00233A70" w:rsidRPr="00233A70">
        <w:rPr>
          <w:rFonts w:cs="Times New Roman"/>
          <w:bCs/>
          <w:color w:val="000000"/>
          <w:sz w:val="28"/>
          <w:szCs w:val="28"/>
          <w:lang w:val="uk-UA"/>
        </w:rPr>
        <w:t>№ 2148-</w:t>
      </w:r>
      <w:r w:rsidR="00233A70" w:rsidRPr="00233A70">
        <w:rPr>
          <w:rFonts w:cs="Times New Roman"/>
          <w:bCs/>
          <w:color w:val="000000"/>
          <w:sz w:val="28"/>
          <w:szCs w:val="28"/>
        </w:rPr>
        <w:t>VIII</w:t>
      </w:r>
      <w:r w:rsidR="00233A70">
        <w:rPr>
          <w:rFonts w:cs="Times New Roman"/>
          <w:bCs/>
          <w:color w:val="000000"/>
          <w:sz w:val="28"/>
          <w:szCs w:val="28"/>
          <w:lang w:val="uk-UA"/>
        </w:rPr>
        <w:t>)</w:t>
      </w:r>
      <w:r w:rsidR="00233A70" w:rsidRPr="00233A70">
        <w:rPr>
          <w:rFonts w:cs="Times New Roman"/>
          <w:bCs/>
          <w:color w:val="000000"/>
          <w:sz w:val="28"/>
          <w:szCs w:val="28"/>
          <w:lang w:val="uk-UA"/>
        </w:rPr>
        <w:t>.</w:t>
      </w:r>
      <w:r w:rsidRPr="00233A70">
        <w:rPr>
          <w:rFonts w:eastAsia="Times New Roman" w:cs="Times New Roman"/>
          <w:szCs w:val="28"/>
          <w:lang w:val="uk-UA" w:eastAsia="ru-RU"/>
        </w:rPr>
        <w:t xml:space="preserve"> </w:t>
      </w:r>
      <w:r w:rsidR="00F20002">
        <w:rPr>
          <w:rFonts w:eastAsia="Times New Roman" w:cs="Times New Roman"/>
          <w:szCs w:val="28"/>
          <w:lang w:val="uk-UA" w:eastAsia="ru-RU"/>
        </w:rPr>
        <w:t xml:space="preserve">                                              </w:t>
      </w:r>
      <w:bookmarkStart w:id="0" w:name="_GoBack"/>
      <w:bookmarkEnd w:id="0"/>
      <w:r w:rsidRPr="00233A70">
        <w:rPr>
          <w:rFonts w:eastAsia="Times New Roman" w:cs="Times New Roman"/>
          <w:sz w:val="28"/>
          <w:szCs w:val="28"/>
          <w:lang w:val="uk-UA" w:eastAsia="ru-RU"/>
        </w:rPr>
        <w:lastRenderedPageBreak/>
        <w:t xml:space="preserve">Тому регулювання питань пенсійного </w:t>
      </w:r>
      <w:r w:rsidRPr="00012A47">
        <w:rPr>
          <w:rFonts w:eastAsia="Times New Roman" w:cs="Times New Roman"/>
          <w:sz w:val="28"/>
          <w:szCs w:val="28"/>
          <w:lang w:val="uk-UA" w:eastAsia="ru-RU"/>
        </w:rPr>
        <w:t xml:space="preserve">забезпечення цих осіб, на нашу думку, необхідно здійснювати саме через вказані законодавчі акти з урахуванням висновків експертизи умов праці та відповідних медичних досліджень, висновків щодо втрати професійної </w:t>
      </w:r>
      <w:r w:rsidR="004B51A4" w:rsidRPr="00012A47">
        <w:rPr>
          <w:rFonts w:eastAsia="Times New Roman" w:cs="Times New Roman"/>
          <w:sz w:val="28"/>
          <w:szCs w:val="28"/>
          <w:lang w:val="uk-UA" w:eastAsia="ru-RU"/>
        </w:rPr>
        <w:t>пр</w:t>
      </w:r>
      <w:r w:rsidR="00012A47">
        <w:rPr>
          <w:rFonts w:eastAsia="Times New Roman" w:cs="Times New Roman"/>
          <w:sz w:val="28"/>
          <w:szCs w:val="28"/>
          <w:lang w:val="uk-UA" w:eastAsia="ru-RU"/>
        </w:rPr>
        <w:t>идатності</w:t>
      </w:r>
      <w:r w:rsidR="004B51A4" w:rsidRPr="00012A47">
        <w:rPr>
          <w:rFonts w:eastAsia="Times New Roman" w:cs="Times New Roman"/>
          <w:sz w:val="28"/>
          <w:szCs w:val="28"/>
          <w:lang w:val="uk-UA" w:eastAsia="ru-RU"/>
        </w:rPr>
        <w:t xml:space="preserve"> </w:t>
      </w:r>
      <w:r w:rsidRPr="00012A47">
        <w:rPr>
          <w:rFonts w:eastAsia="Times New Roman" w:cs="Times New Roman"/>
          <w:sz w:val="28"/>
          <w:szCs w:val="28"/>
          <w:lang w:val="uk-UA" w:eastAsia="ru-RU"/>
        </w:rPr>
        <w:t>в сучасних умовах трудової діяльності цих працівників.</w:t>
      </w:r>
    </w:p>
    <w:p w:rsidR="006B2980" w:rsidRDefault="006B2980" w:rsidP="006B2980">
      <w:pPr>
        <w:keepNext/>
        <w:keepLines/>
        <w:spacing w:after="0" w:line="240" w:lineRule="auto"/>
        <w:ind w:firstLine="709"/>
        <w:contextualSpacing/>
        <w:jc w:val="both"/>
        <w:rPr>
          <w:rFonts w:eastAsia="Times New Roman" w:cs="Times New Roman"/>
          <w:szCs w:val="28"/>
          <w:lang w:val="uk-UA" w:eastAsia="ru-RU"/>
        </w:rPr>
      </w:pPr>
      <w:r w:rsidRPr="00012A47">
        <w:rPr>
          <w:rFonts w:eastAsia="Times New Roman" w:cs="Times New Roman"/>
          <w:b/>
          <w:szCs w:val="28"/>
          <w:lang w:val="uk-UA" w:eastAsia="ru-RU"/>
        </w:rPr>
        <w:t>2.</w:t>
      </w:r>
      <w:r w:rsidRPr="00012A47">
        <w:rPr>
          <w:rFonts w:eastAsia="Times New Roman" w:cs="Times New Roman"/>
          <w:szCs w:val="28"/>
          <w:lang w:val="uk-UA" w:eastAsia="ru-RU"/>
        </w:rPr>
        <w:t xml:space="preserve"> Водночас у період до запровадження пенсійного забезпечення через професійні та корпоративні фонди, Головне управління не заперечує щодо   збереження за громадянами, які відпрацювали або продовжують працювати на посадах чи за професіями, що давали або дають право на пенсію за вислугу років</w:t>
      </w:r>
      <w:r w:rsidR="004B51A4" w:rsidRPr="00012A47">
        <w:rPr>
          <w:rFonts w:eastAsia="Times New Roman" w:cs="Times New Roman"/>
          <w:szCs w:val="28"/>
          <w:lang w:val="uk-UA" w:eastAsia="ru-RU"/>
        </w:rPr>
        <w:t>,</w:t>
      </w:r>
      <w:r w:rsidRPr="00012A47">
        <w:rPr>
          <w:rFonts w:eastAsia="Times New Roman" w:cs="Times New Roman"/>
          <w:szCs w:val="28"/>
          <w:lang w:val="uk-UA" w:eastAsia="ru-RU"/>
        </w:rPr>
        <w:t xml:space="preserve"> право на їх виплату на підставі відповідних положень Закону України «Про</w:t>
      </w:r>
      <w:r w:rsidR="004B51A4" w:rsidRPr="00012A47">
        <w:rPr>
          <w:rFonts w:eastAsia="Times New Roman" w:cs="Times New Roman"/>
          <w:szCs w:val="28"/>
          <w:lang w:val="uk-UA" w:eastAsia="ru-RU"/>
        </w:rPr>
        <w:t xml:space="preserve"> пенсійне</w:t>
      </w:r>
      <w:r w:rsidR="004B51A4">
        <w:rPr>
          <w:rFonts w:eastAsia="Times New Roman" w:cs="Times New Roman"/>
          <w:szCs w:val="28"/>
          <w:lang w:val="uk-UA" w:eastAsia="ru-RU"/>
        </w:rPr>
        <w:t xml:space="preserve"> забезпечення». Проте пропозиція</w:t>
      </w:r>
      <w:r w:rsidRPr="00233A70">
        <w:rPr>
          <w:rFonts w:eastAsia="Times New Roman" w:cs="Times New Roman"/>
          <w:szCs w:val="28"/>
          <w:lang w:val="uk-UA" w:eastAsia="ru-RU"/>
        </w:rPr>
        <w:t xml:space="preserve"> п. 2 розділу ІІ «Прикінцеві положення» проекту щодо фінансування зазначених у проекті пенсій з державного бюджету  не забезпечить його реалізацію у повній мірі, оскільки вона поширюється тільки на осіб, «які, починаючи з </w:t>
      </w:r>
      <w:r w:rsidR="004B51A4">
        <w:rPr>
          <w:rFonts w:eastAsia="Times New Roman" w:cs="Times New Roman"/>
          <w:szCs w:val="28"/>
          <w:lang w:val="uk-UA" w:eastAsia="ru-RU"/>
        </w:rPr>
        <w:br/>
      </w:r>
      <w:r w:rsidRPr="00233A70">
        <w:rPr>
          <w:rFonts w:eastAsia="Times New Roman" w:cs="Times New Roman"/>
          <w:szCs w:val="28"/>
          <w:lang w:val="uk-UA" w:eastAsia="ru-RU"/>
        </w:rPr>
        <w:t xml:space="preserve">1 квітня 2015 року мали вислугу років та стаж, необхідний для призначення пенсій за вислугу років, на умовах, що були визначені </w:t>
      </w:r>
      <w:r w:rsidR="001502D6">
        <w:rPr>
          <w:rFonts w:eastAsia="Times New Roman" w:cs="Times New Roman"/>
          <w:szCs w:val="28"/>
          <w:lang w:val="uk-UA" w:eastAsia="ru-RU"/>
        </w:rPr>
        <w:t xml:space="preserve">                                               </w:t>
      </w:r>
      <w:r w:rsidRPr="00233A70">
        <w:rPr>
          <w:rFonts w:eastAsia="Times New Roman" w:cs="Times New Roman"/>
          <w:szCs w:val="28"/>
          <w:lang w:val="uk-UA" w:eastAsia="ru-RU"/>
        </w:rPr>
        <w:t>статтями 52,</w:t>
      </w:r>
      <w:r w:rsidR="004B51A4">
        <w:rPr>
          <w:rFonts w:eastAsia="Times New Roman" w:cs="Times New Roman"/>
          <w:szCs w:val="28"/>
          <w:lang w:val="uk-UA" w:eastAsia="ru-RU"/>
        </w:rPr>
        <w:t xml:space="preserve"> </w:t>
      </w:r>
      <w:r w:rsidRPr="00233A70">
        <w:rPr>
          <w:rFonts w:eastAsia="Times New Roman" w:cs="Times New Roman"/>
          <w:szCs w:val="28"/>
          <w:lang w:val="uk-UA" w:eastAsia="ru-RU"/>
        </w:rPr>
        <w:t>54 та</w:t>
      </w:r>
      <w:r w:rsidR="001502D6">
        <w:rPr>
          <w:rFonts w:eastAsia="Times New Roman" w:cs="Times New Roman"/>
          <w:szCs w:val="28"/>
          <w:lang w:val="uk-UA" w:eastAsia="ru-RU"/>
        </w:rPr>
        <w:t xml:space="preserve"> </w:t>
      </w:r>
      <w:r w:rsidRPr="00233A70">
        <w:rPr>
          <w:rFonts w:eastAsia="Times New Roman" w:cs="Times New Roman"/>
          <w:szCs w:val="28"/>
          <w:lang w:val="uk-UA" w:eastAsia="ru-RU"/>
        </w:rPr>
        <w:t xml:space="preserve">55 Закону України «Про пенсійне забезпечення» станом </w:t>
      </w:r>
      <w:r w:rsidR="001502D6">
        <w:rPr>
          <w:rFonts w:eastAsia="Times New Roman" w:cs="Times New Roman"/>
          <w:szCs w:val="28"/>
          <w:lang w:val="uk-UA" w:eastAsia="ru-RU"/>
        </w:rPr>
        <w:t xml:space="preserve">                </w:t>
      </w:r>
      <w:r w:rsidRPr="00233A70">
        <w:rPr>
          <w:rFonts w:eastAsia="Times New Roman" w:cs="Times New Roman"/>
          <w:szCs w:val="28"/>
          <w:lang w:val="uk-UA" w:eastAsia="ru-RU"/>
        </w:rPr>
        <w:t xml:space="preserve">на 31 березня 2015 року».  </w:t>
      </w:r>
    </w:p>
    <w:p w:rsidR="006B2980" w:rsidRPr="00233A70" w:rsidRDefault="006B2980" w:rsidP="006B2980">
      <w:pPr>
        <w:keepNext/>
        <w:keepLines/>
        <w:spacing w:after="0" w:line="240" w:lineRule="auto"/>
        <w:ind w:firstLine="709"/>
        <w:contextualSpacing/>
        <w:jc w:val="both"/>
        <w:rPr>
          <w:rFonts w:eastAsia="Times New Roman" w:cs="Times New Roman"/>
          <w:szCs w:val="28"/>
          <w:lang w:val="uk-UA" w:eastAsia="ru-RU"/>
        </w:rPr>
      </w:pPr>
      <w:r w:rsidRPr="00932CA0">
        <w:rPr>
          <w:rFonts w:eastAsia="Times New Roman" w:cs="Times New Roman"/>
          <w:b/>
          <w:szCs w:val="28"/>
          <w:lang w:val="uk-UA" w:eastAsia="ru-RU"/>
        </w:rPr>
        <w:t>3.</w:t>
      </w:r>
      <w:r w:rsidRPr="00233A70">
        <w:rPr>
          <w:rFonts w:eastAsia="Times New Roman" w:cs="Times New Roman"/>
          <w:szCs w:val="28"/>
          <w:lang w:val="uk-UA" w:eastAsia="ru-RU"/>
        </w:rPr>
        <w:t xml:space="preserve"> Враховуючи, що реалізація положень законопроекту потребуватиме додаткових видатків за рахунок коштів Державного бюджету,  що визнається і у п. 5 пояснювальної записки до нього, звертаємо увагу на необхідність дотримання вимог ст</w:t>
      </w:r>
      <w:r w:rsidR="003323FC">
        <w:rPr>
          <w:rFonts w:eastAsia="Times New Roman" w:cs="Times New Roman"/>
          <w:szCs w:val="28"/>
          <w:lang w:val="uk-UA" w:eastAsia="ru-RU"/>
        </w:rPr>
        <w:t>.</w:t>
      </w:r>
      <w:r w:rsidRPr="00233A70">
        <w:rPr>
          <w:rFonts w:eastAsia="Times New Roman" w:cs="Times New Roman"/>
          <w:szCs w:val="28"/>
          <w:lang w:val="uk-UA" w:eastAsia="ru-RU"/>
        </w:rPr>
        <w:t xml:space="preserve"> 91 Регламенту Верховної Ради України та </w:t>
      </w:r>
      <w:r w:rsidR="003D6B0C">
        <w:rPr>
          <w:rFonts w:eastAsia="Times New Roman" w:cs="Times New Roman"/>
          <w:szCs w:val="28"/>
          <w:lang w:val="uk-UA" w:eastAsia="ru-RU"/>
        </w:rPr>
        <w:t xml:space="preserve">                                          </w:t>
      </w:r>
      <w:r w:rsidRPr="00233A70">
        <w:rPr>
          <w:rFonts w:eastAsia="Times New Roman" w:cs="Times New Roman"/>
          <w:szCs w:val="28"/>
          <w:lang w:val="uk-UA" w:eastAsia="ru-RU"/>
        </w:rPr>
        <w:t>ст</w:t>
      </w:r>
      <w:r w:rsidR="003323FC">
        <w:rPr>
          <w:rFonts w:eastAsia="Times New Roman" w:cs="Times New Roman"/>
          <w:szCs w:val="28"/>
          <w:lang w:val="uk-UA" w:eastAsia="ru-RU"/>
        </w:rPr>
        <w:t>.</w:t>
      </w:r>
      <w:r w:rsidRPr="00233A70">
        <w:rPr>
          <w:rFonts w:eastAsia="Times New Roman" w:cs="Times New Roman"/>
          <w:szCs w:val="28"/>
          <w:lang w:val="uk-UA" w:eastAsia="ru-RU"/>
        </w:rPr>
        <w:t xml:space="preserve"> 27 Бюджетного кодексу України щодо надання до проекту належного фінансово-економічного обґрунтування законопроекту (включаючи відповідні розрахунки</w:t>
      </w:r>
      <w:r w:rsidR="004B51A4">
        <w:rPr>
          <w:rFonts w:eastAsia="Times New Roman" w:cs="Times New Roman"/>
          <w:szCs w:val="28"/>
          <w:lang w:val="uk-UA" w:eastAsia="ru-RU"/>
        </w:rPr>
        <w:t>), та, оскільки його прийняття</w:t>
      </w:r>
      <w:r w:rsidRPr="00233A70">
        <w:rPr>
          <w:rFonts w:eastAsia="Times New Roman" w:cs="Times New Roman"/>
          <w:szCs w:val="28"/>
          <w:lang w:val="uk-UA" w:eastAsia="ru-RU"/>
        </w:rPr>
        <w:t xml:space="preserve"> призведе до зміни показників бюджету, які передбачають збільшення витрат бюджету, до законопроекту мають подаватися пропозиції змін до законодавчих актів щодо скорочення витрат бюджету та/або джерел додаткових надходжень бюджету для досягнення його збалансованості.</w:t>
      </w:r>
    </w:p>
    <w:p w:rsidR="006B2980" w:rsidRPr="00233A70" w:rsidRDefault="006B2980" w:rsidP="006B2980">
      <w:pPr>
        <w:keepNext/>
        <w:keepLines/>
        <w:spacing w:after="0" w:line="240" w:lineRule="auto"/>
        <w:ind w:firstLine="709"/>
        <w:contextualSpacing/>
        <w:jc w:val="both"/>
        <w:rPr>
          <w:rFonts w:eastAsia="Times New Roman" w:cs="Times New Roman"/>
          <w:szCs w:val="28"/>
          <w:lang w:val="uk-UA" w:eastAsia="ru-RU"/>
        </w:rPr>
      </w:pPr>
      <w:r w:rsidRPr="00233A70">
        <w:rPr>
          <w:rFonts w:eastAsia="Times New Roman" w:cs="Times New Roman"/>
          <w:b/>
          <w:szCs w:val="28"/>
          <w:lang w:val="uk-UA" w:eastAsia="ru-RU"/>
        </w:rPr>
        <w:t>4.</w:t>
      </w:r>
      <w:r w:rsidR="004B51A4">
        <w:rPr>
          <w:rFonts w:eastAsia="Times New Roman" w:cs="Times New Roman"/>
          <w:szCs w:val="28"/>
          <w:lang w:val="uk-UA" w:eastAsia="ru-RU"/>
        </w:rPr>
        <w:t xml:space="preserve"> Виходячи з </w:t>
      </w:r>
      <w:r w:rsidRPr="00233A70">
        <w:rPr>
          <w:rFonts w:eastAsia="Times New Roman" w:cs="Times New Roman"/>
          <w:szCs w:val="28"/>
          <w:lang w:val="uk-UA" w:eastAsia="ru-RU"/>
        </w:rPr>
        <w:t>вимог ст</w:t>
      </w:r>
      <w:r w:rsidR="003323FC">
        <w:rPr>
          <w:rFonts w:eastAsia="Times New Roman" w:cs="Times New Roman"/>
          <w:szCs w:val="28"/>
          <w:lang w:val="uk-UA" w:eastAsia="ru-RU"/>
        </w:rPr>
        <w:t>.</w:t>
      </w:r>
      <w:r w:rsidRPr="00233A70">
        <w:rPr>
          <w:rFonts w:eastAsia="Times New Roman" w:cs="Times New Roman"/>
          <w:szCs w:val="28"/>
          <w:lang w:val="uk-UA" w:eastAsia="ru-RU"/>
        </w:rPr>
        <w:t xml:space="preserve"> 116 Конституції України, згідно з якою Кабін</w:t>
      </w:r>
      <w:r w:rsidR="004B51A4">
        <w:rPr>
          <w:rFonts w:eastAsia="Times New Roman" w:cs="Times New Roman"/>
          <w:szCs w:val="28"/>
          <w:lang w:val="uk-UA" w:eastAsia="ru-RU"/>
        </w:rPr>
        <w:t xml:space="preserve">ет Міністрів України, зокрема, </w:t>
      </w:r>
      <w:r w:rsidRPr="00233A70">
        <w:rPr>
          <w:rFonts w:eastAsia="Times New Roman" w:cs="Times New Roman"/>
          <w:szCs w:val="28"/>
          <w:lang w:val="uk-UA" w:eastAsia="ru-RU"/>
        </w:rPr>
        <w:t>забезпечує проведення фінансової політики та політики</w:t>
      </w:r>
      <w:r w:rsidR="00932CA0">
        <w:rPr>
          <w:rFonts w:eastAsia="Times New Roman" w:cs="Times New Roman"/>
          <w:szCs w:val="28"/>
          <w:lang w:val="uk-UA" w:eastAsia="ru-RU"/>
        </w:rPr>
        <w:t xml:space="preserve"> </w:t>
      </w:r>
      <w:r w:rsidRPr="00233A70">
        <w:rPr>
          <w:rFonts w:eastAsia="Times New Roman" w:cs="Times New Roman"/>
          <w:szCs w:val="28"/>
          <w:lang w:val="uk-UA" w:eastAsia="ru-RU"/>
        </w:rPr>
        <w:t>у сфері соціального захисту, Головне управління вважає, що щодо внесеного законопроекту доцільно отримати відповідний експертний висновок Уряду.</w:t>
      </w:r>
    </w:p>
    <w:p w:rsidR="006B2980" w:rsidRPr="00233A70" w:rsidRDefault="006B2980" w:rsidP="006B2980">
      <w:pPr>
        <w:keepNext/>
        <w:keepLines/>
        <w:spacing w:after="0" w:line="240" w:lineRule="auto"/>
        <w:ind w:firstLine="709"/>
        <w:contextualSpacing/>
        <w:jc w:val="both"/>
        <w:rPr>
          <w:rFonts w:eastAsia="Times New Roman" w:cs="Times New Roman"/>
          <w:szCs w:val="28"/>
          <w:lang w:val="uk-UA" w:eastAsia="ru-RU"/>
        </w:rPr>
      </w:pPr>
    </w:p>
    <w:p w:rsidR="006B2980" w:rsidRPr="00233A70" w:rsidRDefault="006B2980" w:rsidP="006B2980">
      <w:pPr>
        <w:keepNext/>
        <w:keepLines/>
        <w:spacing w:after="0" w:line="240" w:lineRule="auto"/>
        <w:ind w:firstLine="709"/>
        <w:contextualSpacing/>
        <w:jc w:val="both"/>
        <w:rPr>
          <w:rFonts w:eastAsia="Times New Roman" w:cs="Times New Roman"/>
          <w:szCs w:val="28"/>
          <w:lang w:val="uk-UA" w:eastAsia="ru-RU"/>
        </w:rPr>
      </w:pPr>
    </w:p>
    <w:p w:rsidR="006B2980" w:rsidRPr="00233A70" w:rsidRDefault="006B2980" w:rsidP="006B2980">
      <w:pPr>
        <w:spacing w:after="0" w:line="240" w:lineRule="auto"/>
        <w:ind w:firstLine="709"/>
        <w:jc w:val="both"/>
        <w:rPr>
          <w:rFonts w:eastAsia="Times New Roman" w:cs="Times New Roman"/>
          <w:szCs w:val="28"/>
          <w:lang w:val="uk-UA" w:eastAsia="en-GB"/>
        </w:rPr>
      </w:pPr>
      <w:r w:rsidRPr="00233A70">
        <w:rPr>
          <w:rFonts w:eastAsia="Times New Roman" w:cs="Times New Roman"/>
          <w:szCs w:val="28"/>
          <w:lang w:val="uk-UA" w:eastAsia="en-GB"/>
        </w:rPr>
        <w:t xml:space="preserve">Керівник Головного управління  </w:t>
      </w:r>
      <w:r w:rsidRPr="00233A70">
        <w:rPr>
          <w:rFonts w:eastAsia="Times New Roman" w:cs="Times New Roman"/>
          <w:szCs w:val="28"/>
          <w:lang w:val="uk-UA" w:eastAsia="en-GB"/>
        </w:rPr>
        <w:tab/>
      </w:r>
      <w:r w:rsidRPr="00233A70">
        <w:rPr>
          <w:rFonts w:eastAsia="Times New Roman" w:cs="Times New Roman"/>
          <w:szCs w:val="28"/>
          <w:lang w:val="uk-UA" w:eastAsia="en-GB"/>
        </w:rPr>
        <w:tab/>
        <w:t xml:space="preserve">                </w:t>
      </w:r>
      <w:r w:rsidR="00233A70">
        <w:rPr>
          <w:rFonts w:eastAsia="Times New Roman" w:cs="Times New Roman"/>
          <w:szCs w:val="28"/>
          <w:lang w:val="uk-UA" w:eastAsia="en-GB"/>
        </w:rPr>
        <w:t xml:space="preserve">          </w:t>
      </w:r>
      <w:r w:rsidRPr="00233A70">
        <w:rPr>
          <w:rFonts w:eastAsia="Times New Roman" w:cs="Times New Roman"/>
          <w:szCs w:val="28"/>
          <w:lang w:val="uk-UA" w:eastAsia="en-GB"/>
        </w:rPr>
        <w:t>С.</w:t>
      </w:r>
      <w:r w:rsidR="00233A70">
        <w:rPr>
          <w:rFonts w:eastAsia="Times New Roman" w:cs="Times New Roman"/>
          <w:szCs w:val="28"/>
          <w:lang w:val="uk-UA" w:eastAsia="en-GB"/>
        </w:rPr>
        <w:t xml:space="preserve"> </w:t>
      </w:r>
      <w:r w:rsidRPr="00233A70">
        <w:rPr>
          <w:rFonts w:eastAsia="Times New Roman" w:cs="Times New Roman"/>
          <w:szCs w:val="28"/>
          <w:lang w:val="uk-UA" w:eastAsia="en-GB"/>
        </w:rPr>
        <w:t>Тихонюк</w:t>
      </w:r>
    </w:p>
    <w:p w:rsidR="006B2980" w:rsidRPr="00233A70" w:rsidRDefault="006B2980" w:rsidP="006B2980">
      <w:pPr>
        <w:spacing w:after="0" w:line="240" w:lineRule="auto"/>
        <w:ind w:firstLine="709"/>
        <w:jc w:val="both"/>
        <w:rPr>
          <w:rFonts w:eastAsia="Times New Roman" w:cs="Times New Roman"/>
          <w:szCs w:val="28"/>
          <w:lang w:val="uk-UA" w:eastAsia="ru-RU"/>
        </w:rPr>
      </w:pPr>
    </w:p>
    <w:p w:rsidR="006B2980" w:rsidRPr="00233A70" w:rsidRDefault="006B2980" w:rsidP="006B2980">
      <w:pPr>
        <w:spacing w:after="0" w:line="240" w:lineRule="auto"/>
        <w:ind w:firstLine="709"/>
        <w:jc w:val="both"/>
        <w:rPr>
          <w:rFonts w:eastAsia="Times New Roman" w:cs="Times New Roman"/>
          <w:sz w:val="24"/>
          <w:szCs w:val="24"/>
          <w:lang w:val="uk-UA" w:eastAsia="ru-RU"/>
        </w:rPr>
      </w:pPr>
    </w:p>
    <w:p w:rsidR="005204CF" w:rsidRPr="004B51A4" w:rsidRDefault="00233A70" w:rsidP="00233A70">
      <w:pPr>
        <w:tabs>
          <w:tab w:val="left" w:pos="6946"/>
        </w:tabs>
        <w:spacing w:after="0" w:line="240" w:lineRule="auto"/>
        <w:ind w:firstLine="709"/>
        <w:jc w:val="both"/>
        <w:rPr>
          <w:lang w:val="uk-UA"/>
        </w:rPr>
      </w:pPr>
      <w:r w:rsidRPr="00012A47">
        <w:rPr>
          <w:rFonts w:eastAsia="Times New Roman" w:cs="Times New Roman"/>
          <w:sz w:val="20"/>
          <w:szCs w:val="20"/>
          <w:lang w:val="uk-UA" w:eastAsia="ru-RU"/>
        </w:rPr>
        <w:t>Вик.:    Н.</w:t>
      </w:r>
      <w:r w:rsidR="006B2980" w:rsidRPr="00012A47">
        <w:rPr>
          <w:rFonts w:eastAsia="Times New Roman" w:cs="Times New Roman"/>
          <w:sz w:val="20"/>
          <w:szCs w:val="20"/>
          <w:lang w:val="uk-UA" w:eastAsia="ru-RU"/>
        </w:rPr>
        <w:t xml:space="preserve"> Лаврухіна</w:t>
      </w:r>
      <w:r w:rsidR="006B2980" w:rsidRPr="004B51A4">
        <w:rPr>
          <w:rFonts w:eastAsia="Times New Roman" w:cs="Times New Roman"/>
          <w:sz w:val="20"/>
          <w:szCs w:val="20"/>
          <w:lang w:val="uk-UA" w:eastAsia="ru-RU"/>
        </w:rPr>
        <w:t xml:space="preserve"> </w:t>
      </w:r>
    </w:p>
    <w:sectPr w:rsidR="005204CF" w:rsidRPr="004B51A4" w:rsidSect="006B2980">
      <w:headerReference w:type="default" r:id="rId7"/>
      <w:headerReference w:type="first" r:id="rId8"/>
      <w:pgSz w:w="11906" w:h="16838"/>
      <w:pgMar w:top="1135" w:right="850" w:bottom="1134" w:left="1701" w:header="284"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35D8E" w:rsidRDefault="00535D8E" w:rsidP="006B2980">
      <w:pPr>
        <w:spacing w:after="0" w:line="240" w:lineRule="auto"/>
      </w:pPr>
      <w:r>
        <w:separator/>
      </w:r>
    </w:p>
  </w:endnote>
  <w:endnote w:type="continuationSeparator" w:id="0">
    <w:p w:rsidR="00535D8E" w:rsidRDefault="00535D8E" w:rsidP="006B29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ntiqua">
    <w:altName w:val="Arial"/>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35D8E" w:rsidRDefault="00535D8E" w:rsidP="006B2980">
      <w:pPr>
        <w:spacing w:after="0" w:line="240" w:lineRule="auto"/>
      </w:pPr>
      <w:r>
        <w:separator/>
      </w:r>
    </w:p>
  </w:footnote>
  <w:footnote w:type="continuationSeparator" w:id="0">
    <w:p w:rsidR="00535D8E" w:rsidRDefault="00535D8E" w:rsidP="006B29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42515230"/>
      <w:docPartObj>
        <w:docPartGallery w:val="Page Numbers (Top of Page)"/>
        <w:docPartUnique/>
      </w:docPartObj>
    </w:sdtPr>
    <w:sdtEndPr>
      <w:rPr>
        <w:rFonts w:cstheme="minorHAnsi"/>
        <w:sz w:val="20"/>
      </w:rPr>
    </w:sdtEndPr>
    <w:sdtContent>
      <w:p w:rsidR="008459FA" w:rsidRPr="008E72A5" w:rsidRDefault="003E7FC9">
        <w:pPr>
          <w:pStyle w:val="a3"/>
          <w:jc w:val="right"/>
          <w:rPr>
            <w:rFonts w:cstheme="minorHAnsi"/>
            <w:sz w:val="20"/>
          </w:rPr>
        </w:pPr>
        <w:r w:rsidRPr="008E72A5">
          <w:rPr>
            <w:rFonts w:cstheme="minorHAnsi"/>
            <w:sz w:val="20"/>
          </w:rPr>
          <w:fldChar w:fldCharType="begin"/>
        </w:r>
        <w:r w:rsidR="0094302E" w:rsidRPr="008E72A5">
          <w:rPr>
            <w:rFonts w:cstheme="minorHAnsi"/>
            <w:sz w:val="20"/>
          </w:rPr>
          <w:instrText>PAGE   \* MERGEFORMAT</w:instrText>
        </w:r>
        <w:r w:rsidRPr="008E72A5">
          <w:rPr>
            <w:rFonts w:cstheme="minorHAnsi"/>
            <w:sz w:val="20"/>
          </w:rPr>
          <w:fldChar w:fldCharType="separate"/>
        </w:r>
        <w:r w:rsidR="00F20002" w:rsidRPr="00F20002">
          <w:rPr>
            <w:rFonts w:cstheme="minorHAnsi"/>
            <w:noProof/>
            <w:sz w:val="20"/>
            <w:lang w:val="uk-UA"/>
          </w:rPr>
          <w:t>2</w:t>
        </w:r>
        <w:r w:rsidRPr="008E72A5">
          <w:rPr>
            <w:rFonts w:cstheme="minorHAnsi"/>
            <w:sz w:val="20"/>
          </w:rPr>
          <w:fldChar w:fldCharType="end"/>
        </w:r>
      </w:p>
    </w:sdtContent>
  </w:sdt>
  <w:p w:rsidR="00F77707" w:rsidRDefault="00535D8E">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33850631"/>
      <w:docPartObj>
        <w:docPartGallery w:val="Page Numbers (Top of Page)"/>
        <w:docPartUnique/>
      </w:docPartObj>
    </w:sdtPr>
    <w:sdtEndPr/>
    <w:sdtContent>
      <w:p w:rsidR="008459FA" w:rsidRPr="008459FA" w:rsidRDefault="0094302E" w:rsidP="008459FA">
        <w:pPr>
          <w:spacing w:after="0"/>
          <w:contextualSpacing/>
          <w:jc w:val="right"/>
          <w:rPr>
            <w:sz w:val="20"/>
            <w:szCs w:val="20"/>
            <w:shd w:val="clear" w:color="auto" w:fill="FFFFFF"/>
          </w:rPr>
        </w:pPr>
        <w:r w:rsidRPr="008459FA">
          <w:rPr>
            <w:sz w:val="20"/>
            <w:szCs w:val="20"/>
          </w:rPr>
          <w:t xml:space="preserve">До </w:t>
        </w:r>
        <w:r w:rsidR="00EC52DE" w:rsidRPr="00012A47">
          <w:rPr>
            <w:sz w:val="20"/>
            <w:szCs w:val="20"/>
            <w:lang w:val="uk-UA"/>
          </w:rPr>
          <w:t xml:space="preserve">реєстр. </w:t>
        </w:r>
        <w:r w:rsidRPr="00012A47">
          <w:rPr>
            <w:sz w:val="20"/>
            <w:szCs w:val="20"/>
          </w:rPr>
          <w:t xml:space="preserve">№ </w:t>
        </w:r>
        <w:r w:rsidRPr="00012A47">
          <w:rPr>
            <w:sz w:val="20"/>
            <w:szCs w:val="20"/>
            <w:lang w:val="uk-UA"/>
          </w:rPr>
          <w:t>2617</w:t>
        </w:r>
        <w:r>
          <w:rPr>
            <w:sz w:val="20"/>
            <w:szCs w:val="20"/>
            <w:lang w:val="uk-UA"/>
          </w:rPr>
          <w:t>-1</w:t>
        </w:r>
        <w:r w:rsidRPr="00917018">
          <w:rPr>
            <w:sz w:val="20"/>
            <w:szCs w:val="20"/>
            <w:shd w:val="clear" w:color="auto" w:fill="FFFFFF"/>
          </w:rPr>
          <w:t xml:space="preserve"> </w:t>
        </w:r>
        <w:r>
          <w:rPr>
            <w:sz w:val="20"/>
            <w:szCs w:val="20"/>
            <w:shd w:val="clear" w:color="auto" w:fill="FFFFFF"/>
            <w:lang w:val="uk-UA"/>
          </w:rPr>
          <w:t>від 28.12.2019</w:t>
        </w:r>
      </w:p>
      <w:p w:rsidR="008459FA" w:rsidRPr="00917018" w:rsidRDefault="0094302E" w:rsidP="008459FA">
        <w:pPr>
          <w:spacing w:after="0"/>
          <w:contextualSpacing/>
          <w:jc w:val="right"/>
          <w:rPr>
            <w:sz w:val="20"/>
            <w:szCs w:val="20"/>
            <w:lang w:val="uk-UA"/>
          </w:rPr>
        </w:pPr>
        <w:r>
          <w:rPr>
            <w:sz w:val="20"/>
            <w:szCs w:val="20"/>
            <w:shd w:val="clear" w:color="auto" w:fill="FFFFFF"/>
            <w:lang w:val="uk-UA"/>
          </w:rPr>
          <w:t>Народні депутати України</w:t>
        </w:r>
      </w:p>
      <w:p w:rsidR="008459FA" w:rsidRDefault="0094302E" w:rsidP="008459FA">
        <w:pPr>
          <w:pStyle w:val="a3"/>
          <w:contextualSpacing/>
          <w:jc w:val="right"/>
        </w:pPr>
        <w:r w:rsidRPr="008459FA">
          <w:rPr>
            <w:bCs/>
            <w:sz w:val="20"/>
            <w:szCs w:val="20"/>
            <w:lang w:val="uk-UA"/>
          </w:rPr>
          <w:t xml:space="preserve">Н. </w:t>
        </w:r>
        <w:r w:rsidRPr="008459FA">
          <w:rPr>
            <w:bCs/>
            <w:sz w:val="20"/>
            <w:szCs w:val="20"/>
          </w:rPr>
          <w:t>Королевська  та інші</w:t>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2980"/>
    <w:rsid w:val="00012A47"/>
    <w:rsid w:val="00122FDD"/>
    <w:rsid w:val="001502D6"/>
    <w:rsid w:val="001735F8"/>
    <w:rsid w:val="001C4B59"/>
    <w:rsid w:val="00233A70"/>
    <w:rsid w:val="00324D24"/>
    <w:rsid w:val="003323FC"/>
    <w:rsid w:val="00376762"/>
    <w:rsid w:val="003D6B0C"/>
    <w:rsid w:val="003E7FC9"/>
    <w:rsid w:val="004B51A4"/>
    <w:rsid w:val="005204CF"/>
    <w:rsid w:val="00535D8E"/>
    <w:rsid w:val="006B2980"/>
    <w:rsid w:val="008A031C"/>
    <w:rsid w:val="00932CA0"/>
    <w:rsid w:val="0094302E"/>
    <w:rsid w:val="00A06964"/>
    <w:rsid w:val="00D3160A"/>
    <w:rsid w:val="00EC52DE"/>
    <w:rsid w:val="00EF0E84"/>
    <w:rsid w:val="00F20002"/>
    <w:rsid w:val="00FE257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8A6789"/>
  <w15:docId w15:val="{CF160591-B8E6-4070-AA3E-BA8C0D1818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ind w:firstLine="709"/>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B2980"/>
    <w:pPr>
      <w:spacing w:after="160" w:line="259" w:lineRule="auto"/>
      <w:ind w:firstLine="0"/>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B2980"/>
    <w:pPr>
      <w:tabs>
        <w:tab w:val="center" w:pos="4819"/>
        <w:tab w:val="right" w:pos="9639"/>
      </w:tabs>
      <w:spacing w:after="0" w:line="240" w:lineRule="auto"/>
    </w:pPr>
  </w:style>
  <w:style w:type="character" w:customStyle="1" w:styleId="a4">
    <w:name w:val="Верхній колонтитул Знак"/>
    <w:basedOn w:val="a0"/>
    <w:link w:val="a3"/>
    <w:uiPriority w:val="99"/>
    <w:rsid w:val="006B2980"/>
    <w:rPr>
      <w:lang w:val="ru-RU"/>
    </w:rPr>
  </w:style>
  <w:style w:type="paragraph" w:styleId="a5">
    <w:name w:val="footnote text"/>
    <w:basedOn w:val="a"/>
    <w:link w:val="a6"/>
    <w:uiPriority w:val="99"/>
    <w:unhideWhenUsed/>
    <w:rsid w:val="006B2980"/>
    <w:pPr>
      <w:spacing w:after="0" w:line="240" w:lineRule="auto"/>
    </w:pPr>
    <w:rPr>
      <w:sz w:val="20"/>
      <w:szCs w:val="20"/>
    </w:rPr>
  </w:style>
  <w:style w:type="character" w:customStyle="1" w:styleId="a6">
    <w:name w:val="Текст виноски Знак"/>
    <w:basedOn w:val="a0"/>
    <w:link w:val="a5"/>
    <w:uiPriority w:val="99"/>
    <w:rsid w:val="006B2980"/>
    <w:rPr>
      <w:sz w:val="20"/>
      <w:szCs w:val="20"/>
      <w:lang w:val="ru-RU"/>
    </w:rPr>
  </w:style>
  <w:style w:type="character" w:styleId="a7">
    <w:name w:val="footnote reference"/>
    <w:basedOn w:val="a0"/>
    <w:uiPriority w:val="99"/>
    <w:semiHidden/>
    <w:unhideWhenUsed/>
    <w:rsid w:val="006B2980"/>
    <w:rPr>
      <w:vertAlign w:val="superscript"/>
    </w:rPr>
  </w:style>
  <w:style w:type="character" w:customStyle="1" w:styleId="st24">
    <w:name w:val="st24"/>
    <w:uiPriority w:val="99"/>
    <w:rsid w:val="006B2980"/>
    <w:rPr>
      <w:rFonts w:ascii="Times New Roman" w:hAnsi="Times New Roman" w:cs="Times New Roman"/>
      <w:b/>
      <w:bCs/>
      <w:color w:val="000000"/>
      <w:sz w:val="32"/>
      <w:szCs w:val="32"/>
    </w:rPr>
  </w:style>
  <w:style w:type="paragraph" w:styleId="a8">
    <w:name w:val="footer"/>
    <w:basedOn w:val="a"/>
    <w:link w:val="a9"/>
    <w:uiPriority w:val="99"/>
    <w:semiHidden/>
    <w:unhideWhenUsed/>
    <w:rsid w:val="00EC52DE"/>
    <w:pPr>
      <w:tabs>
        <w:tab w:val="center" w:pos="4819"/>
        <w:tab w:val="right" w:pos="9639"/>
      </w:tabs>
      <w:spacing w:after="0" w:line="240" w:lineRule="auto"/>
    </w:pPr>
  </w:style>
  <w:style w:type="character" w:customStyle="1" w:styleId="a9">
    <w:name w:val="Нижній колонтитул Знак"/>
    <w:basedOn w:val="a0"/>
    <w:link w:val="a8"/>
    <w:uiPriority w:val="99"/>
    <w:semiHidden/>
    <w:rsid w:val="00EC52DE"/>
    <w:rPr>
      <w:lang w:val="ru-RU"/>
    </w:rPr>
  </w:style>
  <w:style w:type="paragraph" w:styleId="aa">
    <w:name w:val="Balloon Text"/>
    <w:basedOn w:val="a"/>
    <w:link w:val="ab"/>
    <w:uiPriority w:val="99"/>
    <w:semiHidden/>
    <w:unhideWhenUsed/>
    <w:rsid w:val="00EF0E84"/>
    <w:pPr>
      <w:spacing w:after="0" w:line="240" w:lineRule="auto"/>
    </w:pPr>
    <w:rPr>
      <w:rFonts w:ascii="Segoe UI" w:hAnsi="Segoe UI" w:cs="Segoe UI"/>
      <w:sz w:val="18"/>
      <w:szCs w:val="18"/>
    </w:rPr>
  </w:style>
  <w:style w:type="character" w:customStyle="1" w:styleId="ab">
    <w:name w:val="Текст у виносці Знак"/>
    <w:basedOn w:val="a0"/>
    <w:link w:val="aa"/>
    <w:uiPriority w:val="99"/>
    <w:semiHidden/>
    <w:rsid w:val="00EF0E84"/>
    <w:rPr>
      <w:rFonts w:ascii="Segoe UI" w:hAnsi="Segoe UI" w:cs="Segoe UI"/>
      <w:sz w:val="18"/>
      <w:szCs w:val="1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9645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4D68FA-CD50-44E4-B80A-75F3CFE7D1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3219</Words>
  <Characters>1835</Characters>
  <Application>Microsoft Office Word</Application>
  <DocSecurity>0</DocSecurity>
  <Lines>15</Lines>
  <Paragraphs>10</Paragraphs>
  <ScaleCrop>false</ScaleCrop>
  <HeadingPairs>
    <vt:vector size="4" baseType="variant">
      <vt:variant>
        <vt:lpstr>Назва</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Ігор Володимирович Зуб</dc:creator>
  <cp:lastModifiedBy>Кисельова Юлія Анатоліївна</cp:lastModifiedBy>
  <cp:revision>7</cp:revision>
  <cp:lastPrinted>2020-06-16T16:15:00Z</cp:lastPrinted>
  <dcterms:created xsi:type="dcterms:W3CDTF">2020-06-16T16:14:00Z</dcterms:created>
  <dcterms:modified xsi:type="dcterms:W3CDTF">2020-06-16T16:20:00Z</dcterms:modified>
</cp:coreProperties>
</file>