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40CA" w:rsidRPr="00B90CC1" w:rsidRDefault="002B40CA" w:rsidP="00082DC9">
      <w:pPr>
        <w:spacing w:after="60"/>
        <w:ind w:firstLine="567"/>
        <w:jc w:val="center"/>
        <w:outlineLvl w:val="3"/>
        <w:rPr>
          <w:b/>
          <w:bCs/>
        </w:rPr>
      </w:pPr>
      <w:bookmarkStart w:id="0" w:name="_GoBack"/>
      <w:bookmarkEnd w:id="0"/>
      <w:r w:rsidRPr="00B90CC1">
        <w:rPr>
          <w:b/>
          <w:bCs/>
        </w:rPr>
        <w:t>ВИСНОВОК</w:t>
      </w:r>
    </w:p>
    <w:p w:rsidR="002B40CA" w:rsidRPr="00B90CC1" w:rsidRDefault="002B40CA" w:rsidP="00082DC9">
      <w:pPr>
        <w:ind w:firstLine="567"/>
        <w:jc w:val="center"/>
        <w:outlineLvl w:val="4"/>
        <w:rPr>
          <w:b/>
        </w:rPr>
      </w:pPr>
      <w:r w:rsidRPr="00B90CC1">
        <w:rPr>
          <w:b/>
          <w:bCs/>
        </w:rPr>
        <w:t xml:space="preserve">Комітету Верховної Ради </w:t>
      </w:r>
      <w:r w:rsidRPr="00B90CC1">
        <w:rPr>
          <w:b/>
        </w:rPr>
        <w:t xml:space="preserve">України з питань </w:t>
      </w:r>
      <w:r w:rsidR="005946E4">
        <w:rPr>
          <w:b/>
        </w:rPr>
        <w:t xml:space="preserve">інтеграції України з </w:t>
      </w:r>
      <w:r w:rsidR="005946E4" w:rsidRPr="00B90CC1">
        <w:rPr>
          <w:b/>
        </w:rPr>
        <w:t>Європейськ</w:t>
      </w:r>
      <w:r w:rsidR="005946E4">
        <w:rPr>
          <w:b/>
        </w:rPr>
        <w:t>им Союзом</w:t>
      </w:r>
    </w:p>
    <w:p w:rsidR="002B40CA" w:rsidRPr="00082DC9" w:rsidRDefault="002B40CA" w:rsidP="00082DC9">
      <w:pPr>
        <w:ind w:firstLine="567"/>
        <w:jc w:val="center"/>
        <w:rPr>
          <w:b/>
        </w:rPr>
      </w:pPr>
      <w:r w:rsidRPr="00B90CC1">
        <w:rPr>
          <w:b/>
        </w:rPr>
        <w:t>щодо проекту Закону</w:t>
      </w:r>
      <w:r w:rsidR="00082DC9">
        <w:rPr>
          <w:b/>
        </w:rPr>
        <w:t xml:space="preserve"> </w:t>
      </w:r>
      <w:r w:rsidRPr="00082DC9">
        <w:rPr>
          <w:b/>
        </w:rPr>
        <w:t>«</w:t>
      </w:r>
      <w:r w:rsidR="00CC5644" w:rsidRPr="00CC5644">
        <w:rPr>
          <w:b/>
        </w:rPr>
        <w:t xml:space="preserve">Про внесення змін до деяких законодавчих актів України щодо </w:t>
      </w:r>
      <w:r w:rsidR="007E71F9">
        <w:rPr>
          <w:b/>
        </w:rPr>
        <w:t>підвищення доступності лікарських засобів для громадян</w:t>
      </w:r>
      <w:r w:rsidRPr="00082DC9">
        <w:rPr>
          <w:b/>
        </w:rPr>
        <w:t>»</w:t>
      </w:r>
    </w:p>
    <w:p w:rsidR="002B40CA" w:rsidRDefault="002B40CA" w:rsidP="00082DC9">
      <w:pPr>
        <w:jc w:val="center"/>
        <w:rPr>
          <w:b/>
          <w:bCs/>
        </w:rPr>
      </w:pPr>
      <w:r w:rsidRPr="00082DC9">
        <w:rPr>
          <w:b/>
          <w:bCs/>
        </w:rPr>
        <w:t xml:space="preserve">(реєстр. № </w:t>
      </w:r>
      <w:r w:rsidR="007E71F9">
        <w:rPr>
          <w:b/>
          <w:bCs/>
        </w:rPr>
        <w:t>2</w:t>
      </w:r>
      <w:r w:rsidR="00657AA0" w:rsidRPr="00657AA0">
        <w:rPr>
          <w:b/>
          <w:bCs/>
          <w:lang w:val="ru-RU"/>
        </w:rPr>
        <w:t>735</w:t>
      </w:r>
      <w:r w:rsidR="00A00B6B" w:rsidRPr="00082DC9">
        <w:rPr>
          <w:b/>
          <w:bCs/>
        </w:rPr>
        <w:t xml:space="preserve"> </w:t>
      </w:r>
      <w:r w:rsidR="003E0D07" w:rsidRPr="00082DC9">
        <w:rPr>
          <w:b/>
          <w:bCs/>
        </w:rPr>
        <w:t xml:space="preserve">від </w:t>
      </w:r>
      <w:r w:rsidR="007E71F9">
        <w:rPr>
          <w:b/>
          <w:bCs/>
        </w:rPr>
        <w:t> </w:t>
      </w:r>
      <w:r w:rsidR="00657AA0" w:rsidRPr="00657AA0">
        <w:rPr>
          <w:b/>
          <w:bCs/>
          <w:lang w:val="ru-RU"/>
        </w:rPr>
        <w:t>14</w:t>
      </w:r>
      <w:r w:rsidR="00657AA0">
        <w:rPr>
          <w:b/>
          <w:bCs/>
        </w:rPr>
        <w:t>.</w:t>
      </w:r>
      <w:r w:rsidR="00657AA0" w:rsidRPr="00657AA0">
        <w:rPr>
          <w:b/>
          <w:bCs/>
          <w:lang w:val="ru-RU"/>
        </w:rPr>
        <w:t>01</w:t>
      </w:r>
      <w:r w:rsidR="00657AA0">
        <w:rPr>
          <w:b/>
          <w:bCs/>
        </w:rPr>
        <w:t>.20</w:t>
      </w:r>
      <w:r w:rsidR="00657AA0" w:rsidRPr="00657AA0">
        <w:rPr>
          <w:b/>
          <w:bCs/>
          <w:lang w:val="ru-RU"/>
        </w:rPr>
        <w:t>20</w:t>
      </w:r>
      <w:r w:rsidRPr="00082DC9">
        <w:rPr>
          <w:b/>
          <w:bCs/>
        </w:rPr>
        <w:t xml:space="preserve">р., </w:t>
      </w:r>
      <w:r w:rsidR="00657AA0">
        <w:rPr>
          <w:b/>
          <w:bCs/>
        </w:rPr>
        <w:t>внесений народним депутатом</w:t>
      </w:r>
      <w:r w:rsidR="003E0D07" w:rsidRPr="00082DC9">
        <w:rPr>
          <w:b/>
          <w:bCs/>
        </w:rPr>
        <w:t xml:space="preserve"> України</w:t>
      </w:r>
      <w:r w:rsidR="001C38AA" w:rsidRPr="00082DC9">
        <w:rPr>
          <w:b/>
          <w:bCs/>
        </w:rPr>
        <w:t xml:space="preserve"> </w:t>
      </w:r>
      <w:proofErr w:type="spellStart"/>
      <w:r w:rsidR="00657AA0">
        <w:rPr>
          <w:b/>
          <w:bCs/>
        </w:rPr>
        <w:t>Д.Костюком</w:t>
      </w:r>
      <w:proofErr w:type="spellEnd"/>
      <w:r w:rsidR="00082DC9">
        <w:rPr>
          <w:b/>
          <w:bCs/>
        </w:rPr>
        <w:t>)</w:t>
      </w:r>
    </w:p>
    <w:p w:rsidR="00CC5644" w:rsidRPr="00B90CC1" w:rsidRDefault="00CC5644" w:rsidP="00082DC9">
      <w:pPr>
        <w:jc w:val="center"/>
        <w:rPr>
          <w:b/>
        </w:rPr>
      </w:pPr>
    </w:p>
    <w:p w:rsidR="00C0390D" w:rsidRPr="003446B3" w:rsidRDefault="002B40CA" w:rsidP="003446B3">
      <w:pPr>
        <w:numPr>
          <w:ilvl w:val="0"/>
          <w:numId w:val="3"/>
        </w:numPr>
        <w:spacing w:before="120"/>
        <w:jc w:val="both"/>
        <w:rPr>
          <w:b/>
          <w:bCs/>
        </w:rPr>
      </w:pPr>
      <w:r w:rsidRPr="00B90CC1">
        <w:rPr>
          <w:b/>
          <w:bCs/>
        </w:rPr>
        <w:t>Загальна характеристика законопроекту.</w:t>
      </w:r>
    </w:p>
    <w:p w:rsidR="00C0390D" w:rsidRPr="00186855" w:rsidRDefault="00C0390D" w:rsidP="00C0390D">
      <w:pPr>
        <w:ind w:firstLine="567"/>
        <w:jc w:val="both"/>
      </w:pPr>
      <w:r w:rsidRPr="00186855">
        <w:t xml:space="preserve">Метою законопроекту </w:t>
      </w:r>
      <w:r w:rsidRPr="00186855">
        <w:rPr>
          <w:b/>
        </w:rPr>
        <w:t xml:space="preserve"> </w:t>
      </w:r>
      <w:r w:rsidRPr="00186855">
        <w:t>є вжиття заходів щодо регулювання і зниження цін на лікарські засоби в Україні.</w:t>
      </w:r>
      <w:r>
        <w:t xml:space="preserve"> </w:t>
      </w:r>
      <w:r w:rsidR="005719C4" w:rsidRPr="00186855">
        <w:t xml:space="preserve">Пропонується </w:t>
      </w:r>
      <w:proofErr w:type="spellStart"/>
      <w:r>
        <w:t>внести</w:t>
      </w:r>
      <w:proofErr w:type="spellEnd"/>
      <w:r>
        <w:t xml:space="preserve"> зміни до Закону України «Про лікарські засоби», додавши до </w:t>
      </w:r>
      <w:r w:rsidR="005719C4">
        <w:t>нього</w:t>
      </w:r>
      <w:r>
        <w:t xml:space="preserve"> нову статтю про </w:t>
      </w:r>
      <w:r w:rsidR="005719C4">
        <w:t>ціноутворення лікарських засобів, і</w:t>
      </w:r>
      <w:r>
        <w:t xml:space="preserve"> </w:t>
      </w:r>
      <w:r w:rsidRPr="00186855">
        <w:t xml:space="preserve">встановити, що рівень граничної постачальницько-збутової та </w:t>
      </w:r>
      <w:r w:rsidRPr="00186855">
        <w:rPr>
          <w:shd w:val="clear" w:color="auto" w:fill="FFFFFF"/>
        </w:rPr>
        <w:t xml:space="preserve">торговельної (роздрібної) </w:t>
      </w:r>
      <w:r w:rsidRPr="00186855">
        <w:t>надбавки на лікарські засоби і вироби медичного призначення, що ре</w:t>
      </w:r>
      <w:r w:rsidR="00577814">
        <w:t>алізуються в Україні, встановлює</w:t>
      </w:r>
      <w:r w:rsidRPr="00186855">
        <w:t xml:space="preserve">ться Кабінетом </w:t>
      </w:r>
      <w:r w:rsidR="00577814">
        <w:t>Міністрів України, але не може</w:t>
      </w:r>
      <w:r w:rsidRPr="00186855">
        <w:t xml:space="preserve"> перевищувати  7 та 15</w:t>
      </w:r>
      <w:r w:rsidRPr="00186855">
        <w:rPr>
          <w:shd w:val="clear" w:color="auto" w:fill="FFFFFF"/>
        </w:rPr>
        <w:t xml:space="preserve"> % відповідно від оптово-відпускної (для </w:t>
      </w:r>
      <w:proofErr w:type="spellStart"/>
      <w:r w:rsidRPr="00186855">
        <w:rPr>
          <w:shd w:val="clear" w:color="auto" w:fill="FFFFFF"/>
        </w:rPr>
        <w:t>постачально</w:t>
      </w:r>
      <w:proofErr w:type="spellEnd"/>
      <w:r w:rsidRPr="00186855">
        <w:rPr>
          <w:shd w:val="clear" w:color="auto" w:fill="FFFFFF"/>
        </w:rPr>
        <w:t xml:space="preserve">-збутових надбавок) та закупівельної (для </w:t>
      </w:r>
      <w:r>
        <w:rPr>
          <w:shd w:val="clear" w:color="auto" w:fill="FFFFFF"/>
        </w:rPr>
        <w:t>торговельних надбавок) ціни</w:t>
      </w:r>
      <w:r w:rsidRPr="00186855">
        <w:rPr>
          <w:shd w:val="clear" w:color="auto" w:fill="FFFFFF"/>
        </w:rPr>
        <w:t xml:space="preserve"> лікарських засобів і виробів медичного призначення.</w:t>
      </w:r>
      <w:r>
        <w:rPr>
          <w:shd w:val="clear" w:color="auto" w:fill="FFFFFF"/>
        </w:rPr>
        <w:t xml:space="preserve"> </w:t>
      </w:r>
      <w:r w:rsidR="005719C4">
        <w:rPr>
          <w:shd w:val="clear" w:color="auto" w:fill="FFFFFF"/>
        </w:rPr>
        <w:t xml:space="preserve">Також пропонується </w:t>
      </w:r>
      <w:proofErr w:type="spellStart"/>
      <w:r w:rsidR="005719C4">
        <w:rPr>
          <w:shd w:val="clear" w:color="auto" w:fill="FFFFFF"/>
        </w:rPr>
        <w:t>внести</w:t>
      </w:r>
      <w:proofErr w:type="spellEnd"/>
      <w:r w:rsidR="005719C4">
        <w:rPr>
          <w:shd w:val="clear" w:color="auto" w:fill="FFFFFF"/>
        </w:rPr>
        <w:t xml:space="preserve"> зміни до Закону України «Про ціни і ціноутворення» і</w:t>
      </w:r>
      <w:r w:rsidRPr="00186855">
        <w:rPr>
          <w:shd w:val="clear" w:color="auto" w:fill="FFFFFF"/>
        </w:rPr>
        <w:t xml:space="preserve"> </w:t>
      </w:r>
      <w:r w:rsidRPr="00186855">
        <w:rPr>
          <w:highlight w:val="white"/>
        </w:rPr>
        <w:t xml:space="preserve"> передбач</w:t>
      </w:r>
      <w:r w:rsidR="005719C4">
        <w:rPr>
          <w:highlight w:val="white"/>
        </w:rPr>
        <w:t>ити</w:t>
      </w:r>
      <w:r w:rsidRPr="00186855">
        <w:rPr>
          <w:highlight w:val="white"/>
        </w:rPr>
        <w:t xml:space="preserve">, що </w:t>
      </w:r>
      <w:r w:rsidR="005719C4">
        <w:rPr>
          <w:highlight w:val="white"/>
        </w:rPr>
        <w:t>«</w:t>
      </w:r>
      <w:r w:rsidRPr="00186855">
        <w:rPr>
          <w:highlight w:val="white"/>
        </w:rPr>
        <w:t>обмеження щодо встановлення розміру граничних торговельних надбавок (націнок) на лікарські засоби та вироби медичного призначення можуть встановлюватись Законами України</w:t>
      </w:r>
      <w:r w:rsidR="005719C4">
        <w:rPr>
          <w:highlight w:val="white"/>
        </w:rPr>
        <w:t>»</w:t>
      </w:r>
      <w:r w:rsidRPr="00186855">
        <w:rPr>
          <w:highlight w:val="white"/>
        </w:rPr>
        <w:t>.</w:t>
      </w:r>
    </w:p>
    <w:p w:rsidR="00A00B6B" w:rsidRPr="00A00B6B" w:rsidRDefault="002B40CA" w:rsidP="00A00B6B">
      <w:pPr>
        <w:spacing w:before="120"/>
        <w:ind w:firstLine="567"/>
        <w:jc w:val="both"/>
        <w:rPr>
          <w:b/>
        </w:rPr>
      </w:pPr>
      <w:r w:rsidRPr="00A00B6B">
        <w:rPr>
          <w:rFonts w:eastAsia="Verdana"/>
          <w:b/>
        </w:rPr>
        <w:t>2.  </w:t>
      </w:r>
      <w:r w:rsidRPr="00A00B6B">
        <w:rPr>
          <w:b/>
        </w:rPr>
        <w:t>Належність законопроекту за предметом правового регулювання до сфери дії права Європейського Союзу</w:t>
      </w:r>
      <w:r w:rsidR="00F64AB0">
        <w:rPr>
          <w:b/>
        </w:rPr>
        <w:t xml:space="preserve"> та Ради Європи</w:t>
      </w:r>
      <w:r w:rsidRPr="00A00B6B">
        <w:rPr>
          <w:b/>
        </w:rPr>
        <w:t>.</w:t>
      </w:r>
    </w:p>
    <w:p w:rsidR="00CC5644" w:rsidRDefault="00CC5644" w:rsidP="00A00B6B">
      <w:pPr>
        <w:pStyle w:val="11"/>
        <w:spacing w:after="0" w:line="240" w:lineRule="auto"/>
        <w:ind w:left="0" w:firstLine="720"/>
        <w:jc w:val="both"/>
        <w:rPr>
          <w:rFonts w:ascii="Times New Roman" w:eastAsia="Times New Roman" w:hAnsi="Times New Roman" w:cs="Times New Roman"/>
          <w:bCs/>
          <w:sz w:val="28"/>
          <w:szCs w:val="28"/>
          <w:lang w:val="uk-UA" w:eastAsia="ru-RU"/>
        </w:rPr>
      </w:pPr>
    </w:p>
    <w:p w:rsidR="00A00B6B" w:rsidRPr="00A00B6B" w:rsidRDefault="006445CD" w:rsidP="00A00B6B">
      <w:pPr>
        <w:pStyle w:val="11"/>
        <w:spacing w:after="0" w:line="240" w:lineRule="auto"/>
        <w:ind w:left="0" w:firstLine="720"/>
        <w:jc w:val="both"/>
        <w:rPr>
          <w:rFonts w:ascii="Times New Roman" w:eastAsia="Times New Roman" w:hAnsi="Times New Roman" w:cs="Times New Roman"/>
          <w:bCs/>
          <w:sz w:val="28"/>
          <w:szCs w:val="28"/>
          <w:lang w:val="uk-UA" w:eastAsia="ru-RU"/>
        </w:rPr>
      </w:pPr>
      <w:r w:rsidRPr="00A00B6B">
        <w:rPr>
          <w:rFonts w:ascii="Times New Roman" w:eastAsia="Times New Roman" w:hAnsi="Times New Roman" w:cs="Times New Roman"/>
          <w:bCs/>
          <w:sz w:val="28"/>
          <w:szCs w:val="28"/>
          <w:lang w:val="uk-UA" w:eastAsia="ru-RU"/>
        </w:rPr>
        <w:t>Правовідносини</w:t>
      </w:r>
      <w:r w:rsidR="00A00B6B" w:rsidRPr="00A00B6B">
        <w:rPr>
          <w:rFonts w:ascii="Times New Roman" w:eastAsia="Times New Roman" w:hAnsi="Times New Roman" w:cs="Times New Roman"/>
          <w:bCs/>
          <w:sz w:val="28"/>
          <w:szCs w:val="28"/>
          <w:lang w:val="uk-UA" w:eastAsia="ru-RU"/>
        </w:rPr>
        <w:t xml:space="preserve">, що належать до сфери правового регулювання законопроекту регулюються наступними актами </w:t>
      </w:r>
      <w:proofErr w:type="spellStart"/>
      <w:r w:rsidR="00A00B6B" w:rsidRPr="00A00B6B">
        <w:rPr>
          <w:rFonts w:ascii="Times New Roman" w:eastAsia="Times New Roman" w:hAnsi="Times New Roman" w:cs="Times New Roman"/>
          <w:bCs/>
          <w:sz w:val="28"/>
          <w:szCs w:val="28"/>
          <w:lang w:val="uk-UA" w:eastAsia="ru-RU"/>
        </w:rPr>
        <w:t>acquis</w:t>
      </w:r>
      <w:proofErr w:type="spellEnd"/>
      <w:r w:rsidR="00A00B6B" w:rsidRPr="00A00B6B">
        <w:rPr>
          <w:rFonts w:ascii="Times New Roman" w:eastAsia="Times New Roman" w:hAnsi="Times New Roman" w:cs="Times New Roman"/>
          <w:bCs/>
          <w:sz w:val="28"/>
          <w:szCs w:val="28"/>
          <w:lang w:val="uk-UA" w:eastAsia="ru-RU"/>
        </w:rPr>
        <w:t xml:space="preserve"> ЄС:</w:t>
      </w:r>
    </w:p>
    <w:p w:rsidR="0091133B" w:rsidRDefault="0091133B" w:rsidP="0091133B">
      <w:pPr>
        <w:pStyle w:val="11"/>
        <w:numPr>
          <w:ilvl w:val="0"/>
          <w:numId w:val="4"/>
        </w:numPr>
        <w:tabs>
          <w:tab w:val="num" w:pos="0"/>
        </w:tabs>
        <w:spacing w:after="0" w:line="240" w:lineRule="auto"/>
        <w:ind w:hanging="371"/>
        <w:jc w:val="both"/>
        <w:rPr>
          <w:rFonts w:ascii="Times New Roman" w:eastAsia="Times New Roman" w:hAnsi="Times New Roman" w:cs="Times New Roman"/>
          <w:bCs/>
          <w:sz w:val="28"/>
          <w:szCs w:val="28"/>
          <w:lang w:val="uk-UA" w:eastAsia="ru-RU"/>
        </w:rPr>
      </w:pPr>
      <w:r>
        <w:rPr>
          <w:rFonts w:ascii="Times New Roman" w:eastAsia="Times New Roman" w:hAnsi="Times New Roman" w:cs="Times New Roman"/>
          <w:bCs/>
          <w:sz w:val="28"/>
          <w:szCs w:val="28"/>
          <w:lang w:val="uk-UA" w:eastAsia="ru-RU"/>
        </w:rPr>
        <w:t xml:space="preserve">Директивою </w:t>
      </w:r>
      <w:r w:rsidR="00D21EE8">
        <w:rPr>
          <w:rFonts w:ascii="Times New Roman" w:eastAsia="Times New Roman" w:hAnsi="Times New Roman" w:cs="Times New Roman"/>
          <w:bCs/>
          <w:sz w:val="28"/>
          <w:szCs w:val="28"/>
          <w:lang w:val="uk-UA" w:eastAsia="ru-RU"/>
        </w:rPr>
        <w:t>Ради 89</w:t>
      </w:r>
      <w:r>
        <w:rPr>
          <w:rFonts w:ascii="Times New Roman" w:eastAsia="Times New Roman" w:hAnsi="Times New Roman" w:cs="Times New Roman"/>
          <w:bCs/>
          <w:sz w:val="28"/>
          <w:szCs w:val="28"/>
          <w:lang w:val="uk-UA" w:eastAsia="ru-RU"/>
        </w:rPr>
        <w:t>/</w:t>
      </w:r>
      <w:r w:rsidR="00D21EE8">
        <w:rPr>
          <w:rFonts w:ascii="Times New Roman" w:eastAsia="Times New Roman" w:hAnsi="Times New Roman" w:cs="Times New Roman"/>
          <w:bCs/>
          <w:sz w:val="28"/>
          <w:szCs w:val="28"/>
          <w:lang w:val="uk-UA" w:eastAsia="ru-RU"/>
        </w:rPr>
        <w:t>105</w:t>
      </w:r>
      <w:r>
        <w:rPr>
          <w:rFonts w:ascii="Times New Roman" w:eastAsia="Times New Roman" w:hAnsi="Times New Roman" w:cs="Times New Roman"/>
          <w:bCs/>
          <w:sz w:val="28"/>
          <w:szCs w:val="28"/>
          <w:lang w:val="uk-UA" w:eastAsia="ru-RU"/>
        </w:rPr>
        <w:t>/Є</w:t>
      </w:r>
      <w:r w:rsidR="00D21EE8">
        <w:rPr>
          <w:rFonts w:ascii="Times New Roman" w:eastAsia="Times New Roman" w:hAnsi="Times New Roman" w:cs="Times New Roman"/>
          <w:bCs/>
          <w:sz w:val="28"/>
          <w:szCs w:val="28"/>
          <w:lang w:val="uk-UA" w:eastAsia="ru-RU"/>
        </w:rPr>
        <w:t>Е</w:t>
      </w:r>
      <w:r>
        <w:rPr>
          <w:rFonts w:ascii="Times New Roman" w:eastAsia="Times New Roman" w:hAnsi="Times New Roman" w:cs="Times New Roman"/>
          <w:bCs/>
          <w:sz w:val="28"/>
          <w:szCs w:val="28"/>
          <w:lang w:val="uk-UA" w:eastAsia="ru-RU"/>
        </w:rPr>
        <w:t xml:space="preserve">С від </w:t>
      </w:r>
      <w:r w:rsidR="00D21EE8">
        <w:rPr>
          <w:rFonts w:ascii="Times New Roman" w:eastAsia="Times New Roman" w:hAnsi="Times New Roman" w:cs="Times New Roman"/>
          <w:bCs/>
          <w:sz w:val="28"/>
          <w:szCs w:val="28"/>
          <w:lang w:val="uk-UA" w:eastAsia="ru-RU"/>
        </w:rPr>
        <w:t>21</w:t>
      </w:r>
      <w:r>
        <w:rPr>
          <w:rFonts w:ascii="Times New Roman" w:eastAsia="Times New Roman" w:hAnsi="Times New Roman" w:cs="Times New Roman"/>
          <w:bCs/>
          <w:sz w:val="28"/>
          <w:szCs w:val="28"/>
          <w:lang w:val="uk-UA" w:eastAsia="ru-RU"/>
        </w:rPr>
        <w:t xml:space="preserve"> </w:t>
      </w:r>
      <w:r w:rsidR="00D21EE8">
        <w:rPr>
          <w:rFonts w:ascii="Times New Roman" w:eastAsia="Times New Roman" w:hAnsi="Times New Roman" w:cs="Times New Roman"/>
          <w:bCs/>
          <w:sz w:val="28"/>
          <w:szCs w:val="28"/>
          <w:lang w:val="uk-UA" w:eastAsia="ru-RU"/>
        </w:rPr>
        <w:t>грудня 198</w:t>
      </w:r>
      <w:r>
        <w:rPr>
          <w:rFonts w:ascii="Times New Roman" w:eastAsia="Times New Roman" w:hAnsi="Times New Roman" w:cs="Times New Roman"/>
          <w:bCs/>
          <w:sz w:val="28"/>
          <w:szCs w:val="28"/>
          <w:lang w:val="uk-UA" w:eastAsia="ru-RU"/>
        </w:rPr>
        <w:t>8 року «</w:t>
      </w:r>
      <w:r w:rsidR="00D21EE8" w:rsidRPr="00D21EE8">
        <w:rPr>
          <w:rFonts w:ascii="Times New Roman" w:eastAsia="Times New Roman" w:hAnsi="Times New Roman" w:cs="Times New Roman"/>
          <w:bCs/>
          <w:sz w:val="28"/>
          <w:szCs w:val="28"/>
          <w:lang w:val="uk-UA" w:eastAsia="ru-RU"/>
        </w:rPr>
        <w:t xml:space="preserve">Щодо прозорості заходів, </w:t>
      </w:r>
      <w:r w:rsidR="00D21EE8">
        <w:rPr>
          <w:rFonts w:ascii="Times New Roman" w:eastAsia="Times New Roman" w:hAnsi="Times New Roman" w:cs="Times New Roman"/>
          <w:bCs/>
          <w:sz w:val="28"/>
          <w:szCs w:val="28"/>
          <w:lang w:val="uk-UA" w:eastAsia="ru-RU"/>
        </w:rPr>
        <w:t xml:space="preserve">що </w:t>
      </w:r>
      <w:r w:rsidR="00D21EE8" w:rsidRPr="00D21EE8">
        <w:rPr>
          <w:rFonts w:ascii="Times New Roman" w:eastAsia="Times New Roman" w:hAnsi="Times New Roman" w:cs="Times New Roman"/>
          <w:bCs/>
          <w:sz w:val="28"/>
          <w:szCs w:val="28"/>
          <w:lang w:val="uk-UA" w:eastAsia="ru-RU"/>
        </w:rPr>
        <w:t>регулюю</w:t>
      </w:r>
      <w:r w:rsidR="00D21EE8">
        <w:rPr>
          <w:rFonts w:ascii="Times New Roman" w:eastAsia="Times New Roman" w:hAnsi="Times New Roman" w:cs="Times New Roman"/>
          <w:bCs/>
          <w:sz w:val="28"/>
          <w:szCs w:val="28"/>
          <w:lang w:val="uk-UA" w:eastAsia="ru-RU"/>
        </w:rPr>
        <w:t>ть встановлення цін</w:t>
      </w:r>
      <w:r w:rsidR="00D21EE8" w:rsidRPr="00D21EE8">
        <w:rPr>
          <w:rFonts w:ascii="Times New Roman" w:eastAsia="Times New Roman" w:hAnsi="Times New Roman" w:cs="Times New Roman"/>
          <w:bCs/>
          <w:sz w:val="28"/>
          <w:szCs w:val="28"/>
          <w:lang w:val="uk-UA" w:eastAsia="ru-RU"/>
        </w:rPr>
        <w:t xml:space="preserve"> на </w:t>
      </w:r>
      <w:r w:rsidR="00D21EE8">
        <w:rPr>
          <w:rFonts w:ascii="Times New Roman" w:eastAsia="Times New Roman" w:hAnsi="Times New Roman" w:cs="Times New Roman"/>
          <w:bCs/>
          <w:sz w:val="28"/>
          <w:szCs w:val="28"/>
          <w:lang w:val="uk-UA" w:eastAsia="ru-RU"/>
        </w:rPr>
        <w:t xml:space="preserve">медикаменти для використання людьми і їх </w:t>
      </w:r>
      <w:r w:rsidR="00D21EE8" w:rsidRPr="00D21EE8">
        <w:rPr>
          <w:rFonts w:ascii="Times New Roman" w:eastAsia="Times New Roman" w:hAnsi="Times New Roman" w:cs="Times New Roman"/>
          <w:bCs/>
          <w:sz w:val="28"/>
          <w:szCs w:val="28"/>
          <w:lang w:val="uk-UA" w:eastAsia="ru-RU"/>
        </w:rPr>
        <w:t xml:space="preserve">включення до сфери дії національних систем </w:t>
      </w:r>
      <w:r w:rsidR="00D21EE8">
        <w:rPr>
          <w:rFonts w:ascii="Times New Roman" w:eastAsia="Times New Roman" w:hAnsi="Times New Roman" w:cs="Times New Roman"/>
          <w:bCs/>
          <w:sz w:val="28"/>
          <w:szCs w:val="28"/>
          <w:lang w:val="uk-UA" w:eastAsia="ru-RU"/>
        </w:rPr>
        <w:t xml:space="preserve">медичного </w:t>
      </w:r>
      <w:r w:rsidR="00D21EE8" w:rsidRPr="00D21EE8">
        <w:rPr>
          <w:rFonts w:ascii="Times New Roman" w:eastAsia="Times New Roman" w:hAnsi="Times New Roman" w:cs="Times New Roman"/>
          <w:bCs/>
          <w:sz w:val="28"/>
          <w:szCs w:val="28"/>
          <w:lang w:val="uk-UA" w:eastAsia="ru-RU"/>
        </w:rPr>
        <w:t>страхування</w:t>
      </w:r>
      <w:r>
        <w:rPr>
          <w:rFonts w:ascii="Times New Roman" w:eastAsia="Times New Roman" w:hAnsi="Times New Roman" w:cs="Times New Roman"/>
          <w:bCs/>
          <w:sz w:val="28"/>
          <w:szCs w:val="28"/>
          <w:lang w:val="uk-UA" w:eastAsia="ru-RU"/>
        </w:rPr>
        <w:t>»</w:t>
      </w:r>
      <w:r w:rsidRPr="0091133B">
        <w:rPr>
          <w:rFonts w:ascii="Times New Roman" w:eastAsia="Times New Roman" w:hAnsi="Times New Roman" w:cs="Times New Roman"/>
          <w:bCs/>
          <w:sz w:val="28"/>
          <w:szCs w:val="28"/>
          <w:lang w:val="uk-UA" w:eastAsia="ru-RU"/>
        </w:rPr>
        <w:t xml:space="preserve"> (</w:t>
      </w:r>
      <w:proofErr w:type="spellStart"/>
      <w:r w:rsidRPr="0091133B">
        <w:rPr>
          <w:rFonts w:ascii="Times New Roman" w:eastAsia="Times New Roman" w:hAnsi="Times New Roman" w:cs="Times New Roman"/>
          <w:bCs/>
          <w:sz w:val="28"/>
          <w:szCs w:val="28"/>
          <w:lang w:val="uk-UA" w:eastAsia="ru-RU"/>
        </w:rPr>
        <w:t>Official</w:t>
      </w:r>
      <w:proofErr w:type="spellEnd"/>
      <w:r w:rsidRPr="0091133B">
        <w:rPr>
          <w:rFonts w:ascii="Times New Roman" w:eastAsia="Times New Roman" w:hAnsi="Times New Roman" w:cs="Times New Roman"/>
          <w:bCs/>
          <w:sz w:val="28"/>
          <w:szCs w:val="28"/>
          <w:lang w:val="uk-UA" w:eastAsia="ru-RU"/>
        </w:rPr>
        <w:t xml:space="preserve"> </w:t>
      </w:r>
      <w:proofErr w:type="spellStart"/>
      <w:r w:rsidRPr="0091133B">
        <w:rPr>
          <w:rFonts w:ascii="Times New Roman" w:eastAsia="Times New Roman" w:hAnsi="Times New Roman" w:cs="Times New Roman"/>
          <w:bCs/>
          <w:sz w:val="28"/>
          <w:szCs w:val="28"/>
          <w:lang w:val="uk-UA" w:eastAsia="ru-RU"/>
        </w:rPr>
        <w:t>Journ</w:t>
      </w:r>
      <w:r w:rsidR="00D21EE8">
        <w:rPr>
          <w:rFonts w:ascii="Times New Roman" w:eastAsia="Times New Roman" w:hAnsi="Times New Roman" w:cs="Times New Roman"/>
          <w:bCs/>
          <w:sz w:val="28"/>
          <w:szCs w:val="28"/>
          <w:lang w:val="uk-UA" w:eastAsia="ru-RU"/>
        </w:rPr>
        <w:t>al</w:t>
      </w:r>
      <w:proofErr w:type="spellEnd"/>
      <w:r w:rsidR="00D21EE8">
        <w:rPr>
          <w:rFonts w:ascii="Times New Roman" w:eastAsia="Times New Roman" w:hAnsi="Times New Roman" w:cs="Times New Roman"/>
          <w:bCs/>
          <w:sz w:val="28"/>
          <w:szCs w:val="28"/>
          <w:lang w:val="uk-UA" w:eastAsia="ru-RU"/>
        </w:rPr>
        <w:t xml:space="preserve"> L 40/8, 11.2.1989);</w:t>
      </w:r>
    </w:p>
    <w:p w:rsidR="00D21EE8" w:rsidRDefault="00D21EE8" w:rsidP="00D21EE8">
      <w:pPr>
        <w:pStyle w:val="11"/>
        <w:numPr>
          <w:ilvl w:val="0"/>
          <w:numId w:val="4"/>
        </w:numPr>
        <w:tabs>
          <w:tab w:val="num" w:pos="0"/>
        </w:tabs>
        <w:spacing w:after="0" w:line="240" w:lineRule="auto"/>
        <w:ind w:hanging="371"/>
        <w:jc w:val="both"/>
        <w:rPr>
          <w:rFonts w:ascii="Times New Roman" w:eastAsia="Times New Roman" w:hAnsi="Times New Roman" w:cs="Times New Roman"/>
          <w:bCs/>
          <w:sz w:val="28"/>
          <w:szCs w:val="28"/>
          <w:lang w:val="uk-UA" w:eastAsia="ru-RU"/>
        </w:rPr>
      </w:pPr>
      <w:r>
        <w:rPr>
          <w:rFonts w:ascii="Times New Roman" w:eastAsia="Times New Roman" w:hAnsi="Times New Roman" w:cs="Times New Roman"/>
          <w:bCs/>
          <w:sz w:val="28"/>
          <w:szCs w:val="28"/>
          <w:lang w:val="uk-UA" w:eastAsia="ru-RU"/>
        </w:rPr>
        <w:t xml:space="preserve">Директивою </w:t>
      </w:r>
      <w:r w:rsidRPr="0091133B">
        <w:rPr>
          <w:rFonts w:ascii="Times New Roman" w:eastAsia="Times New Roman" w:hAnsi="Times New Roman" w:cs="Times New Roman"/>
          <w:bCs/>
          <w:sz w:val="28"/>
          <w:szCs w:val="28"/>
          <w:lang w:val="uk-UA" w:eastAsia="ru-RU"/>
        </w:rPr>
        <w:t>2001/83/ЄС Європейського Парламенту та Ради від 6 листопада 2001 року «Про Кодекс Співтовариства щодо лікарських засобів для застосування людиною» (</w:t>
      </w:r>
      <w:proofErr w:type="spellStart"/>
      <w:r w:rsidRPr="0091133B">
        <w:rPr>
          <w:rFonts w:ascii="Times New Roman" w:eastAsia="Times New Roman" w:hAnsi="Times New Roman" w:cs="Times New Roman"/>
          <w:bCs/>
          <w:sz w:val="28"/>
          <w:szCs w:val="28"/>
          <w:lang w:val="uk-UA" w:eastAsia="ru-RU"/>
        </w:rPr>
        <w:t>Official</w:t>
      </w:r>
      <w:proofErr w:type="spellEnd"/>
      <w:r w:rsidRPr="0091133B">
        <w:rPr>
          <w:rFonts w:ascii="Times New Roman" w:eastAsia="Times New Roman" w:hAnsi="Times New Roman" w:cs="Times New Roman"/>
          <w:bCs/>
          <w:sz w:val="28"/>
          <w:szCs w:val="28"/>
          <w:lang w:val="uk-UA" w:eastAsia="ru-RU"/>
        </w:rPr>
        <w:t xml:space="preserve"> </w:t>
      </w:r>
      <w:proofErr w:type="spellStart"/>
      <w:r w:rsidRPr="0091133B">
        <w:rPr>
          <w:rFonts w:ascii="Times New Roman" w:eastAsia="Times New Roman" w:hAnsi="Times New Roman" w:cs="Times New Roman"/>
          <w:bCs/>
          <w:sz w:val="28"/>
          <w:szCs w:val="28"/>
          <w:lang w:val="uk-UA" w:eastAsia="ru-RU"/>
        </w:rPr>
        <w:t>Journal</w:t>
      </w:r>
      <w:proofErr w:type="spellEnd"/>
      <w:r w:rsidRPr="0091133B">
        <w:rPr>
          <w:rFonts w:ascii="Times New Roman" w:eastAsia="Times New Roman" w:hAnsi="Times New Roman" w:cs="Times New Roman"/>
          <w:bCs/>
          <w:sz w:val="28"/>
          <w:szCs w:val="28"/>
          <w:lang w:val="uk-UA" w:eastAsia="ru-RU"/>
        </w:rPr>
        <w:t xml:space="preserve"> L 311, 28.11.2001, р.67-128);</w:t>
      </w:r>
    </w:p>
    <w:p w:rsidR="007C6EFF" w:rsidRPr="0091133B" w:rsidRDefault="007C6EFF" w:rsidP="0091133B">
      <w:pPr>
        <w:tabs>
          <w:tab w:val="left" w:pos="1200"/>
        </w:tabs>
        <w:ind w:left="1080"/>
        <w:jc w:val="both"/>
        <w:rPr>
          <w:bCs/>
          <w:iCs/>
          <w:sz w:val="26"/>
          <w:szCs w:val="26"/>
        </w:rPr>
      </w:pPr>
    </w:p>
    <w:p w:rsidR="002B40CA" w:rsidRDefault="002B40CA" w:rsidP="002B40CA">
      <w:pPr>
        <w:spacing w:before="120"/>
        <w:ind w:firstLine="567"/>
        <w:jc w:val="both"/>
        <w:rPr>
          <w:b/>
        </w:rPr>
      </w:pPr>
      <w:r w:rsidRPr="00B90CC1">
        <w:rPr>
          <w:rFonts w:eastAsia="Verdana"/>
          <w:b/>
          <w:bCs/>
        </w:rPr>
        <w:t>3.  </w:t>
      </w:r>
      <w:r w:rsidRPr="00B90CC1">
        <w:rPr>
          <w:b/>
        </w:rPr>
        <w:t>Відповідність законопроекту праву ЄС</w:t>
      </w:r>
      <w:r w:rsidR="00FE3BD5">
        <w:rPr>
          <w:b/>
        </w:rPr>
        <w:t xml:space="preserve"> та зобов’язанням України в рамках Ради Європи</w:t>
      </w:r>
      <w:r w:rsidRPr="00B90CC1">
        <w:rPr>
          <w:b/>
        </w:rPr>
        <w:t>.</w:t>
      </w:r>
    </w:p>
    <w:p w:rsidR="00C3129A" w:rsidRPr="00C3129A" w:rsidRDefault="00811B79" w:rsidP="005719C4">
      <w:pPr>
        <w:spacing w:line="240" w:lineRule="atLeast"/>
        <w:jc w:val="both"/>
        <w:rPr>
          <w:bCs/>
          <w:iCs/>
        </w:rPr>
      </w:pPr>
      <w:r>
        <w:tab/>
      </w:r>
      <w:r w:rsidR="00C3129A" w:rsidRPr="00C3129A">
        <w:rPr>
          <w:bCs/>
          <w:iCs/>
        </w:rPr>
        <w:t xml:space="preserve"> </w:t>
      </w:r>
    </w:p>
    <w:p w:rsidR="003E6A85" w:rsidRDefault="003E6A85" w:rsidP="003E6A85">
      <w:pPr>
        <w:ind w:firstLine="708"/>
        <w:jc w:val="both"/>
      </w:pPr>
      <w:r w:rsidRPr="003E6A85">
        <w:t>Згідно з Пояснювальною запискою метою законопроекту  є вжиття заходів щодо регулювання і зниження цін на лікарські засоби в Україні.</w:t>
      </w:r>
    </w:p>
    <w:p w:rsidR="003E6A85" w:rsidRDefault="003E6A85" w:rsidP="003E6A85">
      <w:pPr>
        <w:ind w:firstLine="708"/>
        <w:jc w:val="both"/>
      </w:pPr>
      <w:r>
        <w:t>У Європейському Союзі також першочерговою метою вжиття заходів економічного характеру щодо торгівлі медикамент</w:t>
      </w:r>
      <w:r w:rsidR="003832EA">
        <w:t>ів</w:t>
      </w:r>
      <w:r>
        <w:t xml:space="preserve"> є покращення охорони здоров’я шляхом забезпечення достатнього постачання медикаментами за розумною ціною, однак такі заходи мають бути також направлені на збільшення продуктивності виготовлення медичних товарів та  сприяння дослідженню та розробці нових медикаментів, від яких</w:t>
      </w:r>
      <w:r w:rsidR="003832EA">
        <w:t>,</w:t>
      </w:r>
      <w:r>
        <w:t xml:space="preserve"> в кінцевому рахунку</w:t>
      </w:r>
      <w:r w:rsidR="003832EA">
        <w:t>,</w:t>
      </w:r>
      <w:r>
        <w:t xml:space="preserve"> залежить підтримання високого рівня охорони здоров’я.</w:t>
      </w:r>
    </w:p>
    <w:p w:rsidR="005D27F3" w:rsidRDefault="005D27F3" w:rsidP="005D27F3">
      <w:pPr>
        <w:ind w:firstLine="567"/>
        <w:jc w:val="both"/>
        <w:rPr>
          <w:bCs/>
        </w:rPr>
      </w:pPr>
      <w:r>
        <w:rPr>
          <w:bCs/>
        </w:rPr>
        <w:lastRenderedPageBreak/>
        <w:t>Згідно зі статтею 1 Директиви Ради 89/105/ЄЕС від 21 грудня 1988 року «</w:t>
      </w:r>
      <w:r w:rsidRPr="00D21EE8">
        <w:rPr>
          <w:bCs/>
        </w:rPr>
        <w:t xml:space="preserve">Щодо прозорості заходів, </w:t>
      </w:r>
      <w:r>
        <w:rPr>
          <w:bCs/>
        </w:rPr>
        <w:t xml:space="preserve">що </w:t>
      </w:r>
      <w:r w:rsidRPr="00D21EE8">
        <w:rPr>
          <w:bCs/>
        </w:rPr>
        <w:t>регулюю</w:t>
      </w:r>
      <w:r>
        <w:rPr>
          <w:bCs/>
        </w:rPr>
        <w:t>ть встановлення цін</w:t>
      </w:r>
      <w:r w:rsidRPr="00D21EE8">
        <w:rPr>
          <w:bCs/>
        </w:rPr>
        <w:t xml:space="preserve"> на </w:t>
      </w:r>
      <w:r>
        <w:rPr>
          <w:bCs/>
        </w:rPr>
        <w:t xml:space="preserve">медикаменти для використання людьми і їх </w:t>
      </w:r>
      <w:r w:rsidRPr="00D21EE8">
        <w:rPr>
          <w:bCs/>
        </w:rPr>
        <w:t xml:space="preserve">включення до сфери дії національних систем </w:t>
      </w:r>
      <w:r>
        <w:rPr>
          <w:bCs/>
        </w:rPr>
        <w:t xml:space="preserve">медичного </w:t>
      </w:r>
      <w:r w:rsidRPr="00D21EE8">
        <w:rPr>
          <w:bCs/>
        </w:rPr>
        <w:t>страхування</w:t>
      </w:r>
      <w:r>
        <w:rPr>
          <w:bCs/>
        </w:rPr>
        <w:t xml:space="preserve">» </w:t>
      </w:r>
      <w:r>
        <w:t>держави</w:t>
      </w:r>
      <w:r w:rsidR="003E6A85">
        <w:t xml:space="preserve">-члени </w:t>
      </w:r>
      <w:r>
        <w:t>можуть вживати національні заходи, зокрема, спрямовані на здійснення контролю за цінами на медикаменти</w:t>
      </w:r>
      <w:r w:rsidR="003832EA">
        <w:t xml:space="preserve">, призначеними </w:t>
      </w:r>
      <w:r>
        <w:t xml:space="preserve"> для використання людиною, у вигляді закону, підзаконного акту чи адміністративного положення. Головне, щоб </w:t>
      </w:r>
      <w:r w:rsidR="003832EA">
        <w:t>такі</w:t>
      </w:r>
      <w:r>
        <w:t xml:space="preserve"> заходи відповідали вимогам зазначеної Директиви. У зв’язку з цим</w:t>
      </w:r>
      <w:r w:rsidR="003832EA">
        <w:t>,</w:t>
      </w:r>
      <w:r>
        <w:t xml:space="preserve"> </w:t>
      </w:r>
      <w:r w:rsidR="003E6A85">
        <w:t xml:space="preserve"> </w:t>
      </w:r>
      <w:r>
        <w:t xml:space="preserve">положення законопроекту, яким </w:t>
      </w:r>
      <w:r>
        <w:rPr>
          <w:shd w:val="clear" w:color="auto" w:fill="FFFFFF"/>
        </w:rPr>
        <w:t xml:space="preserve">пропонується </w:t>
      </w:r>
      <w:proofErr w:type="spellStart"/>
      <w:r>
        <w:rPr>
          <w:shd w:val="clear" w:color="auto" w:fill="FFFFFF"/>
        </w:rPr>
        <w:t>внести</w:t>
      </w:r>
      <w:proofErr w:type="spellEnd"/>
      <w:r>
        <w:rPr>
          <w:shd w:val="clear" w:color="auto" w:fill="FFFFFF"/>
        </w:rPr>
        <w:t xml:space="preserve"> зміни до Закону України «Про ціни і ціноутворення» і</w:t>
      </w:r>
      <w:r w:rsidRPr="00186855">
        <w:rPr>
          <w:shd w:val="clear" w:color="auto" w:fill="FFFFFF"/>
        </w:rPr>
        <w:t xml:space="preserve"> </w:t>
      </w:r>
      <w:r w:rsidRPr="00186855">
        <w:rPr>
          <w:highlight w:val="white"/>
        </w:rPr>
        <w:t xml:space="preserve"> передбач</w:t>
      </w:r>
      <w:r>
        <w:rPr>
          <w:highlight w:val="white"/>
        </w:rPr>
        <w:t>ити</w:t>
      </w:r>
      <w:r w:rsidRPr="00186855">
        <w:rPr>
          <w:highlight w:val="white"/>
        </w:rPr>
        <w:t xml:space="preserve">, що </w:t>
      </w:r>
      <w:r>
        <w:rPr>
          <w:highlight w:val="white"/>
        </w:rPr>
        <w:t>«</w:t>
      </w:r>
      <w:r w:rsidRPr="00186855">
        <w:rPr>
          <w:highlight w:val="white"/>
        </w:rPr>
        <w:t>обмеження щодо встановлення розміру граничних торговельних надбавок (націнок) на лікарські засоби та вироби медичного призначення можуть встановлюватись Законами України</w:t>
      </w:r>
      <w:r>
        <w:rPr>
          <w:highlight w:val="white"/>
        </w:rPr>
        <w:t xml:space="preserve">» </w:t>
      </w:r>
      <w:r w:rsidRPr="005D27F3">
        <w:rPr>
          <w:highlight w:val="white"/>
          <w:u w:val="single"/>
        </w:rPr>
        <w:t>не суперечить</w:t>
      </w:r>
      <w:r>
        <w:rPr>
          <w:highlight w:val="white"/>
        </w:rPr>
        <w:t xml:space="preserve"> </w:t>
      </w:r>
      <w:r>
        <w:t xml:space="preserve">положенням Директиви </w:t>
      </w:r>
      <w:r>
        <w:rPr>
          <w:bCs/>
        </w:rPr>
        <w:t>Ради 89/105/ЄЕС від 21 грудня 1988 року.</w:t>
      </w:r>
    </w:p>
    <w:p w:rsidR="00F143A2" w:rsidRDefault="00EB2DA2" w:rsidP="00EB2DA2">
      <w:pPr>
        <w:ind w:firstLine="567"/>
        <w:jc w:val="both"/>
        <w:rPr>
          <w:bCs/>
        </w:rPr>
      </w:pPr>
      <w:r>
        <w:rPr>
          <w:bCs/>
        </w:rPr>
        <w:t>Згідно з положеннями Директиви компетентні органи держав-член</w:t>
      </w:r>
      <w:r w:rsidR="003832EA">
        <w:rPr>
          <w:bCs/>
        </w:rPr>
        <w:t>ів</w:t>
      </w:r>
      <w:r>
        <w:rPr>
          <w:bCs/>
        </w:rPr>
        <w:t xml:space="preserve"> затверджують ціну продукту, приймають рішення, на підставі звернення заявника, дозволяти чи не дозволяти, повністю або частково, запропоноване підвищення ціни. Щонайменше, одного разу на рік, компетентні органи влади публікують у відповідному виданні список медикаментів, ціна на які була встановлена за вказаний період, а також про ціни, які можуть бути застосовані до цієї продукції. Також один раз на рік публіку</w:t>
      </w:r>
      <w:r w:rsidR="003832EA">
        <w:rPr>
          <w:bCs/>
        </w:rPr>
        <w:t>ється</w:t>
      </w:r>
      <w:r>
        <w:rPr>
          <w:bCs/>
        </w:rPr>
        <w:t xml:space="preserve"> список медикаментів, ціна на які була підвищена за цей період, </w:t>
      </w:r>
      <w:r w:rsidR="00F143A2">
        <w:rPr>
          <w:bCs/>
        </w:rPr>
        <w:t xml:space="preserve">із зазначенням цін на </w:t>
      </w:r>
      <w:r w:rsidR="003832EA">
        <w:rPr>
          <w:bCs/>
        </w:rPr>
        <w:t>зазначену</w:t>
      </w:r>
      <w:r w:rsidR="00F143A2">
        <w:rPr>
          <w:bCs/>
        </w:rPr>
        <w:t xml:space="preserve"> продукцію. У випадку замороження компетентними органами влади держав-членів цін на усі медикаменти чи на деякі види медикаментів, один раз на рік здійснюється перевірка </w:t>
      </w:r>
      <w:r w:rsidR="003832EA">
        <w:rPr>
          <w:bCs/>
        </w:rPr>
        <w:t xml:space="preserve">щодо того, </w:t>
      </w:r>
      <w:r w:rsidR="00F143A2">
        <w:rPr>
          <w:bCs/>
        </w:rPr>
        <w:t>чи виправдовують макроекономічні показники подальшу підтримку такого замороження цін. Також у виняткових випадках власник дозволу на торгівлю медикамент</w:t>
      </w:r>
      <w:r w:rsidR="003832EA">
        <w:rPr>
          <w:bCs/>
        </w:rPr>
        <w:t xml:space="preserve">ом </w:t>
      </w:r>
      <w:r w:rsidR="00F143A2">
        <w:rPr>
          <w:bCs/>
        </w:rPr>
        <w:t>з особливих причин може просити про відміну блокування цін. Водночас,  таке прохання має місити достатнє обґрунтування підстав для цього.</w:t>
      </w:r>
    </w:p>
    <w:p w:rsidR="00EB2DA2" w:rsidRPr="00EB2DA2" w:rsidRDefault="00F143A2" w:rsidP="00EB2DA2">
      <w:pPr>
        <w:ind w:firstLine="567"/>
        <w:jc w:val="both"/>
        <w:rPr>
          <w:bCs/>
        </w:rPr>
      </w:pPr>
      <w:r>
        <w:rPr>
          <w:bCs/>
        </w:rPr>
        <w:t xml:space="preserve">Крім того, держава-член може ухвалити систему прямого чи непрямого контролю за прибутком відповідальних за поставку на ринок медикаментів осіб, </w:t>
      </w:r>
      <w:r w:rsidR="00D408D7">
        <w:rPr>
          <w:bCs/>
        </w:rPr>
        <w:t>опублікувавши у відповідному виданні таку інформацію</w:t>
      </w:r>
      <w:r>
        <w:rPr>
          <w:bCs/>
        </w:rPr>
        <w:t xml:space="preserve">: </w:t>
      </w:r>
    </w:p>
    <w:p w:rsidR="00F143A2" w:rsidRPr="00D408D7" w:rsidRDefault="00F143A2" w:rsidP="00F143A2">
      <w:pPr>
        <w:pStyle w:val="ae"/>
        <w:spacing w:before="120" w:after="120"/>
        <w:ind w:right="113"/>
        <w:jc w:val="both"/>
        <w:rPr>
          <w:b w:val="0"/>
          <w:sz w:val="28"/>
          <w:szCs w:val="28"/>
        </w:rPr>
      </w:pPr>
      <w:r w:rsidRPr="00D408D7">
        <w:rPr>
          <w:b w:val="0"/>
          <w:sz w:val="28"/>
          <w:szCs w:val="28"/>
        </w:rPr>
        <w:t>а) метод чи методи, що використовуються у відповідній державі-члені на те, щоб визначити рівень прибутковості: дохід від продажу та/чи дохід від капіталовкладень;</w:t>
      </w:r>
    </w:p>
    <w:p w:rsidR="00F143A2" w:rsidRPr="00D408D7" w:rsidRDefault="00F143A2" w:rsidP="00F143A2">
      <w:pPr>
        <w:pStyle w:val="ae"/>
        <w:spacing w:before="120" w:after="120"/>
        <w:ind w:right="113"/>
        <w:jc w:val="both"/>
        <w:rPr>
          <w:b w:val="0"/>
          <w:sz w:val="28"/>
          <w:szCs w:val="28"/>
        </w:rPr>
      </w:pPr>
      <w:r w:rsidRPr="00D408D7">
        <w:rPr>
          <w:b w:val="0"/>
          <w:sz w:val="28"/>
          <w:szCs w:val="28"/>
        </w:rPr>
        <w:t>b) планов</w:t>
      </w:r>
      <w:r w:rsidR="00D408D7" w:rsidRPr="00D408D7">
        <w:rPr>
          <w:b w:val="0"/>
          <w:sz w:val="28"/>
          <w:szCs w:val="28"/>
        </w:rPr>
        <w:t>а</w:t>
      </w:r>
      <w:r w:rsidRPr="00D408D7">
        <w:rPr>
          <w:b w:val="0"/>
          <w:sz w:val="28"/>
          <w:szCs w:val="28"/>
        </w:rPr>
        <w:t xml:space="preserve"> норма прибутку, дозволена для осіб, відповідальних за поставку на ринок медикаментів у відповідній державі-члені;</w:t>
      </w:r>
    </w:p>
    <w:p w:rsidR="00F143A2" w:rsidRPr="00D408D7" w:rsidRDefault="00F143A2" w:rsidP="00F143A2">
      <w:pPr>
        <w:pStyle w:val="ae"/>
        <w:spacing w:before="120" w:after="120"/>
        <w:ind w:right="113"/>
        <w:jc w:val="both"/>
        <w:rPr>
          <w:b w:val="0"/>
          <w:sz w:val="28"/>
          <w:szCs w:val="28"/>
        </w:rPr>
      </w:pPr>
      <w:r w:rsidRPr="00D408D7">
        <w:rPr>
          <w:b w:val="0"/>
          <w:sz w:val="28"/>
          <w:szCs w:val="28"/>
        </w:rPr>
        <w:t>с) критерії, за якими граничний рівень прибутку визначається індивідуально для осіб, відповідальних за торгівлю медикаментами, а також критерії, згідно з якими їм дозволяється отримувати надмірні прибутки від планової норми прибут</w:t>
      </w:r>
      <w:r w:rsidR="005C5044">
        <w:rPr>
          <w:b w:val="0"/>
          <w:sz w:val="28"/>
          <w:szCs w:val="28"/>
        </w:rPr>
        <w:t>ку  у відповідній державі-члені;</w:t>
      </w:r>
    </w:p>
    <w:p w:rsidR="00F143A2" w:rsidRPr="00D408D7" w:rsidRDefault="00F143A2" w:rsidP="00F143A2">
      <w:pPr>
        <w:pStyle w:val="ae"/>
        <w:spacing w:before="120" w:after="120"/>
        <w:ind w:right="113"/>
        <w:jc w:val="both"/>
        <w:rPr>
          <w:b w:val="0"/>
          <w:sz w:val="28"/>
          <w:szCs w:val="28"/>
        </w:rPr>
      </w:pPr>
      <w:r w:rsidRPr="00D408D7">
        <w:rPr>
          <w:b w:val="0"/>
          <w:sz w:val="28"/>
          <w:szCs w:val="28"/>
        </w:rPr>
        <w:t>d) максимальний процент прибутку, дозволений понад плановий рівень прибутку, який усім відповідальним за торгівлю медикаментами особам дозволяється отримувати у відповідній держав-члені.</w:t>
      </w:r>
    </w:p>
    <w:p w:rsidR="00F143A2" w:rsidRDefault="00D408D7" w:rsidP="00F143A2">
      <w:pPr>
        <w:pStyle w:val="ae"/>
        <w:spacing w:before="120" w:after="120"/>
        <w:ind w:right="113"/>
        <w:jc w:val="both"/>
        <w:rPr>
          <w:b w:val="0"/>
          <w:sz w:val="28"/>
          <w:szCs w:val="28"/>
        </w:rPr>
      </w:pPr>
      <w:r>
        <w:rPr>
          <w:b w:val="0"/>
          <w:sz w:val="28"/>
          <w:szCs w:val="28"/>
        </w:rPr>
        <w:t>Зазначена</w:t>
      </w:r>
      <w:r w:rsidR="00F143A2" w:rsidRPr="00D408D7">
        <w:rPr>
          <w:b w:val="0"/>
          <w:sz w:val="28"/>
          <w:szCs w:val="28"/>
        </w:rPr>
        <w:t xml:space="preserve"> інформація має оновлюватись один раз на рік чи у випадку, коли стались суттєві зміни.</w:t>
      </w:r>
    </w:p>
    <w:p w:rsidR="004700A4" w:rsidRDefault="004700A4" w:rsidP="00F143A2">
      <w:pPr>
        <w:pStyle w:val="ae"/>
        <w:spacing w:before="120" w:after="120"/>
        <w:ind w:right="113"/>
        <w:jc w:val="both"/>
        <w:rPr>
          <w:b w:val="0"/>
          <w:sz w:val="28"/>
          <w:szCs w:val="28"/>
        </w:rPr>
      </w:pPr>
      <w:r>
        <w:rPr>
          <w:b w:val="0"/>
          <w:sz w:val="28"/>
          <w:szCs w:val="28"/>
        </w:rPr>
        <w:lastRenderedPageBreak/>
        <w:tab/>
        <w:t xml:space="preserve">Також держава-член може запровадити систему державного регулювання цін </w:t>
      </w:r>
      <w:r w:rsidR="003832EA">
        <w:rPr>
          <w:b w:val="0"/>
          <w:sz w:val="28"/>
          <w:szCs w:val="28"/>
        </w:rPr>
        <w:t xml:space="preserve">на </w:t>
      </w:r>
      <w:r>
        <w:rPr>
          <w:b w:val="0"/>
          <w:sz w:val="28"/>
          <w:szCs w:val="28"/>
        </w:rPr>
        <w:t>деяк</w:t>
      </w:r>
      <w:r w:rsidR="003832EA">
        <w:rPr>
          <w:b w:val="0"/>
          <w:sz w:val="28"/>
          <w:szCs w:val="28"/>
        </w:rPr>
        <w:t>і</w:t>
      </w:r>
      <w:r w:rsidR="005C5044">
        <w:rPr>
          <w:b w:val="0"/>
          <w:sz w:val="28"/>
          <w:szCs w:val="28"/>
        </w:rPr>
        <w:t xml:space="preserve"> види</w:t>
      </w:r>
      <w:r>
        <w:rPr>
          <w:b w:val="0"/>
          <w:sz w:val="28"/>
          <w:szCs w:val="28"/>
        </w:rPr>
        <w:t xml:space="preserve"> медикаментів, в</w:t>
      </w:r>
      <w:r w:rsidR="003832EA">
        <w:rPr>
          <w:b w:val="0"/>
          <w:sz w:val="28"/>
          <w:szCs w:val="28"/>
        </w:rPr>
        <w:t xml:space="preserve">иключених </w:t>
      </w:r>
      <w:r w:rsidR="00D9519C">
        <w:rPr>
          <w:b w:val="0"/>
          <w:sz w:val="28"/>
          <w:szCs w:val="28"/>
          <w:lang w:val="ru-RU"/>
        </w:rPr>
        <w:t>з</w:t>
      </w:r>
      <w:r w:rsidR="00D9519C">
        <w:rPr>
          <w:b w:val="0"/>
          <w:sz w:val="28"/>
          <w:szCs w:val="28"/>
        </w:rPr>
        <w:t>і</w:t>
      </w:r>
      <w:r>
        <w:rPr>
          <w:b w:val="0"/>
          <w:sz w:val="28"/>
          <w:szCs w:val="28"/>
        </w:rPr>
        <w:t xml:space="preserve"> сфер регулювання системи контролю за прибутком.</w:t>
      </w:r>
    </w:p>
    <w:p w:rsidR="00D408D7" w:rsidRPr="004700A4" w:rsidRDefault="00D408D7" w:rsidP="00D408D7">
      <w:pPr>
        <w:pStyle w:val="ae"/>
        <w:spacing w:before="120" w:after="120"/>
        <w:ind w:right="113"/>
        <w:jc w:val="both"/>
        <w:rPr>
          <w:b w:val="0"/>
          <w:sz w:val="28"/>
          <w:szCs w:val="28"/>
        </w:rPr>
      </w:pPr>
      <w:r>
        <w:rPr>
          <w:b w:val="0"/>
          <w:sz w:val="28"/>
          <w:szCs w:val="28"/>
        </w:rPr>
        <w:tab/>
      </w:r>
      <w:r w:rsidR="004700A4">
        <w:rPr>
          <w:b w:val="0"/>
          <w:sz w:val="28"/>
          <w:szCs w:val="28"/>
        </w:rPr>
        <w:t xml:space="preserve">В ЄС окрема увага приділяється медикаментам, які підпадають під сферу дії системи національного медичного страхування. </w:t>
      </w:r>
      <w:r w:rsidRPr="00D408D7">
        <w:rPr>
          <w:b w:val="0"/>
          <w:sz w:val="28"/>
          <w:szCs w:val="28"/>
        </w:rPr>
        <w:t>Компетентні органи влади</w:t>
      </w:r>
      <w:r>
        <w:rPr>
          <w:b w:val="0"/>
          <w:sz w:val="28"/>
          <w:szCs w:val="28"/>
        </w:rPr>
        <w:t xml:space="preserve"> також</w:t>
      </w:r>
      <w:r w:rsidRPr="00D408D7">
        <w:rPr>
          <w:b w:val="0"/>
          <w:sz w:val="28"/>
          <w:szCs w:val="28"/>
        </w:rPr>
        <w:t xml:space="preserve"> виріш</w:t>
      </w:r>
      <w:r>
        <w:rPr>
          <w:b w:val="0"/>
          <w:sz w:val="28"/>
          <w:szCs w:val="28"/>
        </w:rPr>
        <w:t>ують чи</w:t>
      </w:r>
      <w:r w:rsidRPr="00D408D7">
        <w:rPr>
          <w:b w:val="0"/>
          <w:sz w:val="28"/>
          <w:szCs w:val="28"/>
        </w:rPr>
        <w:t xml:space="preserve"> включити медикамент в позитивний список системи національного медичного страхування</w:t>
      </w:r>
      <w:r w:rsidR="004700A4">
        <w:rPr>
          <w:b w:val="0"/>
          <w:sz w:val="28"/>
          <w:szCs w:val="28"/>
        </w:rPr>
        <w:t xml:space="preserve"> чи ні</w:t>
      </w:r>
      <w:r>
        <w:rPr>
          <w:b w:val="0"/>
          <w:sz w:val="28"/>
          <w:szCs w:val="28"/>
        </w:rPr>
        <w:t xml:space="preserve">. </w:t>
      </w:r>
      <w:r w:rsidR="003832EA">
        <w:rPr>
          <w:b w:val="0"/>
          <w:sz w:val="28"/>
          <w:szCs w:val="28"/>
        </w:rPr>
        <w:t xml:space="preserve">Держави-члени </w:t>
      </w:r>
      <w:r w:rsidRPr="004700A4">
        <w:rPr>
          <w:b w:val="0"/>
          <w:sz w:val="28"/>
          <w:szCs w:val="28"/>
        </w:rPr>
        <w:t xml:space="preserve">публікують </w:t>
      </w:r>
      <w:r w:rsidR="003832EA">
        <w:rPr>
          <w:b w:val="0"/>
          <w:sz w:val="28"/>
          <w:szCs w:val="28"/>
        </w:rPr>
        <w:t>у</w:t>
      </w:r>
      <w:r w:rsidRPr="004700A4">
        <w:rPr>
          <w:b w:val="0"/>
          <w:sz w:val="28"/>
          <w:szCs w:val="28"/>
        </w:rPr>
        <w:t xml:space="preserve"> відповідному виданні критерії, на які компетентні органи влади повинні спиратися у вирішенні питання про включення</w:t>
      </w:r>
      <w:r w:rsidR="003832EA">
        <w:rPr>
          <w:b w:val="0"/>
          <w:sz w:val="28"/>
          <w:szCs w:val="28"/>
        </w:rPr>
        <w:t xml:space="preserve"> або не</w:t>
      </w:r>
      <w:r w:rsidR="00D9519C" w:rsidRPr="00D9519C">
        <w:rPr>
          <w:b w:val="0"/>
          <w:sz w:val="28"/>
          <w:szCs w:val="28"/>
          <w:lang w:val="ru-RU"/>
        </w:rPr>
        <w:t xml:space="preserve"> </w:t>
      </w:r>
      <w:r w:rsidR="003832EA">
        <w:rPr>
          <w:b w:val="0"/>
          <w:sz w:val="28"/>
          <w:szCs w:val="28"/>
        </w:rPr>
        <w:t>включення</w:t>
      </w:r>
      <w:r w:rsidRPr="004700A4">
        <w:rPr>
          <w:b w:val="0"/>
          <w:sz w:val="28"/>
          <w:szCs w:val="28"/>
        </w:rPr>
        <w:t xml:space="preserve"> медикаменту в позитивний перелік.</w:t>
      </w:r>
      <w:r w:rsidR="004700A4">
        <w:rPr>
          <w:b w:val="0"/>
          <w:sz w:val="28"/>
          <w:szCs w:val="28"/>
        </w:rPr>
        <w:t xml:space="preserve"> Також</w:t>
      </w:r>
      <w:r w:rsidRPr="004700A4">
        <w:rPr>
          <w:b w:val="0"/>
          <w:sz w:val="28"/>
          <w:szCs w:val="28"/>
        </w:rPr>
        <w:t xml:space="preserve"> </w:t>
      </w:r>
      <w:r w:rsidR="004700A4" w:rsidRPr="004700A4">
        <w:rPr>
          <w:b w:val="0"/>
          <w:sz w:val="28"/>
          <w:szCs w:val="28"/>
        </w:rPr>
        <w:t xml:space="preserve">протягом </w:t>
      </w:r>
      <w:r w:rsidR="004700A4">
        <w:rPr>
          <w:b w:val="0"/>
          <w:sz w:val="28"/>
          <w:szCs w:val="28"/>
        </w:rPr>
        <w:t xml:space="preserve">одного року </w:t>
      </w:r>
      <w:r w:rsidRPr="004700A4">
        <w:rPr>
          <w:b w:val="0"/>
          <w:sz w:val="28"/>
          <w:szCs w:val="28"/>
        </w:rPr>
        <w:t xml:space="preserve">держави-члени публікують у відповідному виданні повний перелік продукції, що підпадає під сферу, яку охоплює система медичного страхування, </w:t>
      </w:r>
      <w:r w:rsidRPr="004700A4">
        <w:rPr>
          <w:b w:val="0"/>
          <w:sz w:val="28"/>
          <w:szCs w:val="28"/>
          <w:u w:val="single"/>
        </w:rPr>
        <w:t>разом з  її ціною встановленою національними компетентними органами влади</w:t>
      </w:r>
      <w:r w:rsidRPr="004700A4">
        <w:rPr>
          <w:b w:val="0"/>
          <w:sz w:val="28"/>
          <w:szCs w:val="28"/>
        </w:rPr>
        <w:t>. Ця інформація оновлюється принаймні один раз на рік.</w:t>
      </w:r>
    </w:p>
    <w:p w:rsidR="00555A08" w:rsidRDefault="003832EA" w:rsidP="004700A4">
      <w:pPr>
        <w:spacing w:before="120" w:after="120"/>
        <w:ind w:right="113" w:firstLine="708"/>
        <w:jc w:val="both"/>
        <w:rPr>
          <w:bCs/>
        </w:rPr>
      </w:pPr>
      <w:r>
        <w:rPr>
          <w:bCs/>
        </w:rPr>
        <w:t>Держави-члени встановлюють</w:t>
      </w:r>
      <w:r w:rsidR="004700A4" w:rsidRPr="004700A4">
        <w:rPr>
          <w:bCs/>
        </w:rPr>
        <w:t xml:space="preserve"> критерії, що стосуються терапевтичної класифікації медикаментів, які використовуються компетентними органами влади системи національного медичного страхування та встановлює критерії, що використовуються компетентними органами влади для перевірки справедливості та прозорості цін, встановлених групою підприємств,  шляхом перевірки принципів діяльності чи проміжних продуктів, що використовуються у виробництві медикаментів чи готової фармацевтичної продукції.</w:t>
      </w:r>
      <w:r w:rsidR="003446B3">
        <w:rPr>
          <w:bCs/>
        </w:rPr>
        <w:t xml:space="preserve"> </w:t>
      </w:r>
    </w:p>
    <w:p w:rsidR="00555A08" w:rsidRPr="003446B3" w:rsidRDefault="003446B3" w:rsidP="003446B3">
      <w:pPr>
        <w:spacing w:before="120" w:after="120"/>
        <w:ind w:right="113" w:firstLine="708"/>
        <w:jc w:val="both"/>
        <w:rPr>
          <w:bCs/>
        </w:rPr>
      </w:pPr>
      <w:r>
        <w:rPr>
          <w:bCs/>
        </w:rPr>
        <w:t xml:space="preserve">Таким чином, запропоновані </w:t>
      </w:r>
      <w:r>
        <w:t xml:space="preserve">зміни до Закону України «Про лікарські засоби», якими пропонується </w:t>
      </w:r>
      <w:r w:rsidRPr="00186855">
        <w:t xml:space="preserve">встановити, що рівень граничної постачальницько-збутової та </w:t>
      </w:r>
      <w:r w:rsidRPr="00186855">
        <w:rPr>
          <w:shd w:val="clear" w:color="auto" w:fill="FFFFFF"/>
        </w:rPr>
        <w:t xml:space="preserve">торговельної (роздрібної) </w:t>
      </w:r>
      <w:r w:rsidRPr="00186855">
        <w:t>надбавки на лікарські засоби і вироби медичного призначення, що ре</w:t>
      </w:r>
      <w:r>
        <w:t>алізуються в Україні, встановлює</w:t>
      </w:r>
      <w:r w:rsidRPr="00186855">
        <w:t xml:space="preserve">ться Кабінетом </w:t>
      </w:r>
      <w:r>
        <w:t>Міністрів України, але не може</w:t>
      </w:r>
      <w:r w:rsidRPr="00186855">
        <w:t xml:space="preserve"> перевищувати  7 та 15</w:t>
      </w:r>
      <w:r w:rsidRPr="00186855">
        <w:rPr>
          <w:shd w:val="clear" w:color="auto" w:fill="FFFFFF"/>
        </w:rPr>
        <w:t xml:space="preserve"> % відповідно від оптово-відпускної (для </w:t>
      </w:r>
      <w:proofErr w:type="spellStart"/>
      <w:r w:rsidRPr="00186855">
        <w:rPr>
          <w:shd w:val="clear" w:color="auto" w:fill="FFFFFF"/>
        </w:rPr>
        <w:t>постачально</w:t>
      </w:r>
      <w:proofErr w:type="spellEnd"/>
      <w:r w:rsidRPr="00186855">
        <w:rPr>
          <w:shd w:val="clear" w:color="auto" w:fill="FFFFFF"/>
        </w:rPr>
        <w:t xml:space="preserve">-збутових надбавок) та закупівельної (для </w:t>
      </w:r>
      <w:r>
        <w:rPr>
          <w:shd w:val="clear" w:color="auto" w:fill="FFFFFF"/>
        </w:rPr>
        <w:t>торговельних надбавок) ціни</w:t>
      </w:r>
      <w:r w:rsidRPr="00186855">
        <w:rPr>
          <w:shd w:val="clear" w:color="auto" w:fill="FFFFFF"/>
        </w:rPr>
        <w:t xml:space="preserve"> лікарських засобів і виробів медичного призначення</w:t>
      </w:r>
      <w:r>
        <w:rPr>
          <w:shd w:val="clear" w:color="auto" w:fill="FFFFFF"/>
        </w:rPr>
        <w:t xml:space="preserve"> </w:t>
      </w:r>
      <w:r w:rsidRPr="003446B3">
        <w:rPr>
          <w:b/>
          <w:shd w:val="clear" w:color="auto" w:fill="FFFFFF"/>
        </w:rPr>
        <w:t>не враховує підх</w:t>
      </w:r>
      <w:r>
        <w:rPr>
          <w:b/>
          <w:shd w:val="clear" w:color="auto" w:fill="FFFFFF"/>
        </w:rPr>
        <w:t>ід</w:t>
      </w:r>
      <w:r>
        <w:rPr>
          <w:shd w:val="clear" w:color="auto" w:fill="FFFFFF"/>
        </w:rPr>
        <w:t xml:space="preserve"> щодо ціноутворення, який закріплений у Директиві </w:t>
      </w:r>
      <w:r>
        <w:rPr>
          <w:bCs/>
        </w:rPr>
        <w:t>Ради 89/105/ЄЕС від 21 грудня 1988 року «</w:t>
      </w:r>
      <w:r w:rsidRPr="00D21EE8">
        <w:rPr>
          <w:bCs/>
        </w:rPr>
        <w:t xml:space="preserve">Щодо прозорості заходів, </w:t>
      </w:r>
      <w:r>
        <w:rPr>
          <w:bCs/>
        </w:rPr>
        <w:t xml:space="preserve">що </w:t>
      </w:r>
      <w:r w:rsidRPr="00D21EE8">
        <w:rPr>
          <w:bCs/>
        </w:rPr>
        <w:t>регулюю</w:t>
      </w:r>
      <w:r>
        <w:rPr>
          <w:bCs/>
        </w:rPr>
        <w:t>ть встановлення цін</w:t>
      </w:r>
      <w:r w:rsidRPr="00D21EE8">
        <w:rPr>
          <w:bCs/>
        </w:rPr>
        <w:t xml:space="preserve"> на </w:t>
      </w:r>
      <w:r>
        <w:rPr>
          <w:bCs/>
        </w:rPr>
        <w:t xml:space="preserve">медикаменти для використання людьми і їх </w:t>
      </w:r>
      <w:r w:rsidRPr="00D21EE8">
        <w:rPr>
          <w:bCs/>
        </w:rPr>
        <w:t xml:space="preserve">включення до сфери дії національних систем </w:t>
      </w:r>
      <w:r>
        <w:rPr>
          <w:bCs/>
        </w:rPr>
        <w:t xml:space="preserve">медичного </w:t>
      </w:r>
      <w:r w:rsidRPr="00D21EE8">
        <w:rPr>
          <w:bCs/>
        </w:rPr>
        <w:t>страхування</w:t>
      </w:r>
      <w:r>
        <w:rPr>
          <w:bCs/>
        </w:rPr>
        <w:t>».</w:t>
      </w:r>
    </w:p>
    <w:p w:rsidR="00F72F27" w:rsidRPr="003446B3" w:rsidRDefault="00922E41" w:rsidP="00F72F27">
      <w:pPr>
        <w:ind w:firstLine="709"/>
        <w:jc w:val="both"/>
        <w:rPr>
          <w:shd w:val="clear" w:color="auto" w:fill="FFFFFF"/>
        </w:rPr>
      </w:pPr>
      <w:r>
        <w:rPr>
          <w:shd w:val="clear" w:color="auto" w:fill="FFFFFF"/>
        </w:rPr>
        <w:t xml:space="preserve">Водночас, </w:t>
      </w:r>
      <w:r w:rsidR="00F72F27" w:rsidRPr="003446B3">
        <w:rPr>
          <w:shd w:val="clear" w:color="auto" w:fill="FFFFFF"/>
        </w:rPr>
        <w:t>на сьогодні в Державах-членах ЄС не існує єдиного підходу щодо ціноутворення у фармацевтичній сфері. Засоби та методи регулювання цін на лікарські препарати суттєво відрізняються між країнами.</w:t>
      </w:r>
    </w:p>
    <w:p w:rsidR="00F72F27" w:rsidRPr="003446B3" w:rsidRDefault="00922E41" w:rsidP="00F72F27">
      <w:pPr>
        <w:ind w:firstLine="709"/>
        <w:jc w:val="both"/>
        <w:rPr>
          <w:shd w:val="clear" w:color="auto" w:fill="FFFFFF"/>
        </w:rPr>
      </w:pPr>
      <w:r>
        <w:rPr>
          <w:shd w:val="clear" w:color="auto" w:fill="FFFFFF"/>
        </w:rPr>
        <w:t>М</w:t>
      </w:r>
      <w:r w:rsidR="00F72F27" w:rsidRPr="003446B3">
        <w:rPr>
          <w:shd w:val="clear" w:color="auto" w:fill="FFFFFF"/>
        </w:rPr>
        <w:t>ожна визначити основні підходи до регулювання, як‐то визначення фіксованих або базових цін, регулювання прибутку. Крім того, ряд країн запроваджує ціноутворення на основі ефективності лікарських засобів. Часто країни використовують більше, ніж один метод регулювання. Деякі країни безпосередньо регулюють ціни на ліки (Франція та Італія), тоді як ряд країн впроваджують обмеження на відшкодування витрат в рамках соціального страхування (Німеччина).</w:t>
      </w:r>
    </w:p>
    <w:p w:rsidR="00F72F27" w:rsidRPr="003446B3" w:rsidRDefault="00F72F27" w:rsidP="00F72F27">
      <w:pPr>
        <w:ind w:firstLine="709"/>
        <w:jc w:val="both"/>
        <w:rPr>
          <w:shd w:val="clear" w:color="auto" w:fill="FFFFFF"/>
        </w:rPr>
      </w:pPr>
      <w:r w:rsidRPr="003446B3">
        <w:rPr>
          <w:shd w:val="clear" w:color="auto" w:fill="FFFFFF"/>
        </w:rPr>
        <w:t>Виділяють чотири основні методи регулювання цін на лікарські засоби: встановлення фіксованих цін, регулювання прибутку, ціноутворення на основі ефективності та встановлення базових цін.</w:t>
      </w:r>
    </w:p>
    <w:p w:rsidR="00C1172D" w:rsidRDefault="00F72F27" w:rsidP="003446B3">
      <w:pPr>
        <w:ind w:firstLine="709"/>
        <w:jc w:val="both"/>
        <w:rPr>
          <w:shd w:val="clear" w:color="auto" w:fill="FFFFFF"/>
        </w:rPr>
      </w:pPr>
      <w:r w:rsidRPr="003446B3">
        <w:rPr>
          <w:shd w:val="clear" w:color="auto" w:fill="FFFFFF"/>
        </w:rPr>
        <w:t>Країни ЄС часто використовують більше одного методу регулювання цін. Так, Німеччина і Данія при вільному ціноутворенні на нові препарати запровадили встановлення базових цін на непатентовані лікарські препарати, які вже є на ринку.</w:t>
      </w:r>
    </w:p>
    <w:p w:rsidR="00F83011" w:rsidRPr="003446B3" w:rsidRDefault="00F72F27" w:rsidP="003446B3">
      <w:pPr>
        <w:ind w:firstLine="709"/>
        <w:jc w:val="both"/>
        <w:rPr>
          <w:shd w:val="clear" w:color="auto" w:fill="FFFFFF"/>
        </w:rPr>
      </w:pPr>
      <w:r w:rsidRPr="003446B3">
        <w:rPr>
          <w:shd w:val="clear" w:color="auto" w:fill="FFFFFF"/>
        </w:rPr>
        <w:lastRenderedPageBreak/>
        <w:t>В Бельгії, Греції, Італії та Португалії до патентованих та непатентованих лікарських препаратів застосовується однакова схема ціноутворення, тоді як препарати‐аналоги будуть продаватися за ціною нижчою, ніж ціна оригінальної марки. У Франції, де аптеки при лікарнях відповідають за підписання контрактів на закупівлю ліків, ринок лікарських препаратів для лікарень регулюється окремо. У Фінляндії, Швеції та Франції вартість певного переліку ліків відшкодовується системою обов’язкового медичного страхування, тоді як ціни на решту лікарських засобів встановлюються ринком.</w:t>
      </w:r>
    </w:p>
    <w:p w:rsidR="00F83011" w:rsidRPr="003446B3" w:rsidRDefault="002B40CA" w:rsidP="003446B3">
      <w:pPr>
        <w:spacing w:before="160"/>
        <w:ind w:firstLine="708"/>
        <w:jc w:val="both"/>
        <w:rPr>
          <w:b/>
          <w:bCs/>
        </w:rPr>
      </w:pPr>
      <w:r w:rsidRPr="00C46790">
        <w:rPr>
          <w:rFonts w:eastAsia="Verdana"/>
          <w:b/>
          <w:bCs/>
        </w:rPr>
        <w:t>4.   </w:t>
      </w:r>
      <w:r w:rsidRPr="00C46790">
        <w:rPr>
          <w:b/>
        </w:rPr>
        <w:t xml:space="preserve">Висновок Комітету з питань </w:t>
      </w:r>
      <w:r w:rsidR="005946E4">
        <w:rPr>
          <w:b/>
        </w:rPr>
        <w:t>інтеграції України з Європейським Союзом</w:t>
      </w:r>
      <w:r w:rsidRPr="00C46790">
        <w:rPr>
          <w:b/>
        </w:rPr>
        <w:t xml:space="preserve">. </w:t>
      </w:r>
    </w:p>
    <w:p w:rsidR="003446B3" w:rsidRPr="004700A4" w:rsidRDefault="001C76B3" w:rsidP="003446B3">
      <w:pPr>
        <w:spacing w:before="120" w:after="120"/>
        <w:ind w:right="113" w:firstLine="708"/>
        <w:jc w:val="both"/>
        <w:rPr>
          <w:bCs/>
        </w:rPr>
      </w:pPr>
      <w:r w:rsidRPr="00F83011">
        <w:t>Проект Закону</w:t>
      </w:r>
      <w:r w:rsidR="003446B3">
        <w:t xml:space="preserve"> не суперечить міжнародно-правовим зо</w:t>
      </w:r>
      <w:r w:rsidR="00C1172D">
        <w:t>бов’язанням України, водночас потребує доопрацювання з метою</w:t>
      </w:r>
      <w:r w:rsidR="003446B3">
        <w:t xml:space="preserve"> </w:t>
      </w:r>
      <w:r w:rsidR="00C1172D">
        <w:t>врахування основних</w:t>
      </w:r>
      <w:r w:rsidR="003446B3">
        <w:t xml:space="preserve"> </w:t>
      </w:r>
      <w:r w:rsidR="005C5044">
        <w:rPr>
          <w:shd w:val="clear" w:color="auto" w:fill="FFFFFF"/>
        </w:rPr>
        <w:t>підходів</w:t>
      </w:r>
      <w:r w:rsidR="003446B3" w:rsidRPr="003446B3">
        <w:rPr>
          <w:shd w:val="clear" w:color="auto" w:fill="FFFFFF"/>
        </w:rPr>
        <w:t xml:space="preserve"> </w:t>
      </w:r>
      <w:r w:rsidR="003446B3">
        <w:rPr>
          <w:shd w:val="clear" w:color="auto" w:fill="FFFFFF"/>
        </w:rPr>
        <w:t>щодо ціноутворення, закріплени</w:t>
      </w:r>
      <w:r w:rsidR="00C1172D">
        <w:rPr>
          <w:shd w:val="clear" w:color="auto" w:fill="FFFFFF"/>
        </w:rPr>
        <w:t>х</w:t>
      </w:r>
      <w:r w:rsidR="003446B3">
        <w:rPr>
          <w:shd w:val="clear" w:color="auto" w:fill="FFFFFF"/>
        </w:rPr>
        <w:t xml:space="preserve"> у Директиві </w:t>
      </w:r>
      <w:r w:rsidR="003446B3">
        <w:rPr>
          <w:bCs/>
        </w:rPr>
        <w:t>Ради 89/105/ЄЕС від 21 грудня 1988 року «</w:t>
      </w:r>
      <w:r w:rsidR="003446B3" w:rsidRPr="00D21EE8">
        <w:rPr>
          <w:bCs/>
        </w:rPr>
        <w:t xml:space="preserve">Щодо прозорості заходів, </w:t>
      </w:r>
      <w:r w:rsidR="003446B3">
        <w:rPr>
          <w:bCs/>
        </w:rPr>
        <w:t xml:space="preserve">що </w:t>
      </w:r>
      <w:r w:rsidR="003446B3" w:rsidRPr="00D21EE8">
        <w:rPr>
          <w:bCs/>
        </w:rPr>
        <w:t>регулюю</w:t>
      </w:r>
      <w:r w:rsidR="003446B3">
        <w:rPr>
          <w:bCs/>
        </w:rPr>
        <w:t>ть встановлення цін</w:t>
      </w:r>
      <w:r w:rsidR="003446B3" w:rsidRPr="00D21EE8">
        <w:rPr>
          <w:bCs/>
        </w:rPr>
        <w:t xml:space="preserve"> на </w:t>
      </w:r>
      <w:r w:rsidR="003446B3">
        <w:rPr>
          <w:bCs/>
        </w:rPr>
        <w:t xml:space="preserve">медикаменти для використання людьми і їх </w:t>
      </w:r>
      <w:r w:rsidR="003446B3" w:rsidRPr="00D21EE8">
        <w:rPr>
          <w:bCs/>
        </w:rPr>
        <w:t xml:space="preserve">включення до сфери дії національних систем </w:t>
      </w:r>
      <w:r w:rsidR="003446B3">
        <w:rPr>
          <w:bCs/>
        </w:rPr>
        <w:t xml:space="preserve">медичного </w:t>
      </w:r>
      <w:r w:rsidR="003446B3" w:rsidRPr="00D21EE8">
        <w:rPr>
          <w:bCs/>
        </w:rPr>
        <w:t>страхування</w:t>
      </w:r>
      <w:r w:rsidR="003446B3">
        <w:rPr>
          <w:bCs/>
        </w:rPr>
        <w:t>».</w:t>
      </w:r>
    </w:p>
    <w:p w:rsidR="001C76B3" w:rsidRPr="003446B3" w:rsidRDefault="003446B3" w:rsidP="001C76B3">
      <w:pPr>
        <w:pStyle w:val="ab"/>
        <w:widowControl w:val="0"/>
        <w:tabs>
          <w:tab w:val="left" w:pos="540"/>
        </w:tabs>
        <w:spacing w:before="0" w:after="120"/>
        <w:ind w:firstLine="0"/>
        <w:rPr>
          <w:rFonts w:ascii="Times New Roman" w:hAnsi="Times New Roman"/>
          <w:sz w:val="28"/>
          <w:szCs w:val="28"/>
          <w:lang w:val="ru-RU"/>
        </w:rPr>
      </w:pPr>
      <w:r>
        <w:rPr>
          <w:rFonts w:ascii="Times New Roman" w:hAnsi="Times New Roman"/>
          <w:sz w:val="28"/>
          <w:szCs w:val="28"/>
        </w:rPr>
        <w:t xml:space="preserve"> </w:t>
      </w:r>
    </w:p>
    <w:p w:rsidR="006F255F" w:rsidRDefault="006F255F" w:rsidP="007C6EFF">
      <w:pPr>
        <w:jc w:val="both"/>
        <w:rPr>
          <w:b/>
          <w:bCs/>
          <w:iCs/>
          <w:sz w:val="26"/>
          <w:szCs w:val="26"/>
        </w:rPr>
      </w:pPr>
    </w:p>
    <w:p w:rsidR="00410174" w:rsidRDefault="00410174" w:rsidP="002B40CA">
      <w:pPr>
        <w:spacing w:before="60"/>
        <w:ind w:firstLine="567"/>
        <w:jc w:val="both"/>
        <w:outlineLvl w:val="2"/>
        <w:rPr>
          <w:bCs/>
          <w:color w:val="FF0000"/>
          <w:sz w:val="27"/>
          <w:szCs w:val="27"/>
        </w:rPr>
      </w:pPr>
    </w:p>
    <w:p w:rsidR="00A339EA" w:rsidRDefault="00A339EA" w:rsidP="002B40CA">
      <w:pPr>
        <w:spacing w:before="60"/>
        <w:ind w:firstLine="567"/>
        <w:jc w:val="both"/>
        <w:outlineLvl w:val="2"/>
        <w:rPr>
          <w:bCs/>
          <w:color w:val="FF0000"/>
          <w:sz w:val="27"/>
          <w:szCs w:val="27"/>
        </w:rPr>
      </w:pPr>
    </w:p>
    <w:p w:rsidR="00A339EA" w:rsidRDefault="00A339EA" w:rsidP="002B40CA">
      <w:pPr>
        <w:spacing w:before="60"/>
        <w:ind w:firstLine="567"/>
        <w:jc w:val="both"/>
        <w:outlineLvl w:val="2"/>
        <w:rPr>
          <w:bCs/>
          <w:color w:val="FF0000"/>
          <w:sz w:val="27"/>
          <w:szCs w:val="27"/>
        </w:rPr>
      </w:pPr>
    </w:p>
    <w:p w:rsidR="00A339EA" w:rsidRDefault="00A339EA" w:rsidP="002B40CA">
      <w:pPr>
        <w:spacing w:before="60"/>
        <w:ind w:firstLine="567"/>
        <w:jc w:val="both"/>
        <w:outlineLvl w:val="2"/>
        <w:rPr>
          <w:bCs/>
          <w:color w:val="FF0000"/>
          <w:sz w:val="27"/>
          <w:szCs w:val="27"/>
        </w:rPr>
      </w:pPr>
    </w:p>
    <w:p w:rsidR="00A339EA" w:rsidRDefault="00A339EA" w:rsidP="002B40CA">
      <w:pPr>
        <w:spacing w:before="60"/>
        <w:ind w:firstLine="567"/>
        <w:jc w:val="both"/>
        <w:outlineLvl w:val="2"/>
        <w:rPr>
          <w:bCs/>
          <w:color w:val="FF0000"/>
          <w:sz w:val="27"/>
          <w:szCs w:val="27"/>
        </w:rPr>
      </w:pPr>
    </w:p>
    <w:p w:rsidR="00A339EA" w:rsidRDefault="00A339EA" w:rsidP="002B40CA">
      <w:pPr>
        <w:spacing w:before="60"/>
        <w:ind w:firstLine="567"/>
        <w:jc w:val="both"/>
        <w:outlineLvl w:val="2"/>
        <w:rPr>
          <w:bCs/>
          <w:color w:val="FF0000"/>
          <w:sz w:val="27"/>
          <w:szCs w:val="27"/>
        </w:rPr>
      </w:pPr>
    </w:p>
    <w:p w:rsidR="00A339EA" w:rsidRDefault="00A339EA" w:rsidP="002B40CA">
      <w:pPr>
        <w:spacing w:before="60"/>
        <w:ind w:firstLine="567"/>
        <w:jc w:val="both"/>
        <w:outlineLvl w:val="2"/>
        <w:rPr>
          <w:bCs/>
          <w:color w:val="FF0000"/>
          <w:sz w:val="27"/>
          <w:szCs w:val="27"/>
        </w:rPr>
      </w:pPr>
    </w:p>
    <w:p w:rsidR="00A339EA" w:rsidRDefault="00A339EA" w:rsidP="002B40CA">
      <w:pPr>
        <w:spacing w:before="60"/>
        <w:ind w:firstLine="567"/>
        <w:jc w:val="both"/>
        <w:outlineLvl w:val="2"/>
        <w:rPr>
          <w:bCs/>
          <w:color w:val="FF0000"/>
          <w:sz w:val="27"/>
          <w:szCs w:val="27"/>
        </w:rPr>
      </w:pPr>
    </w:p>
    <w:p w:rsidR="00A339EA" w:rsidRDefault="00A339EA" w:rsidP="002B40CA">
      <w:pPr>
        <w:spacing w:before="60"/>
        <w:ind w:firstLine="567"/>
        <w:jc w:val="both"/>
        <w:outlineLvl w:val="2"/>
        <w:rPr>
          <w:bCs/>
          <w:color w:val="FF0000"/>
          <w:sz w:val="27"/>
          <w:szCs w:val="27"/>
        </w:rPr>
      </w:pPr>
    </w:p>
    <w:p w:rsidR="00A339EA" w:rsidRDefault="00A339EA" w:rsidP="002B40CA">
      <w:pPr>
        <w:spacing w:before="60"/>
        <w:ind w:firstLine="567"/>
        <w:jc w:val="both"/>
        <w:outlineLvl w:val="2"/>
        <w:rPr>
          <w:bCs/>
          <w:color w:val="FF0000"/>
          <w:sz w:val="27"/>
          <w:szCs w:val="27"/>
        </w:rPr>
      </w:pPr>
    </w:p>
    <w:p w:rsidR="00A339EA" w:rsidRDefault="00A339EA" w:rsidP="002B40CA">
      <w:pPr>
        <w:spacing w:before="60"/>
        <w:ind w:firstLine="567"/>
        <w:jc w:val="both"/>
        <w:outlineLvl w:val="2"/>
        <w:rPr>
          <w:bCs/>
          <w:color w:val="FF0000"/>
          <w:sz w:val="27"/>
          <w:szCs w:val="27"/>
        </w:rPr>
      </w:pPr>
    </w:p>
    <w:p w:rsidR="00A339EA" w:rsidRDefault="00A339EA" w:rsidP="002B40CA">
      <w:pPr>
        <w:spacing w:before="60"/>
        <w:ind w:firstLine="567"/>
        <w:jc w:val="both"/>
        <w:outlineLvl w:val="2"/>
        <w:rPr>
          <w:bCs/>
          <w:color w:val="FF0000"/>
          <w:sz w:val="27"/>
          <w:szCs w:val="27"/>
        </w:rPr>
      </w:pPr>
    </w:p>
    <w:p w:rsidR="00A339EA" w:rsidRDefault="00A339EA" w:rsidP="002B40CA">
      <w:pPr>
        <w:spacing w:before="60"/>
        <w:ind w:firstLine="567"/>
        <w:jc w:val="both"/>
        <w:outlineLvl w:val="2"/>
        <w:rPr>
          <w:bCs/>
          <w:color w:val="FF0000"/>
          <w:sz w:val="27"/>
          <w:szCs w:val="27"/>
        </w:rPr>
      </w:pPr>
    </w:p>
    <w:p w:rsidR="00A339EA" w:rsidRDefault="00A339EA" w:rsidP="002B40CA">
      <w:pPr>
        <w:spacing w:before="60"/>
        <w:ind w:firstLine="567"/>
        <w:jc w:val="both"/>
        <w:outlineLvl w:val="2"/>
        <w:rPr>
          <w:bCs/>
          <w:color w:val="FF0000"/>
          <w:sz w:val="27"/>
          <w:szCs w:val="27"/>
        </w:rPr>
      </w:pPr>
    </w:p>
    <w:p w:rsidR="00A339EA" w:rsidRDefault="00A339EA" w:rsidP="002B40CA">
      <w:pPr>
        <w:spacing w:before="60"/>
        <w:ind w:firstLine="567"/>
        <w:jc w:val="both"/>
        <w:outlineLvl w:val="2"/>
        <w:rPr>
          <w:bCs/>
          <w:color w:val="FF0000"/>
          <w:sz w:val="27"/>
          <w:szCs w:val="27"/>
        </w:rPr>
      </w:pPr>
    </w:p>
    <w:p w:rsidR="00A339EA" w:rsidRDefault="00A339EA" w:rsidP="002B40CA">
      <w:pPr>
        <w:spacing w:before="60"/>
        <w:ind w:firstLine="567"/>
        <w:jc w:val="both"/>
        <w:outlineLvl w:val="2"/>
        <w:rPr>
          <w:bCs/>
          <w:color w:val="FF0000"/>
          <w:sz w:val="27"/>
          <w:szCs w:val="27"/>
        </w:rPr>
      </w:pPr>
    </w:p>
    <w:p w:rsidR="00A339EA" w:rsidRPr="00A339EA" w:rsidRDefault="00A339EA" w:rsidP="002B40CA">
      <w:pPr>
        <w:spacing w:before="60"/>
        <w:ind w:firstLine="567"/>
        <w:jc w:val="both"/>
        <w:outlineLvl w:val="2"/>
        <w:rPr>
          <w:bCs/>
          <w:sz w:val="27"/>
          <w:szCs w:val="27"/>
        </w:rPr>
      </w:pPr>
      <w:r>
        <w:rPr>
          <w:bCs/>
          <w:sz w:val="27"/>
          <w:szCs w:val="27"/>
        </w:rPr>
        <w:t xml:space="preserve"> </w:t>
      </w:r>
    </w:p>
    <w:sectPr w:rsidR="00A339EA" w:rsidRPr="00A339EA" w:rsidSect="00B90CC1">
      <w:footerReference w:type="even" r:id="rId7"/>
      <w:footerReference w:type="default" r:id="rId8"/>
      <w:pgSz w:w="11906" w:h="16838"/>
      <w:pgMar w:top="719" w:right="746" w:bottom="540" w:left="1080" w:header="708"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300D" w:rsidRDefault="00DD300D">
      <w:r>
        <w:separator/>
      </w:r>
    </w:p>
  </w:endnote>
  <w:endnote w:type="continuationSeparator" w:id="0">
    <w:p w:rsidR="00DD300D" w:rsidRDefault="00DD30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ntiqua">
    <w:altName w:val="Century Gothic"/>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AAA" w:rsidRDefault="00DA7AAA" w:rsidP="00B90CC1">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DA7AAA" w:rsidRDefault="00DA7AAA">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AAA" w:rsidRDefault="00DA7AAA" w:rsidP="00C91A9C">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BC6E65">
      <w:rPr>
        <w:rStyle w:val="a4"/>
        <w:noProof/>
      </w:rPr>
      <w:t>4</w:t>
    </w:r>
    <w:r>
      <w:rPr>
        <w:rStyle w:val="a4"/>
      </w:rPr>
      <w:fldChar w:fldCharType="end"/>
    </w:r>
  </w:p>
  <w:p w:rsidR="00DA7AAA" w:rsidRDefault="00DA7AAA">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300D" w:rsidRDefault="00DD300D">
      <w:r>
        <w:separator/>
      </w:r>
    </w:p>
  </w:footnote>
  <w:footnote w:type="continuationSeparator" w:id="0">
    <w:p w:rsidR="00DD300D" w:rsidRDefault="00DD30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lvl w:ilvl="0">
      <w:start w:val="1"/>
      <w:numFmt w:val="bullet"/>
      <w:lvlText w:val=""/>
      <w:lvlJc w:val="left"/>
      <w:pPr>
        <w:ind w:left="1080" w:hanging="360"/>
      </w:pPr>
      <w:rPr>
        <w:rFonts w:ascii="Symbol" w:eastAsia="Times New Roman" w:hAnsi="Symbol"/>
        <w:caps w:val="0"/>
        <w:smallCaps w:val="0"/>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15:restartNumberingAfterBreak="0">
    <w:nsid w:val="04B7074C"/>
    <w:multiLevelType w:val="multilevel"/>
    <w:tmpl w:val="04244614"/>
    <w:lvl w:ilvl="0">
      <w:start w:val="1"/>
      <w:numFmt w:val="decimal"/>
      <w:lvlText w:val="%1."/>
      <w:lvlJc w:val="left"/>
      <w:pPr>
        <w:ind w:left="360" w:hanging="360"/>
      </w:pPr>
      <w:rPr>
        <w:rFonts w:cs="Times New Roman" w:hint="default"/>
      </w:rPr>
    </w:lvl>
    <w:lvl w:ilvl="1">
      <w:start w:val="1"/>
      <w:numFmt w:val="decimal"/>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 w15:restartNumberingAfterBreak="0">
    <w:nsid w:val="08600D71"/>
    <w:multiLevelType w:val="hybridMultilevel"/>
    <w:tmpl w:val="BEBEFF1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1E9E51B8"/>
    <w:multiLevelType w:val="hybridMultilevel"/>
    <w:tmpl w:val="04FA6C94"/>
    <w:lvl w:ilvl="0" w:tplc="3A30D4A8">
      <w:start w:val="1"/>
      <w:numFmt w:val="decimal"/>
      <w:lvlText w:val="%1."/>
      <w:lvlJc w:val="left"/>
      <w:pPr>
        <w:tabs>
          <w:tab w:val="num" w:pos="1080"/>
        </w:tabs>
        <w:ind w:left="1080" w:hanging="360"/>
      </w:pPr>
      <w:rPr>
        <w:rFonts w:hint="default"/>
      </w:rPr>
    </w:lvl>
    <w:lvl w:ilvl="1" w:tplc="CF5811DA">
      <w:start w:val="6"/>
      <w:numFmt w:val="bullet"/>
      <w:lvlText w:val="-"/>
      <w:lvlJc w:val="left"/>
      <w:pPr>
        <w:tabs>
          <w:tab w:val="num" w:pos="2604"/>
        </w:tabs>
        <w:ind w:left="2604" w:hanging="1164"/>
      </w:pPr>
      <w:rPr>
        <w:rFonts w:ascii="Times New Roman" w:eastAsia="Calibri" w:hAnsi="Times New Roman" w:cs="Times New Roman" w:hint="default"/>
      </w:rPr>
    </w:lvl>
    <w:lvl w:ilvl="2" w:tplc="ED602888">
      <w:start w:val="1"/>
      <w:numFmt w:val="decimal"/>
      <w:lvlText w:val="%3)"/>
      <w:lvlJc w:val="left"/>
      <w:pPr>
        <w:tabs>
          <w:tab w:val="num" w:pos="3504"/>
        </w:tabs>
        <w:ind w:left="3504" w:hanging="1164"/>
      </w:pPr>
      <w:rPr>
        <w:rFonts w:hint="default"/>
      </w:r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 w15:restartNumberingAfterBreak="0">
    <w:nsid w:val="23FF370C"/>
    <w:multiLevelType w:val="hybridMultilevel"/>
    <w:tmpl w:val="E638A56C"/>
    <w:lvl w:ilvl="0" w:tplc="B05A1CDC">
      <w:start w:val="1"/>
      <w:numFmt w:val="bullet"/>
      <w:lvlText w:val=""/>
      <w:lvlJc w:val="left"/>
      <w:pPr>
        <w:tabs>
          <w:tab w:val="num" w:pos="2574"/>
        </w:tabs>
        <w:ind w:left="2574" w:hanging="360"/>
      </w:pPr>
      <w:rPr>
        <w:rFonts w:ascii="Symbol" w:hAnsi="Symbol" w:hint="default"/>
        <w:color w:val="auto"/>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5" w15:restartNumberingAfterBreak="0">
    <w:nsid w:val="31CC1410"/>
    <w:multiLevelType w:val="hybridMultilevel"/>
    <w:tmpl w:val="1D78050E"/>
    <w:lvl w:ilvl="0" w:tplc="96FCD12C">
      <w:start w:val="1"/>
      <w:numFmt w:val="upperRoman"/>
      <w:lvlText w:val="%1."/>
      <w:lvlJc w:val="left"/>
      <w:pPr>
        <w:ind w:left="1429" w:hanging="72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6" w15:restartNumberingAfterBreak="0">
    <w:nsid w:val="36E82D36"/>
    <w:multiLevelType w:val="hybridMultilevel"/>
    <w:tmpl w:val="0E669F94"/>
    <w:lvl w:ilvl="0" w:tplc="29D417DE">
      <w:start w:val="1"/>
      <w:numFmt w:val="decimal"/>
      <w:lvlText w:val="%1."/>
      <w:lvlJc w:val="left"/>
      <w:pPr>
        <w:tabs>
          <w:tab w:val="num" w:pos="780"/>
        </w:tabs>
        <w:ind w:left="780" w:hanging="360"/>
      </w:pPr>
      <w:rPr>
        <w:rFonts w:hint="default"/>
      </w:rPr>
    </w:lvl>
    <w:lvl w:ilvl="1" w:tplc="04220019" w:tentative="1">
      <w:start w:val="1"/>
      <w:numFmt w:val="lowerLetter"/>
      <w:lvlText w:val="%2."/>
      <w:lvlJc w:val="left"/>
      <w:pPr>
        <w:tabs>
          <w:tab w:val="num" w:pos="1500"/>
        </w:tabs>
        <w:ind w:left="1500" w:hanging="360"/>
      </w:pPr>
    </w:lvl>
    <w:lvl w:ilvl="2" w:tplc="0422001B" w:tentative="1">
      <w:start w:val="1"/>
      <w:numFmt w:val="lowerRoman"/>
      <w:lvlText w:val="%3."/>
      <w:lvlJc w:val="right"/>
      <w:pPr>
        <w:tabs>
          <w:tab w:val="num" w:pos="2220"/>
        </w:tabs>
        <w:ind w:left="2220" w:hanging="180"/>
      </w:pPr>
    </w:lvl>
    <w:lvl w:ilvl="3" w:tplc="0422000F" w:tentative="1">
      <w:start w:val="1"/>
      <w:numFmt w:val="decimal"/>
      <w:lvlText w:val="%4."/>
      <w:lvlJc w:val="left"/>
      <w:pPr>
        <w:tabs>
          <w:tab w:val="num" w:pos="2940"/>
        </w:tabs>
        <w:ind w:left="2940" w:hanging="360"/>
      </w:pPr>
    </w:lvl>
    <w:lvl w:ilvl="4" w:tplc="04220019" w:tentative="1">
      <w:start w:val="1"/>
      <w:numFmt w:val="lowerLetter"/>
      <w:lvlText w:val="%5."/>
      <w:lvlJc w:val="left"/>
      <w:pPr>
        <w:tabs>
          <w:tab w:val="num" w:pos="3660"/>
        </w:tabs>
        <w:ind w:left="3660" w:hanging="360"/>
      </w:pPr>
    </w:lvl>
    <w:lvl w:ilvl="5" w:tplc="0422001B" w:tentative="1">
      <w:start w:val="1"/>
      <w:numFmt w:val="lowerRoman"/>
      <w:lvlText w:val="%6."/>
      <w:lvlJc w:val="right"/>
      <w:pPr>
        <w:tabs>
          <w:tab w:val="num" w:pos="4380"/>
        </w:tabs>
        <w:ind w:left="4380" w:hanging="180"/>
      </w:pPr>
    </w:lvl>
    <w:lvl w:ilvl="6" w:tplc="0422000F" w:tentative="1">
      <w:start w:val="1"/>
      <w:numFmt w:val="decimal"/>
      <w:lvlText w:val="%7."/>
      <w:lvlJc w:val="left"/>
      <w:pPr>
        <w:tabs>
          <w:tab w:val="num" w:pos="5100"/>
        </w:tabs>
        <w:ind w:left="5100" w:hanging="360"/>
      </w:pPr>
    </w:lvl>
    <w:lvl w:ilvl="7" w:tplc="04220019" w:tentative="1">
      <w:start w:val="1"/>
      <w:numFmt w:val="lowerLetter"/>
      <w:lvlText w:val="%8."/>
      <w:lvlJc w:val="left"/>
      <w:pPr>
        <w:tabs>
          <w:tab w:val="num" w:pos="5820"/>
        </w:tabs>
        <w:ind w:left="5820" w:hanging="360"/>
      </w:pPr>
    </w:lvl>
    <w:lvl w:ilvl="8" w:tplc="0422001B" w:tentative="1">
      <w:start w:val="1"/>
      <w:numFmt w:val="lowerRoman"/>
      <w:lvlText w:val="%9."/>
      <w:lvlJc w:val="right"/>
      <w:pPr>
        <w:tabs>
          <w:tab w:val="num" w:pos="6540"/>
        </w:tabs>
        <w:ind w:left="6540" w:hanging="180"/>
      </w:pPr>
    </w:lvl>
  </w:abstractNum>
  <w:abstractNum w:abstractNumId="7" w15:restartNumberingAfterBreak="0">
    <w:nsid w:val="3C391067"/>
    <w:multiLevelType w:val="hybridMultilevel"/>
    <w:tmpl w:val="B4166044"/>
    <w:lvl w:ilvl="0" w:tplc="550E6002">
      <w:start w:val="1"/>
      <w:numFmt w:val="upperRoman"/>
      <w:lvlText w:val="%1."/>
      <w:lvlJc w:val="left"/>
      <w:pPr>
        <w:ind w:left="1080" w:hanging="72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3DF05F51"/>
    <w:multiLevelType w:val="hybridMultilevel"/>
    <w:tmpl w:val="3AF4289E"/>
    <w:lvl w:ilvl="0" w:tplc="90C44F58">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9" w15:restartNumberingAfterBreak="0">
    <w:nsid w:val="4608525C"/>
    <w:multiLevelType w:val="hybridMultilevel"/>
    <w:tmpl w:val="28BAC836"/>
    <w:lvl w:ilvl="0" w:tplc="A4DE8566">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0" w15:restartNumberingAfterBreak="0">
    <w:nsid w:val="508B36BD"/>
    <w:multiLevelType w:val="hybridMultilevel"/>
    <w:tmpl w:val="741CDF42"/>
    <w:lvl w:ilvl="0" w:tplc="40788C72">
      <w:start w:val="1"/>
      <w:numFmt w:val="decimal"/>
      <w:lvlText w:val="%1)"/>
      <w:lvlJc w:val="left"/>
      <w:pPr>
        <w:tabs>
          <w:tab w:val="num" w:pos="1137"/>
        </w:tabs>
        <w:ind w:left="1137" w:hanging="360"/>
      </w:pPr>
      <w:rPr>
        <w:rFonts w:hint="default"/>
      </w:rPr>
    </w:lvl>
    <w:lvl w:ilvl="1" w:tplc="04190019" w:tentative="1">
      <w:start w:val="1"/>
      <w:numFmt w:val="lowerLetter"/>
      <w:lvlText w:val="%2."/>
      <w:lvlJc w:val="left"/>
      <w:pPr>
        <w:tabs>
          <w:tab w:val="num" w:pos="1857"/>
        </w:tabs>
        <w:ind w:left="1857" w:hanging="360"/>
      </w:pPr>
    </w:lvl>
    <w:lvl w:ilvl="2" w:tplc="0419001B" w:tentative="1">
      <w:start w:val="1"/>
      <w:numFmt w:val="lowerRoman"/>
      <w:lvlText w:val="%3."/>
      <w:lvlJc w:val="right"/>
      <w:pPr>
        <w:tabs>
          <w:tab w:val="num" w:pos="2577"/>
        </w:tabs>
        <w:ind w:left="2577" w:hanging="180"/>
      </w:pPr>
    </w:lvl>
    <w:lvl w:ilvl="3" w:tplc="0419000F" w:tentative="1">
      <w:start w:val="1"/>
      <w:numFmt w:val="decimal"/>
      <w:lvlText w:val="%4."/>
      <w:lvlJc w:val="left"/>
      <w:pPr>
        <w:tabs>
          <w:tab w:val="num" w:pos="3297"/>
        </w:tabs>
        <w:ind w:left="3297" w:hanging="360"/>
      </w:pPr>
    </w:lvl>
    <w:lvl w:ilvl="4" w:tplc="04190019" w:tentative="1">
      <w:start w:val="1"/>
      <w:numFmt w:val="lowerLetter"/>
      <w:lvlText w:val="%5."/>
      <w:lvlJc w:val="left"/>
      <w:pPr>
        <w:tabs>
          <w:tab w:val="num" w:pos="4017"/>
        </w:tabs>
        <w:ind w:left="4017" w:hanging="360"/>
      </w:pPr>
    </w:lvl>
    <w:lvl w:ilvl="5" w:tplc="0419001B" w:tentative="1">
      <w:start w:val="1"/>
      <w:numFmt w:val="lowerRoman"/>
      <w:lvlText w:val="%6."/>
      <w:lvlJc w:val="right"/>
      <w:pPr>
        <w:tabs>
          <w:tab w:val="num" w:pos="4737"/>
        </w:tabs>
        <w:ind w:left="4737" w:hanging="180"/>
      </w:pPr>
    </w:lvl>
    <w:lvl w:ilvl="6" w:tplc="0419000F" w:tentative="1">
      <w:start w:val="1"/>
      <w:numFmt w:val="decimal"/>
      <w:lvlText w:val="%7."/>
      <w:lvlJc w:val="left"/>
      <w:pPr>
        <w:tabs>
          <w:tab w:val="num" w:pos="5457"/>
        </w:tabs>
        <w:ind w:left="5457" w:hanging="360"/>
      </w:pPr>
    </w:lvl>
    <w:lvl w:ilvl="7" w:tplc="04190019" w:tentative="1">
      <w:start w:val="1"/>
      <w:numFmt w:val="lowerLetter"/>
      <w:lvlText w:val="%8."/>
      <w:lvlJc w:val="left"/>
      <w:pPr>
        <w:tabs>
          <w:tab w:val="num" w:pos="6177"/>
        </w:tabs>
        <w:ind w:left="6177" w:hanging="360"/>
      </w:pPr>
    </w:lvl>
    <w:lvl w:ilvl="8" w:tplc="0419001B" w:tentative="1">
      <w:start w:val="1"/>
      <w:numFmt w:val="lowerRoman"/>
      <w:lvlText w:val="%9."/>
      <w:lvlJc w:val="right"/>
      <w:pPr>
        <w:tabs>
          <w:tab w:val="num" w:pos="6897"/>
        </w:tabs>
        <w:ind w:left="6897" w:hanging="180"/>
      </w:pPr>
    </w:lvl>
  </w:abstractNum>
  <w:abstractNum w:abstractNumId="11" w15:restartNumberingAfterBreak="0">
    <w:nsid w:val="6AC42B05"/>
    <w:multiLevelType w:val="hybridMultilevel"/>
    <w:tmpl w:val="3D44D82E"/>
    <w:lvl w:ilvl="0" w:tplc="DE46AF80">
      <w:start w:val="1"/>
      <w:numFmt w:val="decimal"/>
      <w:lvlText w:val="%1."/>
      <w:lvlJc w:val="left"/>
      <w:pPr>
        <w:tabs>
          <w:tab w:val="num" w:pos="927"/>
        </w:tabs>
        <w:ind w:left="927" w:hanging="360"/>
      </w:pPr>
      <w:rPr>
        <w:rFonts w:eastAsia="Verdana"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15:restartNumberingAfterBreak="0">
    <w:nsid w:val="76EA31F2"/>
    <w:multiLevelType w:val="hybridMultilevel"/>
    <w:tmpl w:val="C468493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15:restartNumberingAfterBreak="0">
    <w:nsid w:val="794E0657"/>
    <w:multiLevelType w:val="hybridMultilevel"/>
    <w:tmpl w:val="E17AB8E4"/>
    <w:lvl w:ilvl="0" w:tplc="AD72598C">
      <w:start w:val="1"/>
      <w:numFmt w:val="bullet"/>
      <w:lvlText w:val=""/>
      <w:lvlJc w:val="left"/>
      <w:pPr>
        <w:tabs>
          <w:tab w:val="num" w:pos="2574"/>
        </w:tabs>
        <w:ind w:left="2574"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num w:numId="1">
    <w:abstractNumId w:val="4"/>
  </w:num>
  <w:num w:numId="2">
    <w:abstractNumId w:val="13"/>
  </w:num>
  <w:num w:numId="3">
    <w:abstractNumId w:val="11"/>
  </w:num>
  <w:num w:numId="4">
    <w:abstractNumId w:val="0"/>
  </w:num>
  <w:num w:numId="5">
    <w:abstractNumId w:val="5"/>
  </w:num>
  <w:num w:numId="6">
    <w:abstractNumId w:val="1"/>
  </w:num>
  <w:num w:numId="7">
    <w:abstractNumId w:val="3"/>
  </w:num>
  <w:num w:numId="8">
    <w:abstractNumId w:val="9"/>
  </w:num>
  <w:num w:numId="9">
    <w:abstractNumId w:val="10"/>
  </w:num>
  <w:num w:numId="10">
    <w:abstractNumId w:val="8"/>
  </w:num>
  <w:num w:numId="11">
    <w:abstractNumId w:val="2"/>
  </w:num>
  <w:num w:numId="12">
    <w:abstractNumId w:val="7"/>
  </w:num>
  <w:num w:numId="13">
    <w:abstractNumId w:val="1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0CA"/>
    <w:rsid w:val="00003A18"/>
    <w:rsid w:val="00006457"/>
    <w:rsid w:val="00032268"/>
    <w:rsid w:val="000361FD"/>
    <w:rsid w:val="0005215F"/>
    <w:rsid w:val="000656EE"/>
    <w:rsid w:val="00077FEF"/>
    <w:rsid w:val="00082DC9"/>
    <w:rsid w:val="00085834"/>
    <w:rsid w:val="00085CC7"/>
    <w:rsid w:val="00090569"/>
    <w:rsid w:val="000A57C7"/>
    <w:rsid w:val="000D1457"/>
    <w:rsid w:val="000F053D"/>
    <w:rsid w:val="00132D92"/>
    <w:rsid w:val="0015080A"/>
    <w:rsid w:val="00177817"/>
    <w:rsid w:val="001820C9"/>
    <w:rsid w:val="00183008"/>
    <w:rsid w:val="001937C4"/>
    <w:rsid w:val="001A20B0"/>
    <w:rsid w:val="001C38AA"/>
    <w:rsid w:val="001C460B"/>
    <w:rsid w:val="001C5F75"/>
    <w:rsid w:val="001C76B3"/>
    <w:rsid w:val="001D06C4"/>
    <w:rsid w:val="001E497F"/>
    <w:rsid w:val="001F0AB4"/>
    <w:rsid w:val="00205E9E"/>
    <w:rsid w:val="0023272B"/>
    <w:rsid w:val="00241E3A"/>
    <w:rsid w:val="00243A0B"/>
    <w:rsid w:val="00252650"/>
    <w:rsid w:val="00253BBD"/>
    <w:rsid w:val="002544FF"/>
    <w:rsid w:val="00271C9C"/>
    <w:rsid w:val="002B40CA"/>
    <w:rsid w:val="002C0F3A"/>
    <w:rsid w:val="002E5126"/>
    <w:rsid w:val="00303305"/>
    <w:rsid w:val="003072AC"/>
    <w:rsid w:val="003170B7"/>
    <w:rsid w:val="003446B3"/>
    <w:rsid w:val="003516D1"/>
    <w:rsid w:val="00353077"/>
    <w:rsid w:val="00355288"/>
    <w:rsid w:val="00370394"/>
    <w:rsid w:val="003709F9"/>
    <w:rsid w:val="003746F8"/>
    <w:rsid w:val="00377264"/>
    <w:rsid w:val="003832EA"/>
    <w:rsid w:val="00387F68"/>
    <w:rsid w:val="00392FE5"/>
    <w:rsid w:val="003A0304"/>
    <w:rsid w:val="003A3024"/>
    <w:rsid w:val="003C722E"/>
    <w:rsid w:val="003D6D39"/>
    <w:rsid w:val="003E0D07"/>
    <w:rsid w:val="003E6A85"/>
    <w:rsid w:val="003F38FA"/>
    <w:rsid w:val="00410174"/>
    <w:rsid w:val="00434015"/>
    <w:rsid w:val="004423D2"/>
    <w:rsid w:val="00460C5A"/>
    <w:rsid w:val="00466770"/>
    <w:rsid w:val="004700A4"/>
    <w:rsid w:val="0047093B"/>
    <w:rsid w:val="004870EF"/>
    <w:rsid w:val="0049551F"/>
    <w:rsid w:val="004A64A3"/>
    <w:rsid w:val="004B67C8"/>
    <w:rsid w:val="004C0AF0"/>
    <w:rsid w:val="004D5E55"/>
    <w:rsid w:val="004E034C"/>
    <w:rsid w:val="005008E7"/>
    <w:rsid w:val="005129B7"/>
    <w:rsid w:val="00515F21"/>
    <w:rsid w:val="00547B92"/>
    <w:rsid w:val="00554612"/>
    <w:rsid w:val="00555A08"/>
    <w:rsid w:val="005719C4"/>
    <w:rsid w:val="00577814"/>
    <w:rsid w:val="005946E4"/>
    <w:rsid w:val="00597F3B"/>
    <w:rsid w:val="005B2A14"/>
    <w:rsid w:val="005C5044"/>
    <w:rsid w:val="005C7615"/>
    <w:rsid w:val="005D02FD"/>
    <w:rsid w:val="005D27F3"/>
    <w:rsid w:val="005D54FA"/>
    <w:rsid w:val="005D5A29"/>
    <w:rsid w:val="005D6B4D"/>
    <w:rsid w:val="005E79E2"/>
    <w:rsid w:val="005E7F9E"/>
    <w:rsid w:val="006445CD"/>
    <w:rsid w:val="00657AA0"/>
    <w:rsid w:val="00677A42"/>
    <w:rsid w:val="00690DD4"/>
    <w:rsid w:val="006915E3"/>
    <w:rsid w:val="00696FE8"/>
    <w:rsid w:val="00697F2B"/>
    <w:rsid w:val="006A357F"/>
    <w:rsid w:val="006C5E26"/>
    <w:rsid w:val="006C6A30"/>
    <w:rsid w:val="006D4ADE"/>
    <w:rsid w:val="006F255F"/>
    <w:rsid w:val="00700EC2"/>
    <w:rsid w:val="00737205"/>
    <w:rsid w:val="0074022B"/>
    <w:rsid w:val="00775D71"/>
    <w:rsid w:val="00785B4C"/>
    <w:rsid w:val="00790E49"/>
    <w:rsid w:val="007A7217"/>
    <w:rsid w:val="007C2ACB"/>
    <w:rsid w:val="007C6EFF"/>
    <w:rsid w:val="007D64C3"/>
    <w:rsid w:val="007E71F9"/>
    <w:rsid w:val="007F5FEE"/>
    <w:rsid w:val="00811B79"/>
    <w:rsid w:val="008251AB"/>
    <w:rsid w:val="008416AB"/>
    <w:rsid w:val="00843E43"/>
    <w:rsid w:val="00852D35"/>
    <w:rsid w:val="00867EAE"/>
    <w:rsid w:val="00874EFF"/>
    <w:rsid w:val="0089117A"/>
    <w:rsid w:val="00897D67"/>
    <w:rsid w:val="008A07A9"/>
    <w:rsid w:val="008C689E"/>
    <w:rsid w:val="008C744F"/>
    <w:rsid w:val="008E27FC"/>
    <w:rsid w:val="008E77F6"/>
    <w:rsid w:val="008F20E6"/>
    <w:rsid w:val="00904985"/>
    <w:rsid w:val="0091133B"/>
    <w:rsid w:val="009153B9"/>
    <w:rsid w:val="00917BF2"/>
    <w:rsid w:val="00922E41"/>
    <w:rsid w:val="00942A2B"/>
    <w:rsid w:val="00956ECB"/>
    <w:rsid w:val="00990663"/>
    <w:rsid w:val="009C7591"/>
    <w:rsid w:val="009D6F77"/>
    <w:rsid w:val="00A00B6B"/>
    <w:rsid w:val="00A012BA"/>
    <w:rsid w:val="00A018AC"/>
    <w:rsid w:val="00A079CF"/>
    <w:rsid w:val="00A153C6"/>
    <w:rsid w:val="00A244C5"/>
    <w:rsid w:val="00A339EA"/>
    <w:rsid w:val="00A42910"/>
    <w:rsid w:val="00A52850"/>
    <w:rsid w:val="00A7722C"/>
    <w:rsid w:val="00A923E7"/>
    <w:rsid w:val="00AA7A11"/>
    <w:rsid w:val="00AC46C0"/>
    <w:rsid w:val="00AD0EC9"/>
    <w:rsid w:val="00AE50A6"/>
    <w:rsid w:val="00B04479"/>
    <w:rsid w:val="00B1758D"/>
    <w:rsid w:val="00B2230F"/>
    <w:rsid w:val="00B3160D"/>
    <w:rsid w:val="00B43109"/>
    <w:rsid w:val="00B62053"/>
    <w:rsid w:val="00B636E4"/>
    <w:rsid w:val="00B90CC1"/>
    <w:rsid w:val="00B913A8"/>
    <w:rsid w:val="00BA04BB"/>
    <w:rsid w:val="00BA36AF"/>
    <w:rsid w:val="00BB5B1A"/>
    <w:rsid w:val="00BC6E65"/>
    <w:rsid w:val="00BC766D"/>
    <w:rsid w:val="00BD1EC9"/>
    <w:rsid w:val="00BD55FC"/>
    <w:rsid w:val="00C0390D"/>
    <w:rsid w:val="00C06628"/>
    <w:rsid w:val="00C1172D"/>
    <w:rsid w:val="00C15783"/>
    <w:rsid w:val="00C15802"/>
    <w:rsid w:val="00C3129A"/>
    <w:rsid w:val="00C46790"/>
    <w:rsid w:val="00C65FB3"/>
    <w:rsid w:val="00C91A9C"/>
    <w:rsid w:val="00CA2006"/>
    <w:rsid w:val="00CC5644"/>
    <w:rsid w:val="00CC76B7"/>
    <w:rsid w:val="00CC7974"/>
    <w:rsid w:val="00CE2EE8"/>
    <w:rsid w:val="00CF3DAE"/>
    <w:rsid w:val="00D070DF"/>
    <w:rsid w:val="00D21EE8"/>
    <w:rsid w:val="00D22C45"/>
    <w:rsid w:val="00D23069"/>
    <w:rsid w:val="00D2697C"/>
    <w:rsid w:val="00D2730B"/>
    <w:rsid w:val="00D408D7"/>
    <w:rsid w:val="00D41542"/>
    <w:rsid w:val="00D417C0"/>
    <w:rsid w:val="00D45DF2"/>
    <w:rsid w:val="00D55E93"/>
    <w:rsid w:val="00D67560"/>
    <w:rsid w:val="00D71CCC"/>
    <w:rsid w:val="00D74052"/>
    <w:rsid w:val="00D9519C"/>
    <w:rsid w:val="00DA7AAA"/>
    <w:rsid w:val="00DC0265"/>
    <w:rsid w:val="00DC37AE"/>
    <w:rsid w:val="00DD300D"/>
    <w:rsid w:val="00DF788F"/>
    <w:rsid w:val="00E00CDA"/>
    <w:rsid w:val="00E178BA"/>
    <w:rsid w:val="00E24277"/>
    <w:rsid w:val="00E27C3D"/>
    <w:rsid w:val="00E31348"/>
    <w:rsid w:val="00E35390"/>
    <w:rsid w:val="00E54C06"/>
    <w:rsid w:val="00E65131"/>
    <w:rsid w:val="00E90990"/>
    <w:rsid w:val="00E97FDB"/>
    <w:rsid w:val="00EB2DA2"/>
    <w:rsid w:val="00EC7DDE"/>
    <w:rsid w:val="00ED05E2"/>
    <w:rsid w:val="00ED314F"/>
    <w:rsid w:val="00EE2B5C"/>
    <w:rsid w:val="00F053FA"/>
    <w:rsid w:val="00F0717E"/>
    <w:rsid w:val="00F143A2"/>
    <w:rsid w:val="00F64AB0"/>
    <w:rsid w:val="00F66E65"/>
    <w:rsid w:val="00F72F27"/>
    <w:rsid w:val="00F82333"/>
    <w:rsid w:val="00F83011"/>
    <w:rsid w:val="00FB57A7"/>
    <w:rsid w:val="00FE275B"/>
    <w:rsid w:val="00FE3BD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A0AE197-74BB-4BDB-8042-2E54B6E36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40CA"/>
    <w:rPr>
      <w:sz w:val="28"/>
      <w:szCs w:val="28"/>
      <w:lang w:eastAsia="ru-RU"/>
    </w:rPr>
  </w:style>
  <w:style w:type="paragraph" w:styleId="1">
    <w:name w:val="heading 1"/>
    <w:basedOn w:val="a"/>
    <w:next w:val="a"/>
    <w:link w:val="10"/>
    <w:uiPriority w:val="9"/>
    <w:qFormat/>
    <w:rsid w:val="002E5126"/>
    <w:pPr>
      <w:keepNext/>
      <w:spacing w:before="240" w:after="60"/>
      <w:outlineLvl w:val="0"/>
    </w:pPr>
    <w:rPr>
      <w:rFonts w:ascii="Calibri Light" w:hAnsi="Calibri Light"/>
      <w:b/>
      <w:bCs/>
      <w:kern w:val="32"/>
      <w:sz w:val="32"/>
      <w:szCs w:val="32"/>
    </w:rPr>
  </w:style>
  <w:style w:type="paragraph" w:styleId="3">
    <w:name w:val="heading 3"/>
    <w:basedOn w:val="a"/>
    <w:qFormat/>
    <w:rsid w:val="003E0D07"/>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2B40CA"/>
    <w:pPr>
      <w:tabs>
        <w:tab w:val="center" w:pos="4819"/>
        <w:tab w:val="right" w:pos="9639"/>
      </w:tabs>
    </w:pPr>
  </w:style>
  <w:style w:type="character" w:styleId="a4">
    <w:name w:val="page number"/>
    <w:basedOn w:val="a0"/>
    <w:rsid w:val="002B40CA"/>
  </w:style>
  <w:style w:type="paragraph" w:styleId="a5">
    <w:name w:val="footnote text"/>
    <w:basedOn w:val="a"/>
    <w:semiHidden/>
    <w:rsid w:val="002B40CA"/>
    <w:rPr>
      <w:sz w:val="20"/>
      <w:szCs w:val="20"/>
    </w:rPr>
  </w:style>
  <w:style w:type="character" w:styleId="a6">
    <w:name w:val="footnote reference"/>
    <w:semiHidden/>
    <w:rsid w:val="002B40CA"/>
    <w:rPr>
      <w:vertAlign w:val="superscript"/>
    </w:rPr>
  </w:style>
  <w:style w:type="paragraph" w:styleId="HTML">
    <w:name w:val="HTML Preformatted"/>
    <w:basedOn w:val="a"/>
    <w:rsid w:val="00CF3D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paragraph" w:styleId="a7">
    <w:name w:val="Normal (Web)"/>
    <w:basedOn w:val="a"/>
    <w:uiPriority w:val="99"/>
    <w:rsid w:val="00E65131"/>
    <w:pPr>
      <w:spacing w:before="100" w:beforeAutospacing="1" w:after="100" w:afterAutospacing="1"/>
    </w:pPr>
    <w:rPr>
      <w:sz w:val="24"/>
      <w:szCs w:val="24"/>
      <w:lang w:val="ru-RU"/>
    </w:rPr>
  </w:style>
  <w:style w:type="character" w:customStyle="1" w:styleId="st">
    <w:name w:val="st"/>
    <w:basedOn w:val="a0"/>
    <w:rsid w:val="00D41542"/>
  </w:style>
  <w:style w:type="character" w:styleId="a8">
    <w:name w:val="Emphasis"/>
    <w:qFormat/>
    <w:rsid w:val="00D41542"/>
    <w:rPr>
      <w:i/>
      <w:iCs/>
    </w:rPr>
  </w:style>
  <w:style w:type="paragraph" w:customStyle="1" w:styleId="a9">
    <w:name w:val="Стиль"/>
    <w:basedOn w:val="a"/>
    <w:rsid w:val="00E90990"/>
    <w:rPr>
      <w:rFonts w:ascii="Verdana" w:hAnsi="Verdana" w:cs="Verdana"/>
      <w:sz w:val="20"/>
      <w:szCs w:val="20"/>
      <w:lang w:val="en-US" w:eastAsia="en-US"/>
    </w:rPr>
  </w:style>
  <w:style w:type="paragraph" w:customStyle="1" w:styleId="aa">
    <w:name w:val="Базовый"/>
    <w:rsid w:val="008C689E"/>
    <w:pPr>
      <w:autoSpaceDE w:val="0"/>
      <w:autoSpaceDN w:val="0"/>
      <w:adjustRightInd w:val="0"/>
    </w:pPr>
    <w:rPr>
      <w:rFonts w:eastAsia="MS Mincho"/>
      <w:lang w:eastAsia="zh-CN"/>
    </w:rPr>
  </w:style>
  <w:style w:type="character" w:customStyle="1" w:styleId="apple-converted-space">
    <w:name w:val="apple-converted-space"/>
    <w:basedOn w:val="a0"/>
    <w:rsid w:val="00A00B6B"/>
  </w:style>
  <w:style w:type="paragraph" w:customStyle="1" w:styleId="11">
    <w:name w:val="Абзац списку1"/>
    <w:basedOn w:val="a"/>
    <w:rsid w:val="00A00B6B"/>
    <w:pPr>
      <w:suppressAutoHyphens/>
      <w:spacing w:after="200" w:line="276" w:lineRule="auto"/>
      <w:ind w:left="720"/>
    </w:pPr>
    <w:rPr>
      <w:rFonts w:ascii="Calibri" w:eastAsia="Calibri" w:hAnsi="Calibri" w:cs="Calibri"/>
      <w:sz w:val="22"/>
      <w:szCs w:val="22"/>
      <w:lang w:val="ru-RU" w:eastAsia="ar-SA"/>
    </w:rPr>
  </w:style>
  <w:style w:type="character" w:customStyle="1" w:styleId="WW8Num2z2">
    <w:name w:val="WW8Num2z2"/>
    <w:rsid w:val="00A00B6B"/>
    <w:rPr>
      <w:rFonts w:ascii="Wingdings" w:hAnsi="Wingdings" w:cs="Wingdings" w:hint="default"/>
    </w:rPr>
  </w:style>
  <w:style w:type="paragraph" w:customStyle="1" w:styleId="ab">
    <w:name w:val="Нормальний текст"/>
    <w:basedOn w:val="a"/>
    <w:rsid w:val="00C65FB3"/>
    <w:pPr>
      <w:spacing w:before="120"/>
      <w:ind w:firstLine="567"/>
      <w:jc w:val="both"/>
    </w:pPr>
    <w:rPr>
      <w:rFonts w:ascii="Antiqua" w:hAnsi="Antiqua"/>
      <w:sz w:val="26"/>
      <w:szCs w:val="20"/>
    </w:rPr>
  </w:style>
  <w:style w:type="paragraph" w:styleId="ac">
    <w:name w:val="Balloon Text"/>
    <w:basedOn w:val="a"/>
    <w:semiHidden/>
    <w:rsid w:val="008A07A9"/>
    <w:rPr>
      <w:rFonts w:ascii="Tahoma" w:hAnsi="Tahoma" w:cs="Tahoma"/>
      <w:sz w:val="16"/>
      <w:szCs w:val="16"/>
    </w:rPr>
  </w:style>
  <w:style w:type="character" w:customStyle="1" w:styleId="10">
    <w:name w:val="Заголовок 1 Знак"/>
    <w:link w:val="1"/>
    <w:uiPriority w:val="9"/>
    <w:rsid w:val="002E5126"/>
    <w:rPr>
      <w:rFonts w:ascii="Calibri Light" w:eastAsia="Times New Roman" w:hAnsi="Calibri Light" w:cs="Times New Roman"/>
      <w:b/>
      <w:bCs/>
      <w:kern w:val="32"/>
      <w:sz w:val="32"/>
      <w:szCs w:val="32"/>
      <w:lang w:eastAsia="ru-RU"/>
    </w:rPr>
  </w:style>
  <w:style w:type="numbering" w:customStyle="1" w:styleId="12">
    <w:name w:val="Немає списку1"/>
    <w:next w:val="a2"/>
    <w:uiPriority w:val="99"/>
    <w:semiHidden/>
    <w:unhideWhenUsed/>
    <w:rsid w:val="002E5126"/>
  </w:style>
  <w:style w:type="paragraph" w:customStyle="1" w:styleId="msonormal0">
    <w:name w:val="msonormal"/>
    <w:basedOn w:val="a"/>
    <w:rsid w:val="002E5126"/>
    <w:pPr>
      <w:spacing w:before="100" w:beforeAutospacing="1" w:after="100" w:afterAutospacing="1"/>
    </w:pPr>
    <w:rPr>
      <w:sz w:val="24"/>
      <w:szCs w:val="24"/>
      <w:lang w:eastAsia="uk-UA"/>
    </w:rPr>
  </w:style>
  <w:style w:type="paragraph" w:customStyle="1" w:styleId="zglfull">
    <w:name w:val="zglfull"/>
    <w:basedOn w:val="a"/>
    <w:rsid w:val="002E5126"/>
    <w:pPr>
      <w:spacing w:before="100" w:beforeAutospacing="1" w:after="100" w:afterAutospacing="1"/>
    </w:pPr>
    <w:rPr>
      <w:sz w:val="24"/>
      <w:szCs w:val="24"/>
      <w:lang w:eastAsia="uk-UA"/>
    </w:rPr>
  </w:style>
  <w:style w:type="paragraph" w:customStyle="1" w:styleId="rvps7">
    <w:name w:val="rvps7"/>
    <w:basedOn w:val="a"/>
    <w:rsid w:val="00DA7AAA"/>
    <w:pPr>
      <w:spacing w:before="100" w:beforeAutospacing="1" w:after="100" w:afterAutospacing="1"/>
    </w:pPr>
    <w:rPr>
      <w:sz w:val="24"/>
      <w:szCs w:val="24"/>
      <w:lang w:eastAsia="uk-UA"/>
    </w:rPr>
  </w:style>
  <w:style w:type="character" w:customStyle="1" w:styleId="rvts15">
    <w:name w:val="rvts15"/>
    <w:rsid w:val="00DA7AAA"/>
  </w:style>
  <w:style w:type="character" w:customStyle="1" w:styleId="rvts9">
    <w:name w:val="rvts9"/>
    <w:rsid w:val="00DA7AAA"/>
  </w:style>
  <w:style w:type="paragraph" w:customStyle="1" w:styleId="rvps2">
    <w:name w:val="rvps2"/>
    <w:basedOn w:val="a"/>
    <w:qFormat/>
    <w:rsid w:val="00DA7AAA"/>
    <w:pPr>
      <w:spacing w:before="100" w:beforeAutospacing="1" w:after="100" w:afterAutospacing="1"/>
    </w:pPr>
    <w:rPr>
      <w:sz w:val="24"/>
      <w:szCs w:val="24"/>
      <w:lang w:eastAsia="uk-UA"/>
    </w:rPr>
  </w:style>
  <w:style w:type="character" w:styleId="ad">
    <w:name w:val="Hyperlink"/>
    <w:uiPriority w:val="99"/>
    <w:unhideWhenUsed/>
    <w:rsid w:val="00DA7AAA"/>
    <w:rPr>
      <w:color w:val="0000FF"/>
      <w:u w:val="single"/>
    </w:rPr>
  </w:style>
  <w:style w:type="character" w:customStyle="1" w:styleId="rvts37">
    <w:name w:val="rvts37"/>
    <w:rsid w:val="00DA7AAA"/>
  </w:style>
  <w:style w:type="paragraph" w:customStyle="1" w:styleId="rvps14">
    <w:name w:val="rvps14"/>
    <w:basedOn w:val="a"/>
    <w:rsid w:val="00DA7AAA"/>
    <w:pPr>
      <w:spacing w:before="100" w:beforeAutospacing="1" w:after="100" w:afterAutospacing="1"/>
    </w:pPr>
    <w:rPr>
      <w:sz w:val="24"/>
      <w:szCs w:val="24"/>
      <w:lang w:eastAsia="uk-UA"/>
    </w:rPr>
  </w:style>
  <w:style w:type="character" w:customStyle="1" w:styleId="rvts82">
    <w:name w:val="rvts82"/>
    <w:rsid w:val="00DA7AAA"/>
  </w:style>
  <w:style w:type="paragraph" w:styleId="ae">
    <w:name w:val="Body Text"/>
    <w:basedOn w:val="a"/>
    <w:link w:val="af"/>
    <w:rsid w:val="00F143A2"/>
    <w:rPr>
      <w:b/>
      <w:bCs/>
      <w:sz w:val="19"/>
      <w:szCs w:val="19"/>
    </w:rPr>
  </w:style>
  <w:style w:type="character" w:customStyle="1" w:styleId="af">
    <w:name w:val="Основний текст Знак"/>
    <w:basedOn w:val="a0"/>
    <w:link w:val="ae"/>
    <w:rsid w:val="00F143A2"/>
    <w:rPr>
      <w:b/>
      <w:bCs/>
      <w:sz w:val="19"/>
      <w:szCs w:val="19"/>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270283">
      <w:bodyDiv w:val="1"/>
      <w:marLeft w:val="0"/>
      <w:marRight w:val="0"/>
      <w:marTop w:val="0"/>
      <w:marBottom w:val="0"/>
      <w:divBdr>
        <w:top w:val="none" w:sz="0" w:space="0" w:color="auto"/>
        <w:left w:val="none" w:sz="0" w:space="0" w:color="auto"/>
        <w:bottom w:val="none" w:sz="0" w:space="0" w:color="auto"/>
        <w:right w:val="none" w:sz="0" w:space="0" w:color="auto"/>
      </w:divBdr>
    </w:div>
    <w:div w:id="298650198">
      <w:bodyDiv w:val="1"/>
      <w:marLeft w:val="0"/>
      <w:marRight w:val="0"/>
      <w:marTop w:val="0"/>
      <w:marBottom w:val="0"/>
      <w:divBdr>
        <w:top w:val="none" w:sz="0" w:space="0" w:color="auto"/>
        <w:left w:val="none" w:sz="0" w:space="0" w:color="auto"/>
        <w:bottom w:val="none" w:sz="0" w:space="0" w:color="auto"/>
        <w:right w:val="none" w:sz="0" w:space="0" w:color="auto"/>
      </w:divBdr>
    </w:div>
    <w:div w:id="315573382">
      <w:bodyDiv w:val="1"/>
      <w:marLeft w:val="0"/>
      <w:marRight w:val="0"/>
      <w:marTop w:val="0"/>
      <w:marBottom w:val="0"/>
      <w:divBdr>
        <w:top w:val="none" w:sz="0" w:space="0" w:color="auto"/>
        <w:left w:val="none" w:sz="0" w:space="0" w:color="auto"/>
        <w:bottom w:val="none" w:sz="0" w:space="0" w:color="auto"/>
        <w:right w:val="none" w:sz="0" w:space="0" w:color="auto"/>
      </w:divBdr>
    </w:div>
    <w:div w:id="321546281">
      <w:bodyDiv w:val="1"/>
      <w:marLeft w:val="0"/>
      <w:marRight w:val="0"/>
      <w:marTop w:val="0"/>
      <w:marBottom w:val="0"/>
      <w:divBdr>
        <w:top w:val="none" w:sz="0" w:space="0" w:color="auto"/>
        <w:left w:val="none" w:sz="0" w:space="0" w:color="auto"/>
        <w:bottom w:val="none" w:sz="0" w:space="0" w:color="auto"/>
        <w:right w:val="none" w:sz="0" w:space="0" w:color="auto"/>
      </w:divBdr>
    </w:div>
    <w:div w:id="451705423">
      <w:bodyDiv w:val="1"/>
      <w:marLeft w:val="0"/>
      <w:marRight w:val="0"/>
      <w:marTop w:val="0"/>
      <w:marBottom w:val="0"/>
      <w:divBdr>
        <w:top w:val="none" w:sz="0" w:space="0" w:color="auto"/>
        <w:left w:val="none" w:sz="0" w:space="0" w:color="auto"/>
        <w:bottom w:val="none" w:sz="0" w:space="0" w:color="auto"/>
        <w:right w:val="none" w:sz="0" w:space="0" w:color="auto"/>
      </w:divBdr>
    </w:div>
    <w:div w:id="453643056">
      <w:bodyDiv w:val="1"/>
      <w:marLeft w:val="0"/>
      <w:marRight w:val="0"/>
      <w:marTop w:val="0"/>
      <w:marBottom w:val="0"/>
      <w:divBdr>
        <w:top w:val="none" w:sz="0" w:space="0" w:color="auto"/>
        <w:left w:val="none" w:sz="0" w:space="0" w:color="auto"/>
        <w:bottom w:val="none" w:sz="0" w:space="0" w:color="auto"/>
        <w:right w:val="none" w:sz="0" w:space="0" w:color="auto"/>
      </w:divBdr>
    </w:div>
    <w:div w:id="479733184">
      <w:bodyDiv w:val="1"/>
      <w:marLeft w:val="0"/>
      <w:marRight w:val="0"/>
      <w:marTop w:val="0"/>
      <w:marBottom w:val="0"/>
      <w:divBdr>
        <w:top w:val="none" w:sz="0" w:space="0" w:color="auto"/>
        <w:left w:val="none" w:sz="0" w:space="0" w:color="auto"/>
        <w:bottom w:val="none" w:sz="0" w:space="0" w:color="auto"/>
        <w:right w:val="none" w:sz="0" w:space="0" w:color="auto"/>
      </w:divBdr>
    </w:div>
    <w:div w:id="604265938">
      <w:bodyDiv w:val="1"/>
      <w:marLeft w:val="0"/>
      <w:marRight w:val="0"/>
      <w:marTop w:val="0"/>
      <w:marBottom w:val="0"/>
      <w:divBdr>
        <w:top w:val="none" w:sz="0" w:space="0" w:color="auto"/>
        <w:left w:val="none" w:sz="0" w:space="0" w:color="auto"/>
        <w:bottom w:val="none" w:sz="0" w:space="0" w:color="auto"/>
        <w:right w:val="none" w:sz="0" w:space="0" w:color="auto"/>
      </w:divBdr>
    </w:div>
    <w:div w:id="633218958">
      <w:bodyDiv w:val="1"/>
      <w:marLeft w:val="0"/>
      <w:marRight w:val="0"/>
      <w:marTop w:val="0"/>
      <w:marBottom w:val="0"/>
      <w:divBdr>
        <w:top w:val="none" w:sz="0" w:space="0" w:color="auto"/>
        <w:left w:val="none" w:sz="0" w:space="0" w:color="auto"/>
        <w:bottom w:val="none" w:sz="0" w:space="0" w:color="auto"/>
        <w:right w:val="none" w:sz="0" w:space="0" w:color="auto"/>
      </w:divBdr>
    </w:div>
    <w:div w:id="740832562">
      <w:bodyDiv w:val="1"/>
      <w:marLeft w:val="0"/>
      <w:marRight w:val="0"/>
      <w:marTop w:val="0"/>
      <w:marBottom w:val="0"/>
      <w:divBdr>
        <w:top w:val="none" w:sz="0" w:space="0" w:color="auto"/>
        <w:left w:val="none" w:sz="0" w:space="0" w:color="auto"/>
        <w:bottom w:val="none" w:sz="0" w:space="0" w:color="auto"/>
        <w:right w:val="none" w:sz="0" w:space="0" w:color="auto"/>
      </w:divBdr>
    </w:div>
    <w:div w:id="756445488">
      <w:bodyDiv w:val="1"/>
      <w:marLeft w:val="0"/>
      <w:marRight w:val="0"/>
      <w:marTop w:val="0"/>
      <w:marBottom w:val="0"/>
      <w:divBdr>
        <w:top w:val="none" w:sz="0" w:space="0" w:color="auto"/>
        <w:left w:val="none" w:sz="0" w:space="0" w:color="auto"/>
        <w:bottom w:val="none" w:sz="0" w:space="0" w:color="auto"/>
        <w:right w:val="none" w:sz="0" w:space="0" w:color="auto"/>
      </w:divBdr>
    </w:div>
    <w:div w:id="1248660938">
      <w:bodyDiv w:val="1"/>
      <w:marLeft w:val="0"/>
      <w:marRight w:val="0"/>
      <w:marTop w:val="0"/>
      <w:marBottom w:val="0"/>
      <w:divBdr>
        <w:top w:val="none" w:sz="0" w:space="0" w:color="auto"/>
        <w:left w:val="none" w:sz="0" w:space="0" w:color="auto"/>
        <w:bottom w:val="none" w:sz="0" w:space="0" w:color="auto"/>
        <w:right w:val="none" w:sz="0" w:space="0" w:color="auto"/>
      </w:divBdr>
    </w:div>
    <w:div w:id="1255282209">
      <w:bodyDiv w:val="1"/>
      <w:marLeft w:val="0"/>
      <w:marRight w:val="0"/>
      <w:marTop w:val="0"/>
      <w:marBottom w:val="0"/>
      <w:divBdr>
        <w:top w:val="none" w:sz="0" w:space="0" w:color="auto"/>
        <w:left w:val="none" w:sz="0" w:space="0" w:color="auto"/>
        <w:bottom w:val="none" w:sz="0" w:space="0" w:color="auto"/>
        <w:right w:val="none" w:sz="0" w:space="0" w:color="auto"/>
      </w:divBdr>
    </w:div>
    <w:div w:id="1353414289">
      <w:bodyDiv w:val="1"/>
      <w:marLeft w:val="0"/>
      <w:marRight w:val="0"/>
      <w:marTop w:val="0"/>
      <w:marBottom w:val="0"/>
      <w:divBdr>
        <w:top w:val="none" w:sz="0" w:space="0" w:color="auto"/>
        <w:left w:val="none" w:sz="0" w:space="0" w:color="auto"/>
        <w:bottom w:val="none" w:sz="0" w:space="0" w:color="auto"/>
        <w:right w:val="none" w:sz="0" w:space="0" w:color="auto"/>
      </w:divBdr>
    </w:div>
    <w:div w:id="1353800515">
      <w:bodyDiv w:val="1"/>
      <w:marLeft w:val="0"/>
      <w:marRight w:val="0"/>
      <w:marTop w:val="0"/>
      <w:marBottom w:val="0"/>
      <w:divBdr>
        <w:top w:val="none" w:sz="0" w:space="0" w:color="auto"/>
        <w:left w:val="none" w:sz="0" w:space="0" w:color="auto"/>
        <w:bottom w:val="none" w:sz="0" w:space="0" w:color="auto"/>
        <w:right w:val="none" w:sz="0" w:space="0" w:color="auto"/>
      </w:divBdr>
    </w:div>
    <w:div w:id="1432701156">
      <w:bodyDiv w:val="1"/>
      <w:marLeft w:val="0"/>
      <w:marRight w:val="0"/>
      <w:marTop w:val="0"/>
      <w:marBottom w:val="0"/>
      <w:divBdr>
        <w:top w:val="none" w:sz="0" w:space="0" w:color="auto"/>
        <w:left w:val="none" w:sz="0" w:space="0" w:color="auto"/>
        <w:bottom w:val="none" w:sz="0" w:space="0" w:color="auto"/>
        <w:right w:val="none" w:sz="0" w:space="0" w:color="auto"/>
      </w:divBdr>
    </w:div>
    <w:div w:id="1438480602">
      <w:bodyDiv w:val="1"/>
      <w:marLeft w:val="0"/>
      <w:marRight w:val="0"/>
      <w:marTop w:val="0"/>
      <w:marBottom w:val="0"/>
      <w:divBdr>
        <w:top w:val="none" w:sz="0" w:space="0" w:color="auto"/>
        <w:left w:val="none" w:sz="0" w:space="0" w:color="auto"/>
        <w:bottom w:val="none" w:sz="0" w:space="0" w:color="auto"/>
        <w:right w:val="none" w:sz="0" w:space="0" w:color="auto"/>
      </w:divBdr>
    </w:div>
    <w:div w:id="1565145789">
      <w:bodyDiv w:val="1"/>
      <w:marLeft w:val="0"/>
      <w:marRight w:val="0"/>
      <w:marTop w:val="0"/>
      <w:marBottom w:val="0"/>
      <w:divBdr>
        <w:top w:val="none" w:sz="0" w:space="0" w:color="auto"/>
        <w:left w:val="none" w:sz="0" w:space="0" w:color="auto"/>
        <w:bottom w:val="none" w:sz="0" w:space="0" w:color="auto"/>
        <w:right w:val="none" w:sz="0" w:space="0" w:color="auto"/>
      </w:divBdr>
    </w:div>
    <w:div w:id="1590651553">
      <w:bodyDiv w:val="1"/>
      <w:marLeft w:val="0"/>
      <w:marRight w:val="0"/>
      <w:marTop w:val="0"/>
      <w:marBottom w:val="0"/>
      <w:divBdr>
        <w:top w:val="none" w:sz="0" w:space="0" w:color="auto"/>
        <w:left w:val="none" w:sz="0" w:space="0" w:color="auto"/>
        <w:bottom w:val="none" w:sz="0" w:space="0" w:color="auto"/>
        <w:right w:val="none" w:sz="0" w:space="0" w:color="auto"/>
      </w:divBdr>
    </w:div>
    <w:div w:id="1716352415">
      <w:bodyDiv w:val="1"/>
      <w:marLeft w:val="0"/>
      <w:marRight w:val="0"/>
      <w:marTop w:val="0"/>
      <w:marBottom w:val="0"/>
      <w:divBdr>
        <w:top w:val="none" w:sz="0" w:space="0" w:color="auto"/>
        <w:left w:val="none" w:sz="0" w:space="0" w:color="auto"/>
        <w:bottom w:val="none" w:sz="0" w:space="0" w:color="auto"/>
        <w:right w:val="none" w:sz="0" w:space="0" w:color="auto"/>
      </w:divBdr>
    </w:div>
    <w:div w:id="1790732962">
      <w:bodyDiv w:val="1"/>
      <w:marLeft w:val="0"/>
      <w:marRight w:val="0"/>
      <w:marTop w:val="0"/>
      <w:marBottom w:val="0"/>
      <w:divBdr>
        <w:top w:val="none" w:sz="0" w:space="0" w:color="auto"/>
        <w:left w:val="none" w:sz="0" w:space="0" w:color="auto"/>
        <w:bottom w:val="none" w:sz="0" w:space="0" w:color="auto"/>
        <w:right w:val="none" w:sz="0" w:space="0" w:color="auto"/>
      </w:divBdr>
    </w:div>
    <w:div w:id="1823346303">
      <w:bodyDiv w:val="1"/>
      <w:marLeft w:val="0"/>
      <w:marRight w:val="0"/>
      <w:marTop w:val="0"/>
      <w:marBottom w:val="0"/>
      <w:divBdr>
        <w:top w:val="none" w:sz="0" w:space="0" w:color="auto"/>
        <w:left w:val="none" w:sz="0" w:space="0" w:color="auto"/>
        <w:bottom w:val="none" w:sz="0" w:space="0" w:color="auto"/>
        <w:right w:val="none" w:sz="0" w:space="0" w:color="auto"/>
      </w:divBdr>
    </w:div>
    <w:div w:id="1906716450">
      <w:bodyDiv w:val="1"/>
      <w:marLeft w:val="0"/>
      <w:marRight w:val="0"/>
      <w:marTop w:val="0"/>
      <w:marBottom w:val="0"/>
      <w:divBdr>
        <w:top w:val="none" w:sz="0" w:space="0" w:color="auto"/>
        <w:left w:val="none" w:sz="0" w:space="0" w:color="auto"/>
        <w:bottom w:val="none" w:sz="0" w:space="0" w:color="auto"/>
        <w:right w:val="none" w:sz="0" w:space="0" w:color="auto"/>
      </w:divBdr>
    </w:div>
    <w:div w:id="1973944912">
      <w:bodyDiv w:val="1"/>
      <w:marLeft w:val="0"/>
      <w:marRight w:val="0"/>
      <w:marTop w:val="0"/>
      <w:marBottom w:val="0"/>
      <w:divBdr>
        <w:top w:val="none" w:sz="0" w:space="0" w:color="auto"/>
        <w:left w:val="none" w:sz="0" w:space="0" w:color="auto"/>
        <w:bottom w:val="none" w:sz="0" w:space="0" w:color="auto"/>
        <w:right w:val="none" w:sz="0" w:space="0" w:color="auto"/>
      </w:divBdr>
    </w:div>
    <w:div w:id="2097244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6362</Words>
  <Characters>3627</Characters>
  <Application>Microsoft Office Word</Application>
  <DocSecurity>0</DocSecurity>
  <Lines>30</Lines>
  <Paragraphs>19</Paragraphs>
  <ScaleCrop>false</ScaleCrop>
  <HeadingPairs>
    <vt:vector size="2" baseType="variant">
      <vt:variant>
        <vt:lpstr>Назва</vt:lpstr>
      </vt:variant>
      <vt:variant>
        <vt:i4>1</vt:i4>
      </vt:variant>
    </vt:vector>
  </HeadingPairs>
  <TitlesOfParts>
    <vt:vector size="1" baseType="lpstr">
      <vt:lpstr>проект</vt:lpstr>
    </vt:vector>
  </TitlesOfParts>
  <Company>VR</Company>
  <LinksUpToDate>false</LinksUpToDate>
  <CharactersWithSpaces>9970</CharactersWithSpaces>
  <SharedDoc>false</SharedDoc>
  <HLinks>
    <vt:vector size="12" baseType="variant">
      <vt:variant>
        <vt:i4>917552</vt:i4>
      </vt:variant>
      <vt:variant>
        <vt:i4>3</vt:i4>
      </vt:variant>
      <vt:variant>
        <vt:i4>0</vt:i4>
      </vt:variant>
      <vt:variant>
        <vt:i4>5</vt:i4>
      </vt:variant>
      <vt:variant>
        <vt:lpwstr>https://zakon.rada.gov.ua/laws/show/995_030</vt:lpwstr>
      </vt:variant>
      <vt:variant>
        <vt:lpwstr/>
      </vt:variant>
      <vt:variant>
        <vt:i4>852020</vt:i4>
      </vt:variant>
      <vt:variant>
        <vt:i4>0</vt:i4>
      </vt:variant>
      <vt:variant>
        <vt:i4>0</vt:i4>
      </vt:variant>
      <vt:variant>
        <vt:i4>5</vt:i4>
      </vt:variant>
      <vt:variant>
        <vt:lpwstr>https://zakon.rada.gov.ua/laws/show/981_018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User_UKS</dc:creator>
  <cp:keywords/>
  <dc:description/>
  <cp:lastModifiedBy>Альона Вікторівна Найденко</cp:lastModifiedBy>
  <cp:revision>6</cp:revision>
  <cp:lastPrinted>2020-04-09T13:21:00Z</cp:lastPrinted>
  <dcterms:created xsi:type="dcterms:W3CDTF">2020-04-09T13:46:00Z</dcterms:created>
  <dcterms:modified xsi:type="dcterms:W3CDTF">2020-04-22T08:57:00Z</dcterms:modified>
</cp:coreProperties>
</file>