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854" w:rsidRPr="00E42523" w:rsidRDefault="00375854" w:rsidP="00375854">
      <w:pPr>
        <w:tabs>
          <w:tab w:val="left" w:pos="3450"/>
        </w:tabs>
        <w:jc w:val="right"/>
        <w:rPr>
          <w:rFonts w:eastAsia="Times New Roman"/>
          <w:sz w:val="27"/>
          <w:szCs w:val="27"/>
          <w:lang w:eastAsia="ru-RU"/>
        </w:rPr>
      </w:pPr>
      <w:r w:rsidRPr="00E42523">
        <w:rPr>
          <w:rFonts w:eastAsia="Times New Roman"/>
          <w:sz w:val="27"/>
          <w:szCs w:val="27"/>
          <w:lang w:eastAsia="ru-RU"/>
        </w:rPr>
        <w:t xml:space="preserve">До реєстр.№ </w:t>
      </w:r>
      <w:r>
        <w:rPr>
          <w:rFonts w:eastAsia="Times New Roman"/>
          <w:sz w:val="27"/>
          <w:szCs w:val="27"/>
          <w:lang w:eastAsia="ru-RU"/>
        </w:rPr>
        <w:t>2823</w:t>
      </w:r>
      <w:r w:rsidRPr="00E42523">
        <w:rPr>
          <w:rFonts w:eastAsia="Times New Roman"/>
          <w:sz w:val="27"/>
          <w:szCs w:val="27"/>
          <w:lang w:eastAsia="ru-RU"/>
        </w:rPr>
        <w:t xml:space="preserve"> від </w:t>
      </w:r>
      <w:r>
        <w:rPr>
          <w:rFonts w:eastAsia="Times New Roman"/>
          <w:sz w:val="27"/>
          <w:szCs w:val="27"/>
          <w:lang w:eastAsia="ru-RU"/>
        </w:rPr>
        <w:t>30</w:t>
      </w:r>
      <w:r w:rsidRPr="00E42523">
        <w:rPr>
          <w:rFonts w:eastAsia="Times New Roman"/>
          <w:sz w:val="27"/>
          <w:szCs w:val="27"/>
          <w:lang w:eastAsia="ru-RU"/>
        </w:rPr>
        <w:t>.0</w:t>
      </w:r>
      <w:r>
        <w:rPr>
          <w:rFonts w:eastAsia="Times New Roman"/>
          <w:sz w:val="27"/>
          <w:szCs w:val="27"/>
          <w:lang w:eastAsia="ru-RU"/>
        </w:rPr>
        <w:t>1</w:t>
      </w:r>
      <w:r w:rsidRPr="00E42523">
        <w:rPr>
          <w:rFonts w:eastAsia="Times New Roman"/>
          <w:sz w:val="27"/>
          <w:szCs w:val="27"/>
          <w:lang w:eastAsia="ru-RU"/>
        </w:rPr>
        <w:t>.20</w:t>
      </w:r>
      <w:r>
        <w:rPr>
          <w:rFonts w:eastAsia="Times New Roman"/>
          <w:sz w:val="27"/>
          <w:szCs w:val="27"/>
          <w:lang w:eastAsia="ru-RU"/>
        </w:rPr>
        <w:t>20</w:t>
      </w:r>
    </w:p>
    <w:p w:rsidR="00375854" w:rsidRPr="00E42523" w:rsidRDefault="00375854" w:rsidP="00375854">
      <w:pPr>
        <w:tabs>
          <w:tab w:val="left" w:pos="3450"/>
        </w:tabs>
        <w:jc w:val="center"/>
        <w:rPr>
          <w:rFonts w:eastAsia="Times New Roman"/>
          <w:b/>
          <w:sz w:val="27"/>
          <w:szCs w:val="27"/>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spacing w:val="-2"/>
          <w:sz w:val="28"/>
          <w:szCs w:val="28"/>
          <w:lang w:eastAsia="ru-RU"/>
        </w:rPr>
      </w:pPr>
    </w:p>
    <w:p w:rsidR="00375854" w:rsidRPr="00E42523" w:rsidRDefault="00375854" w:rsidP="00375854">
      <w:pPr>
        <w:ind w:firstLine="567"/>
        <w:jc w:val="right"/>
        <w:rPr>
          <w:rFonts w:eastAsia="Times New Roman"/>
          <w:b/>
          <w:spacing w:val="-2"/>
          <w:sz w:val="28"/>
          <w:szCs w:val="28"/>
          <w:lang w:eastAsia="ru-RU"/>
        </w:rPr>
      </w:pPr>
      <w:r w:rsidRPr="00E42523">
        <w:rPr>
          <w:rFonts w:eastAsia="Times New Roman"/>
          <w:b/>
          <w:spacing w:val="-2"/>
          <w:sz w:val="28"/>
          <w:szCs w:val="28"/>
          <w:lang w:eastAsia="ru-RU"/>
        </w:rPr>
        <w:t>Верховна Рада України</w:t>
      </w:r>
    </w:p>
    <w:p w:rsidR="00375854" w:rsidRDefault="00375854" w:rsidP="00375854">
      <w:pPr>
        <w:rPr>
          <w:rFonts w:eastAsia="Calibri"/>
          <w:b/>
          <w:bCs/>
          <w:color w:val="000000"/>
          <w:sz w:val="28"/>
          <w:szCs w:val="28"/>
          <w:lang w:eastAsia="en-US"/>
        </w:rPr>
      </w:pPr>
    </w:p>
    <w:p w:rsidR="00375854" w:rsidRDefault="00375854" w:rsidP="00375854">
      <w:pPr>
        <w:rPr>
          <w:rFonts w:eastAsia="Calibri"/>
          <w:b/>
          <w:bCs/>
          <w:color w:val="000000"/>
          <w:sz w:val="28"/>
          <w:szCs w:val="28"/>
          <w:lang w:eastAsia="en-US"/>
        </w:rPr>
      </w:pPr>
    </w:p>
    <w:p w:rsidR="00375854" w:rsidRDefault="00375854" w:rsidP="00375854">
      <w:pPr>
        <w:ind w:firstLine="567"/>
        <w:jc w:val="both"/>
      </w:pPr>
      <w:r>
        <w:rPr>
          <w:rFonts w:eastAsia="Times New Roman"/>
          <w:sz w:val="28"/>
          <w:szCs w:val="20"/>
          <w:lang w:eastAsia="ru-RU"/>
        </w:rPr>
        <w:t xml:space="preserve">За дорученням Голови Верховної Ради України </w:t>
      </w:r>
      <w:r>
        <w:rPr>
          <w:rFonts w:eastAsia="Times New Roman"/>
          <w:sz w:val="28"/>
          <w:szCs w:val="22"/>
          <w:lang w:eastAsia="ru-RU"/>
        </w:rPr>
        <w:t xml:space="preserve">від </w:t>
      </w:r>
      <w:r w:rsidRPr="00BF37CC">
        <w:rPr>
          <w:rFonts w:eastAsia="Times New Roman"/>
          <w:sz w:val="28"/>
          <w:szCs w:val="22"/>
          <w:lang w:eastAsia="ru-RU"/>
        </w:rPr>
        <w:t xml:space="preserve">04 </w:t>
      </w:r>
      <w:r>
        <w:rPr>
          <w:rFonts w:eastAsia="Times New Roman"/>
          <w:sz w:val="28"/>
          <w:szCs w:val="22"/>
          <w:lang w:eastAsia="ru-RU"/>
        </w:rPr>
        <w:t xml:space="preserve">лютого 2020 року </w:t>
      </w:r>
      <w:r>
        <w:rPr>
          <w:rFonts w:eastAsia="Times New Roman"/>
          <w:sz w:val="28"/>
          <w:szCs w:val="20"/>
          <w:lang w:eastAsia="ru-RU"/>
        </w:rPr>
        <w:t xml:space="preserve">Комітет з питань правової політики </w:t>
      </w:r>
      <w:r>
        <w:rPr>
          <w:rFonts w:eastAsia="Times New Roman"/>
          <w:sz w:val="28"/>
          <w:szCs w:val="22"/>
          <w:lang w:eastAsia="ru-RU"/>
        </w:rPr>
        <w:t>розглянув на своєму засіданні 06 травня 2020</w:t>
      </w:r>
      <w:r>
        <w:rPr>
          <w:rFonts w:eastAsia="Times New Roman"/>
          <w:sz w:val="28"/>
          <w:szCs w:val="22"/>
        </w:rPr>
        <w:t> року</w:t>
      </w:r>
      <w:r>
        <w:rPr>
          <w:rFonts w:eastAsia="Times New Roman"/>
          <w:sz w:val="28"/>
          <w:szCs w:val="22"/>
          <w:lang w:eastAsia="ru-RU"/>
        </w:rPr>
        <w:t xml:space="preserve"> (протокол № 26) проект Закону про внесення змін до Закону України «Про судоустрій і статус суддів» щодо відрядження суддів в порядку тимчасового переведення судді до іншого суду (реєстр. </w:t>
      </w:r>
      <w:r>
        <w:rPr>
          <w:rFonts w:eastAsia="Times New Roman"/>
          <w:sz w:val="28"/>
          <w:szCs w:val="22"/>
          <w:lang w:eastAsia="ru-RU"/>
        </w:rPr>
        <w:br/>
        <w:t xml:space="preserve">№ 2823 від 30 січня 2020 року), </w:t>
      </w:r>
      <w:r>
        <w:rPr>
          <w:rFonts w:eastAsia="Times New Roman"/>
          <w:sz w:val="28"/>
          <w:szCs w:val="22"/>
        </w:rPr>
        <w:t xml:space="preserve">поданий народним депутатом України      Бабієм Р.В., (далі – Законопроект) та встановив таке. </w:t>
      </w:r>
    </w:p>
    <w:p w:rsidR="00375854" w:rsidRDefault="00375854" w:rsidP="00375854">
      <w:pPr>
        <w:ind w:firstLine="567"/>
        <w:contextualSpacing/>
        <w:jc w:val="both"/>
        <w:rPr>
          <w:rFonts w:eastAsia="Times New Roman"/>
          <w:sz w:val="28"/>
          <w:szCs w:val="28"/>
          <w:lang w:eastAsia="ru-RU"/>
        </w:rPr>
      </w:pPr>
    </w:p>
    <w:p w:rsidR="00375854" w:rsidRDefault="00375854" w:rsidP="00375854">
      <w:pPr>
        <w:ind w:firstLine="567"/>
        <w:contextualSpacing/>
        <w:jc w:val="both"/>
      </w:pPr>
      <w:r>
        <w:rPr>
          <w:rFonts w:eastAsia="Times New Roman"/>
          <w:sz w:val="28"/>
          <w:szCs w:val="28"/>
          <w:lang w:eastAsia="ru-RU"/>
        </w:rPr>
        <w:t xml:space="preserve">Згідно з пояснювальною запискою до Законопроекту його метою є попередження можливості збільшення кадрового дефіциту суддів в окремих судах. </w:t>
      </w:r>
    </w:p>
    <w:p w:rsidR="00375854" w:rsidRDefault="00375854" w:rsidP="00375854">
      <w:pPr>
        <w:ind w:firstLine="567"/>
        <w:jc w:val="both"/>
      </w:pPr>
      <w:r>
        <w:rPr>
          <w:rFonts w:eastAsia="Times New Roman"/>
          <w:sz w:val="28"/>
          <w:szCs w:val="22"/>
          <w:lang w:eastAsia="ru-RU"/>
        </w:rPr>
        <w:t>Законопроектом передбачається доповнити частину другу статті 55 Закону України «Про судоустрій і статус суддів» положенням про те, що за зверненням голови суду, у якому суддя перебував у відрядженні, та заявою судді на продовження строку відрядження Вища рада правосуддя продовжує  строк відрядження судді, але не більше ніж на один рік. Крім того, відповідно до запропонованих змін суддя, щодо якого Вищою радою правосуддя винесено рішення щодо дострокового закінчення відрядження судді, (як і суддя, строк відрядження якого закінчився), повертається на роботу до суду, з якого був відряджений.</w:t>
      </w:r>
    </w:p>
    <w:p w:rsidR="00375854" w:rsidRDefault="00375854" w:rsidP="00375854">
      <w:pPr>
        <w:ind w:firstLine="567"/>
        <w:jc w:val="both"/>
        <w:rPr>
          <w:rFonts w:eastAsia="Times New Roman"/>
          <w:sz w:val="28"/>
          <w:szCs w:val="22"/>
        </w:rPr>
      </w:pPr>
    </w:p>
    <w:p w:rsidR="00375854" w:rsidRPr="008C7DC0" w:rsidRDefault="00375854" w:rsidP="00375854">
      <w:pPr>
        <w:ind w:firstLine="567"/>
        <w:jc w:val="both"/>
        <w:rPr>
          <w:rFonts w:eastAsia="Times New Roman"/>
          <w:sz w:val="28"/>
          <w:szCs w:val="20"/>
          <w:lang w:eastAsia="ru-RU"/>
        </w:rPr>
      </w:pPr>
      <w:r w:rsidRPr="008C7DC0">
        <w:rPr>
          <w:rFonts w:eastAsia="Times New Roman"/>
          <w:sz w:val="28"/>
          <w:szCs w:val="20"/>
          <w:lang w:eastAsia="ru-RU"/>
        </w:rPr>
        <w:t>Розглядаючи даний Законопроект, Комітет з питань правової політики та правосуддя виходить з такого.</w:t>
      </w:r>
    </w:p>
    <w:p w:rsidR="00375854" w:rsidRPr="008C7DC0" w:rsidRDefault="00375854" w:rsidP="00375854">
      <w:pPr>
        <w:ind w:firstLine="567"/>
        <w:jc w:val="both"/>
        <w:rPr>
          <w:rFonts w:eastAsia="Times New Roman"/>
          <w:sz w:val="28"/>
          <w:szCs w:val="20"/>
          <w:lang w:eastAsia="ru-RU"/>
        </w:rPr>
      </w:pPr>
      <w:r w:rsidRPr="008C7DC0">
        <w:rPr>
          <w:rFonts w:eastAsia="Times New Roman"/>
          <w:sz w:val="28"/>
          <w:szCs w:val="20"/>
          <w:lang w:eastAsia="ru-RU"/>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в Україні визнається і діє принцип верховенства права, закони та інші нормативно-правові акти приймаються на основі Конституції України і повинні відповідати їй (частини перша-друга статті 8), судоустрій, статус суддів визначаються виключно законом України (пун</w:t>
      </w:r>
      <w:r>
        <w:rPr>
          <w:rFonts w:eastAsia="Times New Roman"/>
          <w:sz w:val="28"/>
          <w:szCs w:val="20"/>
          <w:lang w:eastAsia="ru-RU"/>
        </w:rPr>
        <w:t>кт 14 частини першої статті 92)</w:t>
      </w:r>
      <w:r w:rsidRPr="008C7DC0">
        <w:rPr>
          <w:rFonts w:eastAsia="Times New Roman"/>
          <w:sz w:val="28"/>
          <w:szCs w:val="20"/>
          <w:lang w:eastAsia="ru-RU"/>
        </w:rPr>
        <w:t>.</w:t>
      </w:r>
    </w:p>
    <w:p w:rsidR="00375854" w:rsidRPr="008C7DC0" w:rsidRDefault="00375854" w:rsidP="00375854">
      <w:pPr>
        <w:ind w:firstLine="567"/>
        <w:jc w:val="both"/>
        <w:rPr>
          <w:rFonts w:eastAsia="Times New Roman"/>
          <w:sz w:val="28"/>
          <w:szCs w:val="20"/>
          <w:lang w:eastAsia="ru-RU"/>
        </w:rPr>
      </w:pPr>
      <w:r w:rsidRPr="008C7DC0">
        <w:rPr>
          <w:rFonts w:eastAsia="Times New Roman"/>
          <w:sz w:val="28"/>
          <w:szCs w:val="20"/>
          <w:lang w:eastAsia="ru-RU"/>
        </w:rPr>
        <w:lastRenderedPageBreak/>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З набуттям чинності Законом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 16 жовтня 2019 року № 193-ІХ, розпочалось формування нового складу Вищої кваліфікаційної комісії суддів України, одночасно було припинено роботу ВККС України, у зв’язку з цим виникла тимчасова неможливість цього органу виконувати функції, зокрема, і в частині внесення до Вищої ради правосуддя подання щодо відрядження судді до іншого суду того самого рівня і спеціалізації для здійснення правосуддя.</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В ситуації, яка нині склалася із кадровим наповненням судів, об’єктивною необхідністю є відрядження судді та збереження рівномірного навантаження у окремих судах, які неприйнятно тривалий термін здійснюють судочинство з численним навантаженням через брак фактично працюючих суддів.</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З огляду на законодавчі зміни щодо порядку формування Вищої кваліфікаційної комісії суддів України та її повноважень, з метою оперативного розгляду питань щодо відрядження суддів доцільно розглянути питання про зосередження повноважень щодо відрядження судді у Вищій раді правосуддя.</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При цьому слід звернути увагу на те, що обов’язковою умовою відрядження судді для здійснення правосуддя є наявність згоди на це самого судді, а строк відрядження визначається Вищою радою правосуддя, але не більш ніж на один рік.</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У судах має працювати достатня кількість суддів та кваліфікований допоміжний персонал. Для попередження виникнення та зменшення надмірного робочого навантаження в судах потрібно вжити необхідних заходів для забезпечення незалежності судової влади, щоб передати вирішення несудових питань іншим особам із відповідною кваліфікацією» (пункти 35, 36 Рекомендацій СМ</w:t>
      </w:r>
      <w:r w:rsidRPr="00E12268">
        <w:rPr>
          <w:rFonts w:eastAsia="Times New Roman"/>
          <w:sz w:val="28"/>
          <w:szCs w:val="28"/>
          <w:lang w:eastAsia="ru-RU"/>
        </w:rPr>
        <w:t>/</w:t>
      </w:r>
      <w:r>
        <w:rPr>
          <w:rFonts w:eastAsia="Times New Roman"/>
          <w:sz w:val="28"/>
          <w:szCs w:val="28"/>
          <w:lang w:val="en-US" w:eastAsia="ru-RU"/>
        </w:rPr>
        <w:t>Rec</w:t>
      </w:r>
      <w:r w:rsidRPr="00E12268">
        <w:rPr>
          <w:rFonts w:eastAsia="Times New Roman"/>
          <w:sz w:val="28"/>
          <w:szCs w:val="28"/>
          <w:lang w:eastAsia="ru-RU"/>
        </w:rPr>
        <w:t xml:space="preserve"> (2010) 12 </w:t>
      </w:r>
      <w:r>
        <w:rPr>
          <w:rFonts w:eastAsia="Times New Roman"/>
          <w:sz w:val="28"/>
          <w:szCs w:val="28"/>
          <w:lang w:eastAsia="ru-RU"/>
        </w:rPr>
        <w:t>Комітету Міністрів Ради Європи державам-членам щодо суддів: незалежність, ефективність та обов’язки).</w:t>
      </w:r>
    </w:p>
    <w:p w:rsidR="00375854" w:rsidRPr="007C4B76" w:rsidRDefault="00375854" w:rsidP="00375854">
      <w:pPr>
        <w:ind w:firstLine="567"/>
        <w:jc w:val="both"/>
        <w:rPr>
          <w:rFonts w:eastAsia="Times New Roman"/>
          <w:sz w:val="28"/>
          <w:szCs w:val="28"/>
          <w:lang w:eastAsia="ru-RU"/>
        </w:rPr>
      </w:pPr>
      <w:r w:rsidRPr="007C4B76">
        <w:rPr>
          <w:rFonts w:eastAsia="Times New Roman"/>
          <w:sz w:val="28"/>
          <w:szCs w:val="28"/>
          <w:lang w:eastAsia="ru-RU"/>
        </w:rPr>
        <w:t xml:space="preserve">Суддя не може отримати нове призначення або бути переведеним на іншу судову посаду без його згоди на це, крім випадків, коли щодо нього </w:t>
      </w:r>
      <w:r>
        <w:rPr>
          <w:rFonts w:eastAsia="Times New Roman"/>
          <w:sz w:val="28"/>
          <w:szCs w:val="28"/>
          <w:lang w:eastAsia="ru-RU"/>
        </w:rPr>
        <w:t>в</w:t>
      </w:r>
      <w:r w:rsidRPr="007C4B76">
        <w:rPr>
          <w:rFonts w:eastAsia="Times New Roman"/>
          <w:sz w:val="28"/>
          <w:szCs w:val="28"/>
          <w:lang w:eastAsia="ru-RU"/>
        </w:rPr>
        <w:t>живаються дисциплінарні санкції або</w:t>
      </w:r>
      <w:r>
        <w:rPr>
          <w:rFonts w:eastAsia="Times New Roman"/>
          <w:sz w:val="28"/>
          <w:szCs w:val="28"/>
          <w:lang w:eastAsia="ru-RU"/>
        </w:rPr>
        <w:t xml:space="preserve"> </w:t>
      </w:r>
      <w:r w:rsidRPr="007C4B76">
        <w:rPr>
          <w:rFonts w:eastAsia="Times New Roman"/>
          <w:sz w:val="28"/>
          <w:szCs w:val="28"/>
          <w:lang w:eastAsia="ru-RU"/>
        </w:rPr>
        <w:t>здійснюється реформування в організації судової системи</w:t>
      </w:r>
      <w:r>
        <w:rPr>
          <w:rFonts w:eastAsia="Times New Roman"/>
          <w:sz w:val="28"/>
          <w:szCs w:val="28"/>
          <w:lang w:eastAsia="ru-RU"/>
        </w:rPr>
        <w:t xml:space="preserve"> (пункт 52 зазначених Рекомендацій)</w:t>
      </w:r>
      <w:r w:rsidRPr="007C4B76">
        <w:rPr>
          <w:rFonts w:eastAsia="Times New Roman"/>
          <w:sz w:val="28"/>
          <w:szCs w:val="28"/>
          <w:lang w:eastAsia="ru-RU"/>
        </w:rPr>
        <w:t>.</w:t>
      </w:r>
    </w:p>
    <w:p w:rsidR="00375854" w:rsidRDefault="00375854" w:rsidP="00375854">
      <w:pPr>
        <w:ind w:firstLine="567"/>
        <w:jc w:val="both"/>
        <w:rPr>
          <w:rFonts w:eastAsia="Times New Roman"/>
          <w:sz w:val="28"/>
          <w:szCs w:val="28"/>
          <w:lang w:eastAsia="ru-RU"/>
        </w:rPr>
      </w:pP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Вища рада правосуддя підтримує Законопроект за умови врахування наданих цим органом пропозицій.</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 xml:space="preserve">Зокрема, задля вдосконалення функціонування правосуддя, унеможливлення багаторазового звернення із заявою на продовження строку відрядження слід передбачити граничну кількість можливих звернень (один раз) з огляду на об’єктивність підстав та максимальний строк відрядження </w:t>
      </w:r>
      <w:r>
        <w:rPr>
          <w:rFonts w:eastAsia="Times New Roman"/>
          <w:sz w:val="28"/>
          <w:szCs w:val="28"/>
          <w:lang w:eastAsia="ru-RU"/>
        </w:rPr>
        <w:lastRenderedPageBreak/>
        <w:t>суддів (два роки). Даний підхід дасть можливість виключити ситуації зловживання правом звернення на продовження строку відрядження.</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Таким чином, вирішення питання про продовження строку відрядження не більше ніж на один рік за зверненням голови суду, у якому суддя перебував у відрядженні, до Вищої ради правосуддя та заявою судді на продовження строку відрядження потребує доопрацювання.</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Крім того, пропонується у частині першій статті 55 Закону України «Про судоустрій і статус суддів» закріпити норму про те, що у зв’язку з неможливістю здійснення правосуддя у відповідному суді, виявленням надмірного рівня судового навантаження у відповідному суді, припиненням роботи суду у зв’язку зі стихійним лихом, військовими діями, заходами щодо боротьби з тероризмом або іншими надзвичайними обставинами, за рішенням Вищої ради правосуддя, ухваленим з урахуванням рекомендацій Державної судової адміністрації України, суддя може бути, за його згодою, відряджений до іншого суду того самого рівня і спеціалізації для здійснення правосуддя.</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До того ж, Вища рада правосуддя вважає необхідним у частині третій статті 82 цього Закону передбачити норму, якою визначити, що переведення судді на посаду судді до іншого суду того самого або нижчого рівня може здійснюватися за рішенням Вищої ради правосуддя без конкурсу тільки у випадках реорганізації, ліквідації або припинення роботи суду, в якому такий суддя обіймає посаду судді.</w:t>
      </w: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Такі законодавчі зміни надають змогу пришвидшити врегулювання питання щодо заповнення вакантних посад суддів, забезпечити рівномірне навантаження в судах та зменшити суспільний резонанс щодо належного функціонування судової системи.</w:t>
      </w:r>
    </w:p>
    <w:p w:rsidR="00375854" w:rsidRDefault="00375854" w:rsidP="00375854">
      <w:pPr>
        <w:ind w:firstLine="567"/>
        <w:jc w:val="both"/>
        <w:rPr>
          <w:rFonts w:eastAsia="Times New Roman"/>
          <w:sz w:val="28"/>
          <w:szCs w:val="28"/>
          <w:lang w:eastAsia="ru-RU"/>
        </w:rPr>
      </w:pPr>
    </w:p>
    <w:p w:rsidR="00375854" w:rsidRDefault="00375854" w:rsidP="00375854">
      <w:pPr>
        <w:ind w:firstLine="567"/>
        <w:jc w:val="both"/>
        <w:rPr>
          <w:rFonts w:eastAsia="Times New Roman"/>
          <w:sz w:val="28"/>
          <w:szCs w:val="28"/>
          <w:lang w:eastAsia="ru-RU"/>
        </w:rPr>
      </w:pPr>
      <w:r>
        <w:rPr>
          <w:rFonts w:eastAsia="Times New Roman"/>
          <w:sz w:val="28"/>
          <w:szCs w:val="28"/>
          <w:lang w:eastAsia="ru-RU"/>
        </w:rPr>
        <w:t>Головне науково-експертне управління Апарату Верховної Ради України, погоджуючись в цілому з ідеєю Законопроекту, одночасно звертає увагу на таке.</w:t>
      </w:r>
    </w:p>
    <w:p w:rsidR="00375854" w:rsidRDefault="00375854" w:rsidP="00375854">
      <w:pPr>
        <w:ind w:firstLine="567"/>
        <w:jc w:val="both"/>
        <w:rPr>
          <w:rFonts w:eastAsia="Times New Roman"/>
          <w:sz w:val="28"/>
          <w:szCs w:val="28"/>
          <w:lang w:eastAsia="ru-RU"/>
        </w:rPr>
      </w:pPr>
      <w:r w:rsidRPr="00C172F2">
        <w:rPr>
          <w:rFonts w:eastAsia="Times New Roman"/>
          <w:sz w:val="28"/>
          <w:szCs w:val="28"/>
          <w:lang w:eastAsia="ru-RU"/>
        </w:rPr>
        <w:t xml:space="preserve">Відрядження судді до іншого суду того самого рівня і спеціалізації здійснюється на строк, який визначається Вищою радою правосуддя, </w:t>
      </w:r>
      <w:r w:rsidRPr="00D051FA">
        <w:rPr>
          <w:rFonts w:eastAsia="Times New Roman"/>
          <w:i/>
          <w:sz w:val="28"/>
          <w:szCs w:val="28"/>
          <w:lang w:eastAsia="ru-RU"/>
        </w:rPr>
        <w:t>але не більше ніж на один рік</w:t>
      </w:r>
      <w:r w:rsidRPr="00C172F2">
        <w:rPr>
          <w:rFonts w:eastAsia="Times New Roman"/>
          <w:sz w:val="28"/>
          <w:szCs w:val="28"/>
          <w:lang w:eastAsia="ru-RU"/>
        </w:rPr>
        <w:t xml:space="preserve"> (абз</w:t>
      </w:r>
      <w:r>
        <w:rPr>
          <w:rFonts w:eastAsia="Times New Roman"/>
          <w:sz w:val="28"/>
          <w:szCs w:val="28"/>
          <w:lang w:eastAsia="ru-RU"/>
        </w:rPr>
        <w:t>ац</w:t>
      </w:r>
      <w:r w:rsidRPr="00C172F2">
        <w:rPr>
          <w:rFonts w:eastAsia="Times New Roman"/>
          <w:sz w:val="28"/>
          <w:szCs w:val="28"/>
          <w:lang w:eastAsia="ru-RU"/>
        </w:rPr>
        <w:t xml:space="preserve"> </w:t>
      </w:r>
      <w:r>
        <w:rPr>
          <w:rFonts w:eastAsia="Times New Roman"/>
          <w:sz w:val="28"/>
          <w:szCs w:val="28"/>
          <w:lang w:eastAsia="ru-RU"/>
        </w:rPr>
        <w:t>перший</w:t>
      </w:r>
      <w:r w:rsidRPr="00C172F2">
        <w:rPr>
          <w:rFonts w:eastAsia="Times New Roman"/>
          <w:sz w:val="28"/>
          <w:szCs w:val="28"/>
          <w:lang w:eastAsia="ru-RU"/>
        </w:rPr>
        <w:t xml:space="preserve"> ч</w:t>
      </w:r>
      <w:r>
        <w:rPr>
          <w:rFonts w:eastAsia="Times New Roman"/>
          <w:sz w:val="28"/>
          <w:szCs w:val="28"/>
          <w:lang w:eastAsia="ru-RU"/>
        </w:rPr>
        <w:t>астини другої</w:t>
      </w:r>
      <w:r w:rsidRPr="00C172F2">
        <w:rPr>
          <w:rFonts w:eastAsia="Times New Roman"/>
          <w:sz w:val="28"/>
          <w:szCs w:val="28"/>
          <w:lang w:eastAsia="ru-RU"/>
        </w:rPr>
        <w:t xml:space="preserve"> ст</w:t>
      </w:r>
      <w:r>
        <w:rPr>
          <w:rFonts w:eastAsia="Times New Roman"/>
          <w:sz w:val="28"/>
          <w:szCs w:val="28"/>
          <w:lang w:eastAsia="ru-RU"/>
        </w:rPr>
        <w:t>атті</w:t>
      </w:r>
      <w:r w:rsidRPr="00C172F2">
        <w:rPr>
          <w:rFonts w:eastAsia="Times New Roman"/>
          <w:sz w:val="28"/>
          <w:szCs w:val="28"/>
          <w:lang w:eastAsia="ru-RU"/>
        </w:rPr>
        <w:t xml:space="preserve"> 55 </w:t>
      </w:r>
      <w:r>
        <w:rPr>
          <w:rFonts w:eastAsia="Times New Roman"/>
          <w:sz w:val="28"/>
          <w:szCs w:val="28"/>
          <w:lang w:eastAsia="ru-RU"/>
        </w:rPr>
        <w:t xml:space="preserve">Закону України «Про судоустрій і статус суддів» </w:t>
      </w:r>
      <w:r w:rsidRPr="00C172F2">
        <w:rPr>
          <w:rFonts w:eastAsia="Times New Roman"/>
          <w:sz w:val="28"/>
          <w:szCs w:val="28"/>
          <w:lang w:eastAsia="ru-RU"/>
        </w:rPr>
        <w:t>у редакції проекту). У той же час, в абз</w:t>
      </w:r>
      <w:r>
        <w:rPr>
          <w:rFonts w:eastAsia="Times New Roman"/>
          <w:sz w:val="28"/>
          <w:szCs w:val="28"/>
          <w:lang w:eastAsia="ru-RU"/>
        </w:rPr>
        <w:t>аці другому частини другої</w:t>
      </w:r>
      <w:r w:rsidRPr="00C172F2">
        <w:rPr>
          <w:rFonts w:eastAsia="Times New Roman"/>
          <w:sz w:val="28"/>
          <w:szCs w:val="28"/>
          <w:lang w:eastAsia="ru-RU"/>
        </w:rPr>
        <w:t xml:space="preserve"> ст</w:t>
      </w:r>
      <w:r>
        <w:rPr>
          <w:rFonts w:eastAsia="Times New Roman"/>
          <w:sz w:val="28"/>
          <w:szCs w:val="28"/>
          <w:lang w:eastAsia="ru-RU"/>
        </w:rPr>
        <w:t>атті</w:t>
      </w:r>
      <w:r w:rsidRPr="00C172F2">
        <w:rPr>
          <w:rFonts w:eastAsia="Times New Roman"/>
          <w:sz w:val="28"/>
          <w:szCs w:val="28"/>
          <w:lang w:eastAsia="ru-RU"/>
        </w:rPr>
        <w:t xml:space="preserve"> 55 </w:t>
      </w:r>
      <w:r>
        <w:rPr>
          <w:rFonts w:eastAsia="Times New Roman"/>
          <w:sz w:val="28"/>
          <w:szCs w:val="28"/>
          <w:lang w:eastAsia="ru-RU"/>
        </w:rPr>
        <w:t xml:space="preserve">цього </w:t>
      </w:r>
      <w:r w:rsidRPr="00C172F2">
        <w:rPr>
          <w:rFonts w:eastAsia="Times New Roman"/>
          <w:sz w:val="28"/>
          <w:szCs w:val="28"/>
          <w:lang w:eastAsia="ru-RU"/>
        </w:rPr>
        <w:t xml:space="preserve">Закону пропонується передбачити, що за зверненням голови суду, у якому суддя перебував у відрядженні, та заявою судді на продовження строку відрядження </w:t>
      </w:r>
      <w:r w:rsidRPr="00D051FA">
        <w:rPr>
          <w:rFonts w:eastAsia="Times New Roman"/>
          <w:i/>
          <w:sz w:val="28"/>
          <w:szCs w:val="28"/>
          <w:lang w:eastAsia="ru-RU"/>
        </w:rPr>
        <w:t>Вища рада правосуддя продовжує строк відрядження</w:t>
      </w:r>
      <w:r w:rsidRPr="00C172F2">
        <w:rPr>
          <w:rFonts w:eastAsia="Times New Roman"/>
          <w:sz w:val="28"/>
          <w:szCs w:val="28"/>
          <w:lang w:eastAsia="ru-RU"/>
        </w:rPr>
        <w:t xml:space="preserve">, але не більше ніж на один рік. Таким чином, має місце суперечність між нормами однієї статті. Адже одна імперативна норма обмежує відрядження строком в один рік, не передбачаючи при цьому жодних винятків із вказаного правила, а інша – надає можливість продовжити строк такого відрядження ще на рік. Враховуючи наведене, </w:t>
      </w:r>
      <w:r>
        <w:rPr>
          <w:rFonts w:eastAsia="Times New Roman"/>
          <w:sz w:val="28"/>
          <w:szCs w:val="28"/>
          <w:lang w:eastAsia="ru-RU"/>
        </w:rPr>
        <w:t xml:space="preserve">зазначається, що </w:t>
      </w:r>
      <w:r w:rsidRPr="00C172F2">
        <w:rPr>
          <w:rFonts w:eastAsia="Times New Roman"/>
          <w:sz w:val="28"/>
          <w:szCs w:val="28"/>
          <w:lang w:eastAsia="ru-RU"/>
        </w:rPr>
        <w:t xml:space="preserve">положення абзаців </w:t>
      </w:r>
      <w:r>
        <w:rPr>
          <w:rFonts w:eastAsia="Times New Roman"/>
          <w:sz w:val="28"/>
          <w:szCs w:val="28"/>
          <w:lang w:eastAsia="ru-RU"/>
        </w:rPr>
        <w:t>першого та другого</w:t>
      </w:r>
      <w:r w:rsidRPr="00C172F2">
        <w:rPr>
          <w:rFonts w:eastAsia="Times New Roman"/>
          <w:sz w:val="28"/>
          <w:szCs w:val="28"/>
          <w:lang w:eastAsia="ru-RU"/>
        </w:rPr>
        <w:t xml:space="preserve"> ч</w:t>
      </w:r>
      <w:r>
        <w:rPr>
          <w:rFonts w:eastAsia="Times New Roman"/>
          <w:sz w:val="28"/>
          <w:szCs w:val="28"/>
          <w:lang w:eastAsia="ru-RU"/>
        </w:rPr>
        <w:t>астини другої</w:t>
      </w:r>
      <w:r w:rsidRPr="00C172F2">
        <w:rPr>
          <w:rFonts w:eastAsia="Times New Roman"/>
          <w:sz w:val="28"/>
          <w:szCs w:val="28"/>
          <w:lang w:eastAsia="ru-RU"/>
        </w:rPr>
        <w:t xml:space="preserve"> ст</w:t>
      </w:r>
      <w:r>
        <w:rPr>
          <w:rFonts w:eastAsia="Times New Roman"/>
          <w:sz w:val="28"/>
          <w:szCs w:val="28"/>
          <w:lang w:eastAsia="ru-RU"/>
        </w:rPr>
        <w:t>атті</w:t>
      </w:r>
      <w:r w:rsidRPr="00C172F2">
        <w:rPr>
          <w:rFonts w:eastAsia="Times New Roman"/>
          <w:sz w:val="28"/>
          <w:szCs w:val="28"/>
          <w:lang w:eastAsia="ru-RU"/>
        </w:rPr>
        <w:t xml:space="preserve"> 55 </w:t>
      </w:r>
      <w:r>
        <w:rPr>
          <w:rFonts w:eastAsia="Times New Roman"/>
          <w:sz w:val="28"/>
          <w:szCs w:val="28"/>
          <w:lang w:eastAsia="ru-RU"/>
        </w:rPr>
        <w:t xml:space="preserve">цього </w:t>
      </w:r>
      <w:r w:rsidRPr="00C172F2">
        <w:rPr>
          <w:rFonts w:eastAsia="Times New Roman"/>
          <w:sz w:val="28"/>
          <w:szCs w:val="28"/>
          <w:lang w:eastAsia="ru-RU"/>
        </w:rPr>
        <w:t xml:space="preserve">Закону (в редакції проекту) потребують редакційних змін, які можуть бути внесені при підготовці </w:t>
      </w:r>
      <w:r>
        <w:rPr>
          <w:rFonts w:eastAsia="Times New Roman"/>
          <w:sz w:val="28"/>
          <w:szCs w:val="28"/>
          <w:lang w:eastAsia="ru-RU"/>
        </w:rPr>
        <w:t xml:space="preserve">Законопроекту до другого читання. </w:t>
      </w:r>
    </w:p>
    <w:p w:rsidR="00375854" w:rsidRPr="00C172F2" w:rsidRDefault="00375854" w:rsidP="00375854">
      <w:pPr>
        <w:ind w:firstLine="567"/>
        <w:jc w:val="both"/>
        <w:rPr>
          <w:rFonts w:eastAsia="Times New Roman"/>
          <w:sz w:val="28"/>
          <w:szCs w:val="28"/>
          <w:lang w:eastAsia="ru-RU"/>
        </w:rPr>
      </w:pPr>
      <w:r>
        <w:rPr>
          <w:rFonts w:eastAsia="Times New Roman"/>
          <w:sz w:val="28"/>
          <w:szCs w:val="28"/>
          <w:lang w:eastAsia="ru-RU"/>
        </w:rPr>
        <w:lastRenderedPageBreak/>
        <w:t xml:space="preserve">Разом з тим, дане Управління </w:t>
      </w:r>
      <w:r w:rsidRPr="00C172F2">
        <w:rPr>
          <w:rFonts w:eastAsia="Times New Roman"/>
          <w:sz w:val="28"/>
          <w:szCs w:val="28"/>
          <w:lang w:eastAsia="ru-RU"/>
        </w:rPr>
        <w:t>вважає, що</w:t>
      </w:r>
      <w:r>
        <w:rPr>
          <w:rFonts w:eastAsia="Times New Roman"/>
          <w:sz w:val="28"/>
          <w:szCs w:val="28"/>
          <w:lang w:eastAsia="ru-RU"/>
        </w:rPr>
        <w:t xml:space="preserve"> </w:t>
      </w:r>
      <w:r w:rsidRPr="00C172F2">
        <w:rPr>
          <w:rFonts w:eastAsia="Times New Roman"/>
          <w:sz w:val="28"/>
          <w:szCs w:val="28"/>
          <w:lang w:eastAsia="ru-RU"/>
        </w:rPr>
        <w:t>за результат</w:t>
      </w:r>
      <w:r>
        <w:rPr>
          <w:rFonts w:eastAsia="Times New Roman"/>
          <w:sz w:val="28"/>
          <w:szCs w:val="28"/>
          <w:lang w:eastAsia="ru-RU"/>
        </w:rPr>
        <w:t>ами розгляду у першому читанні З</w:t>
      </w:r>
      <w:r w:rsidRPr="00C172F2">
        <w:rPr>
          <w:rFonts w:eastAsia="Times New Roman"/>
          <w:sz w:val="28"/>
          <w:szCs w:val="28"/>
          <w:lang w:eastAsia="ru-RU"/>
        </w:rPr>
        <w:t>аконопроект може бути прийнятий за основу із врахуванням висловлених зауважень.</w:t>
      </w:r>
    </w:p>
    <w:p w:rsidR="00375854" w:rsidRDefault="00375854" w:rsidP="00375854">
      <w:pPr>
        <w:ind w:firstLine="567"/>
        <w:jc w:val="both"/>
        <w:rPr>
          <w:rFonts w:eastAsia="Times New Roman"/>
          <w:sz w:val="28"/>
          <w:szCs w:val="28"/>
          <w:lang w:eastAsia="ru-RU"/>
        </w:rPr>
      </w:pPr>
    </w:p>
    <w:p w:rsidR="00375854" w:rsidRPr="008C7DC0" w:rsidRDefault="00375854" w:rsidP="00375854">
      <w:pPr>
        <w:ind w:firstLine="567"/>
        <w:jc w:val="both"/>
        <w:rPr>
          <w:rFonts w:eastAsia="Times New Roman"/>
          <w:sz w:val="28"/>
          <w:szCs w:val="28"/>
          <w:lang w:eastAsia="ru-RU"/>
        </w:rPr>
      </w:pPr>
      <w:r w:rsidRPr="008C7DC0">
        <w:rPr>
          <w:rFonts w:eastAsia="Times New Roman"/>
          <w:sz w:val="28"/>
          <w:szCs w:val="28"/>
          <w:lang w:eastAsia="ru-RU"/>
        </w:rPr>
        <w:t>За підсумками розгляду Комітету Верховної Ради України з питань бюджету прийнято рішення, що Законопроект не ма</w:t>
      </w:r>
      <w:r>
        <w:rPr>
          <w:rFonts w:eastAsia="Times New Roman"/>
          <w:sz w:val="28"/>
          <w:szCs w:val="28"/>
          <w:lang w:eastAsia="ru-RU"/>
        </w:rPr>
        <w:t>є</w:t>
      </w:r>
      <w:r w:rsidRPr="008C7DC0">
        <w:rPr>
          <w:rFonts w:eastAsia="Times New Roman"/>
          <w:sz w:val="28"/>
          <w:szCs w:val="28"/>
          <w:lang w:eastAsia="ru-RU"/>
        </w:rPr>
        <w:t xml:space="preserve"> впливу на показники бюджет</w:t>
      </w:r>
      <w:r>
        <w:rPr>
          <w:rFonts w:eastAsia="Times New Roman"/>
          <w:sz w:val="28"/>
          <w:szCs w:val="28"/>
          <w:lang w:eastAsia="ru-RU"/>
        </w:rPr>
        <w:t>ів (реалізацію положень Законопроекту належить здійснювати за рахунок та в межах коштів, які щорічно передбачаються у державному бюджету на забезпечення діяльності органів правосуддя)</w:t>
      </w:r>
      <w:r w:rsidRPr="008C7DC0">
        <w:rPr>
          <w:rFonts w:eastAsia="Times New Roman"/>
          <w:sz w:val="28"/>
          <w:szCs w:val="28"/>
          <w:lang w:eastAsia="ru-RU"/>
        </w:rPr>
        <w:t>. У разі прийняття відповідного закону він може набирати чинності у термін, визначений автором Законопроекту.</w:t>
      </w:r>
    </w:p>
    <w:p w:rsidR="00375854" w:rsidRDefault="00375854" w:rsidP="00375854">
      <w:pPr>
        <w:ind w:firstLine="567"/>
        <w:jc w:val="both"/>
        <w:rPr>
          <w:rFonts w:eastAsia="Times New Roman"/>
          <w:sz w:val="28"/>
          <w:szCs w:val="28"/>
          <w:lang w:eastAsia="ru-RU"/>
        </w:rPr>
      </w:pPr>
    </w:p>
    <w:p w:rsidR="00BC1899" w:rsidRDefault="00BC1899" w:rsidP="00BC1899">
      <w:pPr>
        <w:ind w:firstLine="567"/>
        <w:jc w:val="both"/>
        <w:rPr>
          <w:rFonts w:eastAsia="Times New Roman"/>
          <w:sz w:val="28"/>
          <w:szCs w:val="22"/>
        </w:rPr>
      </w:pPr>
      <w:r w:rsidRPr="009940BA">
        <w:rPr>
          <w:rFonts w:eastAsia="Times New Roman"/>
          <w:sz w:val="28"/>
          <w:szCs w:val="28"/>
          <w:lang w:eastAsia="ru-RU"/>
        </w:rPr>
        <w:t xml:space="preserve">На підставі викладеного вище </w:t>
      </w:r>
      <w:r>
        <w:rPr>
          <w:rFonts w:eastAsia="Times New Roman"/>
          <w:sz w:val="28"/>
          <w:szCs w:val="28"/>
          <w:lang w:eastAsia="ru-RU"/>
        </w:rPr>
        <w:t xml:space="preserve">та відповідно до статей 93, 111, 114 і 116 Регламенту Верховної Ради України </w:t>
      </w:r>
      <w:r w:rsidRPr="009940BA">
        <w:rPr>
          <w:rFonts w:eastAsia="Times New Roman"/>
          <w:sz w:val="28"/>
          <w:szCs w:val="28"/>
          <w:lang w:eastAsia="ru-RU"/>
        </w:rPr>
        <w:t xml:space="preserve">Комітет з питань правової політики </w:t>
      </w:r>
      <w:r>
        <w:rPr>
          <w:rFonts w:eastAsia="Times New Roman"/>
          <w:sz w:val="28"/>
          <w:szCs w:val="28"/>
          <w:lang w:eastAsia="ru-RU"/>
        </w:rPr>
        <w:t>вирішив р</w:t>
      </w:r>
      <w:r>
        <w:rPr>
          <w:rFonts w:eastAsia="Times New Roman"/>
          <w:sz w:val="28"/>
          <w:szCs w:val="22"/>
          <w:lang w:eastAsia="ru-RU"/>
        </w:rPr>
        <w:t xml:space="preserve">екомендувати Верховній Раді України включити </w:t>
      </w:r>
      <w:r>
        <w:rPr>
          <w:rFonts w:eastAsia="Times New Roman"/>
          <w:sz w:val="28"/>
          <w:szCs w:val="22"/>
        </w:rPr>
        <w:t xml:space="preserve">до порядку денного третьої сесії Верховної Ради України дев’ятого скликання </w:t>
      </w:r>
      <w:r>
        <w:rPr>
          <w:rFonts w:eastAsia="Times New Roman"/>
          <w:sz w:val="28"/>
          <w:szCs w:val="22"/>
          <w:lang w:eastAsia="ru-RU"/>
        </w:rPr>
        <w:t>проект Закону про внесення змін до Закону України «Про судоустрій і статус суддів» щодо відрядження суддів в поря</w:t>
      </w:r>
      <w:bookmarkStart w:id="0" w:name="_GoBack"/>
      <w:bookmarkEnd w:id="0"/>
      <w:r>
        <w:rPr>
          <w:rFonts w:eastAsia="Times New Roman"/>
          <w:sz w:val="28"/>
          <w:szCs w:val="22"/>
          <w:lang w:eastAsia="ru-RU"/>
        </w:rPr>
        <w:t xml:space="preserve">дку тимчасового переведення судді до іншого суду (реєстр. № 2823 від 30 січня 2020 року), </w:t>
      </w:r>
      <w:r>
        <w:rPr>
          <w:rFonts w:eastAsia="Times New Roman"/>
          <w:sz w:val="28"/>
          <w:szCs w:val="22"/>
        </w:rPr>
        <w:t xml:space="preserve">поданого народним депутатом України Бабієм Р.В., а також за результатами розгляду у першому читанні прийняти даний Законопроект за основу, </w:t>
      </w:r>
      <w:r w:rsidRPr="002D2027">
        <w:rPr>
          <w:rFonts w:eastAsia="Times New Roman"/>
          <w:sz w:val="28"/>
          <w:szCs w:val="22"/>
        </w:rPr>
        <w:t>скоротивши наполовину строк для внесення пропозицій та поправок до другого читання.</w:t>
      </w:r>
    </w:p>
    <w:p w:rsidR="00375854" w:rsidRDefault="00375854" w:rsidP="00375854">
      <w:pPr>
        <w:ind w:firstLine="567"/>
        <w:jc w:val="both"/>
        <w:rPr>
          <w:rFonts w:eastAsia="Times New Roman"/>
          <w:sz w:val="28"/>
          <w:szCs w:val="28"/>
          <w:lang w:eastAsia="ru-RU"/>
        </w:rPr>
      </w:pPr>
      <w:r w:rsidRPr="00C60968">
        <w:rPr>
          <w:rFonts w:eastAsia="Times New Roman"/>
          <w:sz w:val="28"/>
          <w:szCs w:val="28"/>
          <w:lang w:eastAsia="ru-RU"/>
        </w:rPr>
        <w:t xml:space="preserve">Доповідачем від Комітету з цього питання під час розгляду </w:t>
      </w:r>
      <w:r w:rsidRPr="00C60968">
        <w:rPr>
          <w:rFonts w:eastAsia="Times New Roman"/>
          <w:spacing w:val="-4"/>
          <w:sz w:val="28"/>
          <w:szCs w:val="28"/>
          <w:lang w:eastAsia="ru-RU"/>
        </w:rPr>
        <w:t xml:space="preserve">на пленарному засіданні Верховної Ради України </w:t>
      </w:r>
      <w:r w:rsidRPr="00C60968">
        <w:rPr>
          <w:rFonts w:eastAsia="Times New Roman"/>
          <w:sz w:val="28"/>
          <w:szCs w:val="28"/>
          <w:lang w:eastAsia="ru-RU"/>
        </w:rPr>
        <w:t xml:space="preserve">визначити народного депутата України, </w:t>
      </w:r>
      <w:r>
        <w:rPr>
          <w:rFonts w:eastAsia="Times New Roman"/>
          <w:sz w:val="28"/>
          <w:szCs w:val="28"/>
          <w:lang w:eastAsia="ru-RU"/>
        </w:rPr>
        <w:t xml:space="preserve">співголову підкомітету з питань правосуддя </w:t>
      </w:r>
      <w:proofErr w:type="spellStart"/>
      <w:r>
        <w:rPr>
          <w:rFonts w:eastAsia="Times New Roman"/>
          <w:sz w:val="28"/>
          <w:szCs w:val="28"/>
          <w:lang w:eastAsia="ru-RU"/>
        </w:rPr>
        <w:t>Павліша</w:t>
      </w:r>
      <w:proofErr w:type="spellEnd"/>
      <w:r>
        <w:rPr>
          <w:rFonts w:eastAsia="Times New Roman"/>
          <w:sz w:val="28"/>
          <w:szCs w:val="28"/>
          <w:lang w:eastAsia="ru-RU"/>
        </w:rPr>
        <w:t xml:space="preserve"> П.В.</w:t>
      </w:r>
    </w:p>
    <w:p w:rsidR="00375854" w:rsidRPr="00C60968" w:rsidRDefault="00375854" w:rsidP="00375854">
      <w:pPr>
        <w:ind w:firstLine="567"/>
        <w:jc w:val="both"/>
        <w:rPr>
          <w:rFonts w:eastAsia="Times New Roman"/>
          <w:sz w:val="28"/>
          <w:szCs w:val="28"/>
          <w:lang w:eastAsia="ru-RU"/>
        </w:rPr>
      </w:pPr>
      <w:r w:rsidRPr="00C60968">
        <w:rPr>
          <w:rFonts w:eastAsia="Times New Roman"/>
          <w:sz w:val="28"/>
          <w:szCs w:val="28"/>
          <w:lang w:eastAsia="ru-RU"/>
        </w:rPr>
        <w:t>Додаючи відповідні матеріали, просимо розглянути.</w:t>
      </w:r>
    </w:p>
    <w:p w:rsidR="00375854" w:rsidRDefault="00375854" w:rsidP="00375854">
      <w:pPr>
        <w:rPr>
          <w:rFonts w:eastAsia="Calibri"/>
          <w:b/>
          <w:bCs/>
          <w:color w:val="000000"/>
          <w:sz w:val="28"/>
          <w:szCs w:val="28"/>
          <w:lang w:eastAsia="en-US"/>
        </w:rPr>
      </w:pPr>
    </w:p>
    <w:p w:rsidR="00375854" w:rsidRDefault="00375854" w:rsidP="00375854">
      <w:pPr>
        <w:rPr>
          <w:rFonts w:eastAsia="Calibri"/>
          <w:b/>
          <w:bCs/>
          <w:color w:val="000000"/>
          <w:sz w:val="28"/>
          <w:szCs w:val="28"/>
          <w:lang w:eastAsia="en-US"/>
        </w:rPr>
      </w:pPr>
    </w:p>
    <w:p w:rsidR="00375854" w:rsidRDefault="00375854" w:rsidP="00375854">
      <w:pPr>
        <w:rPr>
          <w:rFonts w:eastAsia="Calibri"/>
          <w:b/>
          <w:bCs/>
          <w:color w:val="000000"/>
          <w:sz w:val="28"/>
          <w:szCs w:val="28"/>
          <w:lang w:eastAsia="en-US"/>
        </w:rPr>
      </w:pPr>
      <w:r w:rsidRPr="005B6943">
        <w:rPr>
          <w:rFonts w:eastAsia="Calibri"/>
          <w:b/>
          <w:bCs/>
          <w:color w:val="000000"/>
          <w:sz w:val="28"/>
          <w:szCs w:val="28"/>
          <w:lang w:eastAsia="en-US"/>
        </w:rPr>
        <w:t>Голова Комітету</w:t>
      </w:r>
      <w:r w:rsidRPr="005B6943">
        <w:rPr>
          <w:rFonts w:eastAsia="Calibri"/>
          <w:b/>
          <w:bCs/>
          <w:color w:val="000000"/>
          <w:sz w:val="28"/>
          <w:szCs w:val="28"/>
          <w:lang w:eastAsia="en-US"/>
        </w:rPr>
        <w:tab/>
      </w:r>
      <w:r w:rsidRPr="005B6943">
        <w:rPr>
          <w:rFonts w:eastAsia="Calibri"/>
          <w:b/>
          <w:bCs/>
          <w:color w:val="000000"/>
          <w:sz w:val="28"/>
          <w:szCs w:val="28"/>
          <w:lang w:eastAsia="en-US"/>
        </w:rPr>
        <w:tab/>
      </w:r>
      <w:r w:rsidRPr="005B6943">
        <w:rPr>
          <w:rFonts w:eastAsia="Calibri"/>
          <w:b/>
          <w:bCs/>
          <w:color w:val="000000"/>
          <w:sz w:val="28"/>
          <w:szCs w:val="28"/>
          <w:lang w:eastAsia="en-US"/>
        </w:rPr>
        <w:tab/>
      </w:r>
      <w:r w:rsidRPr="005B6943">
        <w:rPr>
          <w:rFonts w:eastAsia="Calibri"/>
          <w:b/>
          <w:bCs/>
          <w:color w:val="000000"/>
          <w:sz w:val="28"/>
          <w:szCs w:val="28"/>
          <w:lang w:eastAsia="en-US"/>
        </w:rPr>
        <w:tab/>
      </w:r>
      <w:r w:rsidRPr="005B6943">
        <w:rPr>
          <w:rFonts w:eastAsia="Calibri"/>
          <w:b/>
          <w:bCs/>
          <w:color w:val="000000"/>
          <w:sz w:val="28"/>
          <w:szCs w:val="28"/>
          <w:lang w:eastAsia="en-US"/>
        </w:rPr>
        <w:tab/>
      </w:r>
      <w:r w:rsidRPr="005B6943">
        <w:rPr>
          <w:rFonts w:eastAsia="Calibri"/>
          <w:b/>
          <w:bCs/>
          <w:color w:val="000000"/>
          <w:sz w:val="28"/>
          <w:szCs w:val="28"/>
          <w:lang w:eastAsia="en-US"/>
        </w:rPr>
        <w:tab/>
      </w:r>
      <w:r w:rsidRPr="005B6943">
        <w:rPr>
          <w:rFonts w:eastAsia="Calibri"/>
          <w:b/>
          <w:bCs/>
          <w:color w:val="000000"/>
          <w:sz w:val="28"/>
          <w:szCs w:val="28"/>
          <w:lang w:eastAsia="en-US"/>
        </w:rPr>
        <w:tab/>
        <w:t>А.Є. КОСТІН</w:t>
      </w:r>
    </w:p>
    <w:p w:rsidR="00A87B12" w:rsidRDefault="00A87B12"/>
    <w:sectPr w:rsidR="00A87B12" w:rsidSect="00375854">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854" w:rsidRDefault="00375854" w:rsidP="00375854">
      <w:r>
        <w:separator/>
      </w:r>
    </w:p>
  </w:endnote>
  <w:endnote w:type="continuationSeparator" w:id="0">
    <w:p w:rsidR="00375854" w:rsidRDefault="00375854" w:rsidP="0037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854" w:rsidRDefault="00375854" w:rsidP="00375854">
      <w:r>
        <w:separator/>
      </w:r>
    </w:p>
  </w:footnote>
  <w:footnote w:type="continuationSeparator" w:id="0">
    <w:p w:rsidR="00375854" w:rsidRDefault="00375854" w:rsidP="00375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948236"/>
      <w:docPartObj>
        <w:docPartGallery w:val="Page Numbers (Top of Page)"/>
        <w:docPartUnique/>
      </w:docPartObj>
    </w:sdtPr>
    <w:sdtEndPr/>
    <w:sdtContent>
      <w:p w:rsidR="00375854" w:rsidRDefault="00375854">
        <w:pPr>
          <w:pStyle w:val="a3"/>
          <w:jc w:val="center"/>
        </w:pPr>
        <w:r>
          <w:fldChar w:fldCharType="begin"/>
        </w:r>
        <w:r>
          <w:instrText>PAGE   \* MERGEFORMAT</w:instrText>
        </w:r>
        <w:r>
          <w:fldChar w:fldCharType="separate"/>
        </w:r>
        <w:r w:rsidR="008F14A9">
          <w:rPr>
            <w:noProof/>
          </w:rPr>
          <w:t>4</w:t>
        </w:r>
        <w:r>
          <w:fldChar w:fldCharType="end"/>
        </w:r>
      </w:p>
    </w:sdtContent>
  </w:sdt>
  <w:p w:rsidR="00375854" w:rsidRDefault="0037585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854"/>
    <w:rsid w:val="00375854"/>
    <w:rsid w:val="00762F84"/>
    <w:rsid w:val="008F14A9"/>
    <w:rsid w:val="00A87B12"/>
    <w:rsid w:val="00BC1899"/>
    <w:rsid w:val="00E008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086F06-CDFC-49DC-8AC1-B5E0A2AF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854"/>
    <w:pPr>
      <w:spacing w:after="0" w:line="240" w:lineRule="auto"/>
    </w:pPr>
    <w:rPr>
      <w:rFonts w:ascii="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5854"/>
    <w:pPr>
      <w:tabs>
        <w:tab w:val="center" w:pos="4819"/>
        <w:tab w:val="right" w:pos="9639"/>
      </w:tabs>
    </w:pPr>
  </w:style>
  <w:style w:type="character" w:customStyle="1" w:styleId="a4">
    <w:name w:val="Верхній колонтитул Знак"/>
    <w:basedOn w:val="a0"/>
    <w:link w:val="a3"/>
    <w:uiPriority w:val="99"/>
    <w:rsid w:val="00375854"/>
    <w:rPr>
      <w:rFonts w:ascii="Times New Roman" w:hAnsi="Times New Roman" w:cs="Times New Roman"/>
      <w:sz w:val="24"/>
      <w:szCs w:val="24"/>
      <w:lang w:eastAsia="uk-UA"/>
    </w:rPr>
  </w:style>
  <w:style w:type="paragraph" w:styleId="a5">
    <w:name w:val="footer"/>
    <w:basedOn w:val="a"/>
    <w:link w:val="a6"/>
    <w:uiPriority w:val="99"/>
    <w:unhideWhenUsed/>
    <w:rsid w:val="00375854"/>
    <w:pPr>
      <w:tabs>
        <w:tab w:val="center" w:pos="4819"/>
        <w:tab w:val="right" w:pos="9639"/>
      </w:tabs>
    </w:pPr>
  </w:style>
  <w:style w:type="character" w:customStyle="1" w:styleId="a6">
    <w:name w:val="Нижній колонтитул Знак"/>
    <w:basedOn w:val="a0"/>
    <w:link w:val="a5"/>
    <w:uiPriority w:val="99"/>
    <w:rsid w:val="00375854"/>
    <w:rPr>
      <w:rFonts w:ascii="Times New Roman" w:hAnsi="Times New Roman" w:cs="Times New Roman"/>
      <w:sz w:val="24"/>
      <w:szCs w:val="24"/>
      <w:lang w:eastAsia="uk-UA"/>
    </w:rPr>
  </w:style>
  <w:style w:type="paragraph" w:styleId="a7">
    <w:name w:val="Balloon Text"/>
    <w:basedOn w:val="a"/>
    <w:link w:val="a8"/>
    <w:uiPriority w:val="99"/>
    <w:semiHidden/>
    <w:unhideWhenUsed/>
    <w:rsid w:val="00762F84"/>
    <w:rPr>
      <w:rFonts w:ascii="Segoe UI" w:hAnsi="Segoe UI" w:cs="Segoe UI"/>
      <w:sz w:val="18"/>
      <w:szCs w:val="18"/>
    </w:rPr>
  </w:style>
  <w:style w:type="character" w:customStyle="1" w:styleId="a8">
    <w:name w:val="Текст у виносці Знак"/>
    <w:basedOn w:val="a0"/>
    <w:link w:val="a7"/>
    <w:uiPriority w:val="99"/>
    <w:semiHidden/>
    <w:rsid w:val="00762F84"/>
    <w:rPr>
      <w:rFonts w:ascii="Segoe UI"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5762</Words>
  <Characters>3285</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4</cp:revision>
  <cp:lastPrinted>2020-05-07T09:21:00Z</cp:lastPrinted>
  <dcterms:created xsi:type="dcterms:W3CDTF">2020-05-07T09:18:00Z</dcterms:created>
  <dcterms:modified xsi:type="dcterms:W3CDTF">2020-05-07T09:59:00Z</dcterms:modified>
</cp:coreProperties>
</file>