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BE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A5974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 xml:space="preserve">Комітету Верховної Ради України з питань інтеграції України </w:t>
      </w:r>
    </w:p>
    <w:p w:rsidR="00F7668B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з Європейським Союзом</w:t>
      </w:r>
    </w:p>
    <w:p w:rsidR="00F7668B" w:rsidRPr="008A5974" w:rsidRDefault="00F7668B" w:rsidP="008D4F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Default="00105F68" w:rsidP="008A59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F68">
        <w:rPr>
          <w:rFonts w:ascii="Times New Roman" w:hAnsi="Times New Roman" w:cs="Times New Roman"/>
          <w:b/>
          <w:sz w:val="28"/>
          <w:szCs w:val="28"/>
        </w:rPr>
        <w:t>про Фонд часткового гарантування кредитів у сільському господарстві</w:t>
      </w:r>
      <w:r w:rsidR="00B96D39" w:rsidRPr="00B96D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668B" w:rsidRPr="008A5974" w:rsidRDefault="00F7668B" w:rsidP="008A59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105F68">
        <w:rPr>
          <w:rFonts w:ascii="Times New Roman" w:hAnsi="Times New Roman" w:cs="Times New Roman"/>
          <w:sz w:val="28"/>
          <w:szCs w:val="28"/>
        </w:rPr>
        <w:t>3205</w:t>
      </w:r>
      <w:r w:rsidRPr="008A5974">
        <w:rPr>
          <w:rFonts w:ascii="Times New Roman" w:hAnsi="Times New Roman" w:cs="Times New Roman"/>
          <w:sz w:val="28"/>
          <w:szCs w:val="28"/>
        </w:rPr>
        <w:t xml:space="preserve"> від </w:t>
      </w:r>
      <w:r w:rsidR="00105F68">
        <w:rPr>
          <w:rFonts w:ascii="Times New Roman" w:hAnsi="Times New Roman" w:cs="Times New Roman"/>
          <w:sz w:val="28"/>
          <w:szCs w:val="28"/>
        </w:rPr>
        <w:t>12</w:t>
      </w:r>
      <w:r w:rsidRPr="008A5974">
        <w:rPr>
          <w:rFonts w:ascii="Times New Roman" w:hAnsi="Times New Roman" w:cs="Times New Roman"/>
          <w:sz w:val="28"/>
          <w:szCs w:val="28"/>
        </w:rPr>
        <w:t>.0</w:t>
      </w:r>
      <w:r w:rsidR="00B96D39">
        <w:rPr>
          <w:rFonts w:ascii="Times New Roman" w:hAnsi="Times New Roman" w:cs="Times New Roman"/>
          <w:sz w:val="28"/>
          <w:szCs w:val="28"/>
        </w:rPr>
        <w:t>3</w:t>
      </w:r>
      <w:r w:rsidRPr="008A5974">
        <w:rPr>
          <w:rFonts w:ascii="Times New Roman" w:hAnsi="Times New Roman" w:cs="Times New Roman"/>
          <w:sz w:val="28"/>
          <w:szCs w:val="28"/>
        </w:rPr>
        <w:t xml:space="preserve">.2020, </w:t>
      </w:r>
      <w:proofErr w:type="spellStart"/>
      <w:r w:rsidR="00105F68">
        <w:rPr>
          <w:rFonts w:ascii="Times New Roman" w:hAnsi="Times New Roman" w:cs="Times New Roman"/>
          <w:sz w:val="28"/>
          <w:szCs w:val="28"/>
        </w:rPr>
        <w:t>Чорноморов</w:t>
      </w:r>
      <w:proofErr w:type="spellEnd"/>
      <w:r w:rsidR="00105F68">
        <w:rPr>
          <w:rFonts w:ascii="Times New Roman" w:hAnsi="Times New Roman" w:cs="Times New Roman"/>
          <w:sz w:val="28"/>
          <w:szCs w:val="28"/>
        </w:rPr>
        <w:t xml:space="preserve"> А.О., </w:t>
      </w:r>
      <w:proofErr w:type="spellStart"/>
      <w:r w:rsidR="00105F68">
        <w:rPr>
          <w:rFonts w:ascii="Times New Roman" w:hAnsi="Times New Roman" w:cs="Times New Roman"/>
          <w:sz w:val="28"/>
          <w:szCs w:val="28"/>
        </w:rPr>
        <w:t>Салійчук</w:t>
      </w:r>
      <w:proofErr w:type="spellEnd"/>
      <w:r w:rsidR="00105F68">
        <w:rPr>
          <w:rFonts w:ascii="Times New Roman" w:hAnsi="Times New Roman" w:cs="Times New Roman"/>
          <w:sz w:val="28"/>
          <w:szCs w:val="28"/>
        </w:rPr>
        <w:t xml:space="preserve"> О.В.</w:t>
      </w:r>
      <w:r w:rsidR="00B96D39"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8A5974">
        <w:rPr>
          <w:rFonts w:ascii="Times New Roman" w:hAnsi="Times New Roman" w:cs="Times New Roman"/>
          <w:sz w:val="28"/>
          <w:szCs w:val="28"/>
        </w:rPr>
        <w:t>)</w:t>
      </w:r>
    </w:p>
    <w:p w:rsidR="008A5974" w:rsidRDefault="008A5974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E61" w:rsidRDefault="00B86E61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8A5974" w:rsidRDefault="00F7668B" w:rsidP="008A5974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105F68" w:rsidRPr="00105F68" w:rsidRDefault="00105F68" w:rsidP="00105F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F68">
        <w:rPr>
          <w:rFonts w:ascii="Times New Roman" w:hAnsi="Times New Roman" w:cs="Times New Roman"/>
          <w:sz w:val="28"/>
          <w:szCs w:val="28"/>
        </w:rPr>
        <w:t xml:space="preserve">Проектом Закону визначаються особливості створення та діяльності Фонду, який є спеціалізованою </w:t>
      </w:r>
      <w:r w:rsidRPr="00F65A2E">
        <w:rPr>
          <w:rFonts w:ascii="Times New Roman" w:hAnsi="Times New Roman" w:cs="Times New Roman"/>
          <w:sz w:val="28"/>
          <w:szCs w:val="28"/>
        </w:rPr>
        <w:t>небанківською фінансовою установою</w:t>
      </w:r>
      <w:r w:rsidRPr="00105F68">
        <w:rPr>
          <w:rFonts w:ascii="Times New Roman" w:hAnsi="Times New Roman" w:cs="Times New Roman"/>
          <w:sz w:val="28"/>
          <w:szCs w:val="28"/>
        </w:rPr>
        <w:t>, що створюється державою в особі Кабінету Міністрів України, учасниками якої можуть бути, крім держави, і інші юридичні особи.</w:t>
      </w:r>
    </w:p>
    <w:p w:rsidR="00105F68" w:rsidRPr="00105F68" w:rsidRDefault="00105F68" w:rsidP="00105F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F68">
        <w:rPr>
          <w:rFonts w:ascii="Times New Roman" w:hAnsi="Times New Roman" w:cs="Times New Roman"/>
          <w:sz w:val="28"/>
          <w:szCs w:val="28"/>
        </w:rPr>
        <w:t>Метою діяльності Фонду є підтримк</w:t>
      </w:r>
      <w:r w:rsidR="004F5AE0">
        <w:rPr>
          <w:rFonts w:ascii="Times New Roman" w:hAnsi="Times New Roman" w:cs="Times New Roman"/>
          <w:sz w:val="28"/>
          <w:szCs w:val="28"/>
        </w:rPr>
        <w:t>а</w:t>
      </w:r>
      <w:r w:rsidRPr="00105F68">
        <w:rPr>
          <w:rFonts w:ascii="Times New Roman" w:hAnsi="Times New Roman" w:cs="Times New Roman"/>
          <w:sz w:val="28"/>
          <w:szCs w:val="28"/>
        </w:rPr>
        <w:t xml:space="preserve"> малих та середніх суб’єктів підприємництва (у власності та/або користуванні яких перебувають землі сільськогосподарського призначення у обсягах, що не перевищують</w:t>
      </w:r>
      <w:r w:rsidR="00C7589D">
        <w:rPr>
          <w:rFonts w:ascii="Times New Roman" w:hAnsi="Times New Roman" w:cs="Times New Roman"/>
          <w:sz w:val="28"/>
          <w:szCs w:val="28"/>
        </w:rPr>
        <w:t xml:space="preserve"> </w:t>
      </w:r>
      <w:r w:rsidRPr="00105F68">
        <w:rPr>
          <w:rFonts w:ascii="Times New Roman" w:hAnsi="Times New Roman" w:cs="Times New Roman"/>
          <w:sz w:val="28"/>
          <w:szCs w:val="28"/>
        </w:rPr>
        <w:t>500 гектарів), що здійснюють первинне виробництво сільськогосподарської продукції шляхом гарантування виконання зобов’язань таких суб’єктів за кредитними договорами з метою створення умов для стабільного функціонування ринку землі та сільського господарства в Україні.</w:t>
      </w:r>
    </w:p>
    <w:p w:rsidR="00554E16" w:rsidRDefault="00105F68" w:rsidP="00105F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F68">
        <w:rPr>
          <w:rFonts w:ascii="Times New Roman" w:hAnsi="Times New Roman" w:cs="Times New Roman"/>
          <w:sz w:val="28"/>
          <w:szCs w:val="28"/>
        </w:rPr>
        <w:t>Завданням Фонду є надання часткових гарантій за кредитними зобов’язаннями малих і середніх суб’єктів підприємництва, що здійснюють діяльність у сільському господарстві.</w:t>
      </w:r>
    </w:p>
    <w:p w:rsidR="00105F68" w:rsidRPr="00105F68" w:rsidRDefault="00105F68" w:rsidP="00105F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5F68">
        <w:rPr>
          <w:rFonts w:ascii="Times New Roman" w:hAnsi="Times New Roman" w:cs="Times New Roman"/>
          <w:sz w:val="28"/>
          <w:szCs w:val="28"/>
        </w:rPr>
        <w:t>Прийняття проекту Закону України</w:t>
      </w:r>
      <w:r>
        <w:rPr>
          <w:rFonts w:ascii="Times New Roman" w:hAnsi="Times New Roman" w:cs="Times New Roman"/>
          <w:sz w:val="28"/>
          <w:szCs w:val="28"/>
        </w:rPr>
        <w:t>, як зазначено в пояснювальній записці,</w:t>
      </w:r>
      <w:r w:rsidRPr="00105F68">
        <w:rPr>
          <w:rFonts w:ascii="Times New Roman" w:hAnsi="Times New Roman" w:cs="Times New Roman"/>
          <w:sz w:val="28"/>
          <w:szCs w:val="28"/>
        </w:rPr>
        <w:t xml:space="preserve"> покращить доступ малих та середніх суб’єктів господарювання, що здійснюють первинне виробництво сільськогосподарської продукції до кредитних ресурсів, дозволить збільшити обсяг інвестицій в аграрний сектор економіки, підвищить конкурентоспроможність сільськогосподарської продукції та її якість.</w:t>
      </w:r>
    </w:p>
    <w:p w:rsidR="00105F68" w:rsidRDefault="00105F68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8B" w:rsidRPr="008A5974" w:rsidRDefault="00F7668B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B87CF7" w:rsidRPr="00896EBE" w:rsidRDefault="00F7668B" w:rsidP="00896EBE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10F0A">
        <w:rPr>
          <w:rFonts w:ascii="Times New Roman" w:hAnsi="Times New Roman" w:cs="Times New Roman"/>
          <w:sz w:val="28"/>
          <w:szCs w:val="28"/>
        </w:rPr>
        <w:t>Проект Закону за предметом правового регулювання належить до сфер</w:t>
      </w:r>
      <w:r w:rsidR="001420B5">
        <w:rPr>
          <w:rFonts w:ascii="Times New Roman" w:hAnsi="Times New Roman" w:cs="Times New Roman"/>
          <w:sz w:val="28"/>
          <w:szCs w:val="28"/>
        </w:rPr>
        <w:t>и</w:t>
      </w:r>
      <w:r w:rsidRPr="00410F0A">
        <w:rPr>
          <w:rFonts w:ascii="Times New Roman" w:hAnsi="Times New Roman" w:cs="Times New Roman"/>
          <w:sz w:val="28"/>
          <w:szCs w:val="28"/>
        </w:rPr>
        <w:t xml:space="preserve"> </w:t>
      </w:r>
      <w:r w:rsidR="004F5AE0">
        <w:rPr>
          <w:rFonts w:ascii="Times New Roman" w:hAnsi="Times New Roman" w:cs="Times New Roman"/>
          <w:sz w:val="28"/>
          <w:szCs w:val="28"/>
        </w:rPr>
        <w:t>фінансових послуг</w:t>
      </w:r>
      <w:r w:rsidR="008D4F02" w:rsidRPr="00410F0A">
        <w:rPr>
          <w:rFonts w:ascii="Times New Roman" w:hAnsi="Times New Roman" w:cs="Times New Roman"/>
          <w:sz w:val="28"/>
          <w:szCs w:val="28"/>
        </w:rPr>
        <w:t xml:space="preserve">, </w:t>
      </w:r>
      <w:r w:rsidR="008A5974" w:rsidRPr="00410F0A">
        <w:rPr>
          <w:rFonts w:ascii="Times New Roman" w:hAnsi="Times New Roman" w:cs="Times New Roman"/>
          <w:sz w:val="28"/>
          <w:szCs w:val="28"/>
        </w:rPr>
        <w:t>що</w:t>
      </w:r>
      <w:r w:rsidR="008D4F02" w:rsidRPr="00410F0A">
        <w:rPr>
          <w:rFonts w:ascii="Times New Roman" w:hAnsi="Times New Roman" w:cs="Times New Roman"/>
          <w:sz w:val="28"/>
          <w:szCs w:val="28"/>
        </w:rPr>
        <w:t xml:space="preserve"> відповідно до</w:t>
      </w:r>
      <w:r w:rsidRPr="00410F0A">
        <w:rPr>
          <w:rFonts w:ascii="Times New Roman" w:hAnsi="Times New Roman" w:cs="Times New Roman"/>
          <w:sz w:val="28"/>
          <w:szCs w:val="28"/>
        </w:rPr>
        <w:t xml:space="preserve"> Закону України «</w:t>
      </w:r>
      <w:r w:rsidR="00285458" w:rsidRPr="00410F0A">
        <w:rPr>
          <w:rFonts w:ascii="Times New Roman" w:hAnsi="Times New Roman" w:cs="Times New Roman"/>
          <w:sz w:val="28"/>
          <w:szCs w:val="28"/>
        </w:rPr>
        <w:t>Про Загальнодержавну програму адаптації законодавства України до законодавства Європейського Союзу</w:t>
      </w:r>
      <w:r w:rsidRPr="00410F0A">
        <w:rPr>
          <w:rFonts w:ascii="Times New Roman" w:hAnsi="Times New Roman" w:cs="Times New Roman"/>
          <w:sz w:val="28"/>
          <w:szCs w:val="28"/>
        </w:rPr>
        <w:t>»</w:t>
      </w:r>
      <w:r w:rsidR="008827CB">
        <w:rPr>
          <w:rFonts w:ascii="Times New Roman" w:hAnsi="Times New Roman" w:cs="Times New Roman"/>
          <w:sz w:val="28"/>
          <w:szCs w:val="28"/>
        </w:rPr>
        <w:t xml:space="preserve"> </w:t>
      </w:r>
      <w:r w:rsidRPr="00410F0A">
        <w:rPr>
          <w:rFonts w:ascii="Times New Roman" w:hAnsi="Times New Roman" w:cs="Times New Roman"/>
          <w:sz w:val="28"/>
          <w:szCs w:val="28"/>
        </w:rPr>
        <w:t>від 18 березня 2004 року № 1629-IV належ</w:t>
      </w:r>
      <w:r w:rsidR="001420B5">
        <w:rPr>
          <w:rFonts w:ascii="Times New Roman" w:hAnsi="Times New Roman" w:cs="Times New Roman"/>
          <w:sz w:val="28"/>
          <w:szCs w:val="28"/>
        </w:rPr>
        <w:t>и</w:t>
      </w:r>
      <w:r w:rsidR="00410F0A" w:rsidRPr="00410F0A">
        <w:rPr>
          <w:rFonts w:ascii="Times New Roman" w:hAnsi="Times New Roman" w:cs="Times New Roman"/>
          <w:sz w:val="28"/>
          <w:szCs w:val="28"/>
        </w:rPr>
        <w:t>ть</w:t>
      </w:r>
      <w:r w:rsidRPr="00410F0A">
        <w:rPr>
          <w:rFonts w:ascii="Times New Roman" w:hAnsi="Times New Roman" w:cs="Times New Roman"/>
          <w:sz w:val="28"/>
          <w:szCs w:val="28"/>
        </w:rPr>
        <w:t xml:space="preserve"> до пріоритетних сфер, в яких здійснюється адаптація законодавства України до законодавства Європейського Союзу</w:t>
      </w:r>
      <w:r w:rsidR="008D4F02" w:rsidRPr="00410F0A">
        <w:rPr>
          <w:rFonts w:ascii="Times New Roman" w:hAnsi="Times New Roman" w:cs="Times New Roman"/>
          <w:sz w:val="28"/>
          <w:szCs w:val="28"/>
        </w:rPr>
        <w:t xml:space="preserve"> та охоплюється зобов’язаннями України передбаченими у рамках </w:t>
      </w:r>
      <w:r w:rsidR="004F5AE0" w:rsidRPr="004F5AE0">
        <w:rPr>
          <w:rFonts w:ascii="Times New Roman" w:hAnsi="Times New Roman" w:cs="Times New Roman"/>
          <w:sz w:val="28"/>
          <w:szCs w:val="28"/>
        </w:rPr>
        <w:t>Підрозділ</w:t>
      </w:r>
      <w:r w:rsidR="004F5AE0">
        <w:rPr>
          <w:rFonts w:ascii="Times New Roman" w:hAnsi="Times New Roman" w:cs="Times New Roman"/>
          <w:sz w:val="28"/>
          <w:szCs w:val="28"/>
        </w:rPr>
        <w:t xml:space="preserve">у </w:t>
      </w:r>
      <w:r w:rsidR="004F5AE0" w:rsidRPr="004F5AE0">
        <w:rPr>
          <w:rFonts w:ascii="Times New Roman" w:hAnsi="Times New Roman" w:cs="Times New Roman"/>
          <w:sz w:val="28"/>
          <w:szCs w:val="28"/>
        </w:rPr>
        <w:t>6</w:t>
      </w:r>
      <w:r w:rsidR="00B87CF7" w:rsidRPr="00B87CF7">
        <w:rPr>
          <w:rFonts w:ascii="Times New Roman" w:hAnsi="Times New Roman" w:cs="Times New Roman"/>
          <w:sz w:val="28"/>
          <w:szCs w:val="28"/>
        </w:rPr>
        <w:t xml:space="preserve"> «</w:t>
      </w:r>
      <w:r w:rsidR="004F5AE0">
        <w:rPr>
          <w:rFonts w:ascii="Times New Roman" w:hAnsi="Times New Roman" w:cs="Times New Roman"/>
          <w:sz w:val="28"/>
          <w:szCs w:val="28"/>
        </w:rPr>
        <w:t xml:space="preserve">Фінансові послуги» </w:t>
      </w:r>
      <w:r w:rsidR="00B87CF7" w:rsidRPr="00B87CF7">
        <w:rPr>
          <w:rFonts w:ascii="Times New Roman" w:hAnsi="Times New Roman" w:cs="Times New Roman"/>
          <w:sz w:val="28"/>
          <w:szCs w:val="28"/>
        </w:rPr>
        <w:t>Розділу ІV «Торгівля і питання, пов’язані з торгівлею»</w:t>
      </w:r>
      <w:r w:rsidR="008D4F02" w:rsidRPr="00410F0A">
        <w:rPr>
          <w:rFonts w:ascii="Times New Roman" w:hAnsi="Times New Roman" w:cs="Times New Roman"/>
          <w:sz w:val="28"/>
          <w:szCs w:val="28"/>
        </w:rPr>
        <w:t xml:space="preserve"> 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Угоди </w:t>
      </w:r>
      <w:r w:rsidR="00285458">
        <w:rPr>
          <w:rFonts w:ascii="Times New Roman" w:hAnsi="Times New Roman" w:cs="Times New Roman"/>
          <w:sz w:val="28"/>
          <w:szCs w:val="28"/>
        </w:rPr>
        <w:t xml:space="preserve">про асоціацію </w:t>
      </w:r>
      <w:r w:rsidR="00285458" w:rsidRPr="00285458">
        <w:rPr>
          <w:rFonts w:ascii="Times New Roman" w:hAnsi="Times New Roman" w:cs="Times New Roman"/>
          <w:sz w:val="28"/>
          <w:szCs w:val="28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8D4F02" w:rsidRPr="008A5974">
        <w:rPr>
          <w:rFonts w:ascii="Times New Roman" w:hAnsi="Times New Roman" w:cs="Times New Roman"/>
          <w:sz w:val="28"/>
          <w:szCs w:val="28"/>
        </w:rPr>
        <w:t xml:space="preserve"> (далі – Угода про асоціацію).</w:t>
      </w:r>
    </w:p>
    <w:p w:rsidR="004F5AE0" w:rsidRDefault="004F5AE0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357" w:rsidRDefault="009B6357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F02" w:rsidRPr="008A5974" w:rsidRDefault="008D4F02" w:rsidP="008D4F0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5974">
        <w:rPr>
          <w:rFonts w:ascii="Times New Roman" w:hAnsi="Times New Roman" w:cs="Times New Roman"/>
          <w:b/>
          <w:sz w:val="28"/>
          <w:szCs w:val="28"/>
        </w:rPr>
        <w:lastRenderedPageBreak/>
        <w:t>3. Відповідність законопроекту праву ЄС</w:t>
      </w:r>
    </w:p>
    <w:p w:rsidR="000350A4" w:rsidRDefault="000350A4" w:rsidP="000350A4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1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 та становлення фінансового ринку України є необхідною передумовою розвитку інших секторів економіки держави. Добре функціонуючий страховий ринок, розвинені небанківські кредитні установи, пенсійні фонди та інші фінансові установи сприяють стабільному та прогнозованому розвитку усіх економічних процесів у суспільстві.</w:t>
      </w:r>
    </w:p>
    <w:p w:rsidR="000350A4" w:rsidRDefault="000350A4" w:rsidP="006C2167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5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Головними завданнями при здійсненні організаційно-правових заходів по створенню Фонду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50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часткового гарантування кредитів у сільському господарстві є забезпечення належного корпоративного управління з конкурсним відбором членів Ради Фонду, недопущення конфлікту інтересів осіб, які входять до складу органів управління Фонду з фінансовими установами та виробниками сільськогосподарської продукції, а також забезпечення ринкових фінансових механізмів надання гарантій сільськогосподарським товаровиробникам.</w:t>
      </w:r>
    </w:p>
    <w:p w:rsidR="006C2167" w:rsidRPr="006C2167" w:rsidRDefault="006C2167" w:rsidP="006C2167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aquis</w:t>
      </w:r>
      <w:proofErr w:type="spellEnd"/>
      <w:r w:rsidRP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DC0698" w:rsidRDefault="003417C7" w:rsidP="00402CFB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Згідно з </w:t>
      </w:r>
      <w:r w:rsidR="003844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положеннями </w:t>
      </w:r>
      <w:r w:rsid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r w:rsidR="00402C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тті </w:t>
      </w:r>
      <w:r w:rsid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133 Угоди про асоціацію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передбачено, що </w:t>
      </w:r>
      <w:r w:rsidR="006C2167" w:rsidRPr="004F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Сторони визнають важливість наближення чинного законодавства України до законодавства Європейського Союзу. Україна забезпечить поступове приведення у відповідність своїх чинних законів та майбутнього законодавства до </w:t>
      </w:r>
      <w:proofErr w:type="spellStart"/>
      <w:r w:rsidR="006C2167" w:rsidRPr="004F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acquis</w:t>
      </w:r>
      <w:proofErr w:type="spellEnd"/>
      <w:r w:rsidR="006C2167" w:rsidRPr="004F5A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ЄС.</w:t>
      </w:r>
      <w:r w:rsidR="006C21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84676" w:rsidRDefault="00DC0698" w:rsidP="00B6384B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Європейському Союзі </w:t>
      </w:r>
      <w:r w:rsidR="00F84676" w:rsidRP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правову базу, що регулює доступ до діяльності, систему нагляду та </w:t>
      </w:r>
      <w:proofErr w:type="spellStart"/>
      <w:r w:rsidR="00F84676" w:rsidRP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пруденційні</w:t>
      </w:r>
      <w:proofErr w:type="spellEnd"/>
      <w:r w:rsidR="00F84676" w:rsidRP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правила для кредитни</w:t>
      </w:r>
      <w:r w:rsid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установ та інвестиційних фірм спільно </w:t>
      </w:r>
      <w:r w:rsidR="00F84676" w:rsidRP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</w:t>
      </w:r>
      <w:r w:rsid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ють</w:t>
      </w:r>
      <w:r w:rsidR="00F84676" w:rsidRP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4676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Директив</w:t>
      </w:r>
      <w:r w:rsid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84676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2013/36/ЄС Європейського Парламенту та Ради від 26 червня 2013 року про доступ до діяльності кредитних установ та </w:t>
      </w:r>
      <w:proofErr w:type="spellStart"/>
      <w:r w:rsidR="00F84676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пруденційний</w:t>
      </w:r>
      <w:proofErr w:type="spellEnd"/>
      <w:r w:rsidR="00F84676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 по відношенню до кредитних установ та інвестиційних фірм, що вносить зміни до Директиви 2002/87/ЄС та припиняє дію Директиви 2006/48/ЄС та 2006/49/ЄС (OJ L 176, 27.6.2013, p. 338–436) (далі – Директива 2013/36/ЄС) та Регламент (ЄС) № 575/2013 Європейського Парламенту та Ради від 26 червня 2013 року</w:t>
      </w:r>
      <w:r w:rsidR="00F84676" w:rsidRPr="003417C7">
        <w:t xml:space="preserve"> </w:t>
      </w:r>
      <w:r w:rsidR="00F84676">
        <w:t>(</w:t>
      </w:r>
      <w:r w:rsidR="00F84676" w:rsidRPr="00341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OJ L 176, 27.6.2013, p. 1–337</w:t>
      </w:r>
      <w:r w:rsidR="00F84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(далі – Регламент 575/2013)</w:t>
      </w:r>
    </w:p>
    <w:p w:rsidR="00356995" w:rsidRDefault="000350A4" w:rsidP="00B6384B">
      <w:pPr>
        <w:snapToGrid w:val="0"/>
        <w:spacing w:before="140" w:after="14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Норми </w:t>
      </w:r>
      <w:r w:rsidR="007D0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роекту Закону кореспондуються</w:t>
      </w:r>
      <w:r w:rsidR="001D76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r w:rsidR="001D76B2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положенням </w:t>
      </w:r>
      <w:r w:rsidR="00356995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Директиви 2013/36/ЄС</w:t>
      </w:r>
      <w:r w:rsid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метою якої є </w:t>
      </w:r>
      <w:r w:rsidR="00B6384B" w:rsidRP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запровадження правил щодо доступу до діяльності установ та </w:t>
      </w:r>
      <w:proofErr w:type="spellStart"/>
      <w:r w:rsidR="00B6384B" w:rsidRP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пруденційного</w:t>
      </w:r>
      <w:proofErr w:type="spellEnd"/>
      <w:r w:rsidR="00B6384B" w:rsidRP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нагляду за установами,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6995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Регламенту  575/2013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частині нагляду за діяльністю фінансових установ</w:t>
      </w:r>
      <w:r w:rsidR="00312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</w:t>
      </w:r>
      <w:r w:rsidR="001D76B2"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пункту (b) статті 65 Договору про функціонування Європейськ</w:t>
      </w:r>
      <w:r w:rsidR="001D76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Союзу (OJ C83/1, 30.3.2010), 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щодо права </w:t>
      </w:r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вживати всіх заходів, необхідних для запобігання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порушенню національних законів </w:t>
      </w:r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підзаконних актів, зокрема в сфері оподаткування та </w:t>
      </w:r>
      <w:proofErr w:type="spellStart"/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пруденційного</w:t>
      </w:r>
      <w:proofErr w:type="spellEnd"/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нагляду за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фінансовими установами, встанов</w:t>
      </w:r>
      <w:r w:rsid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лювати</w:t>
      </w:r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процедури </w:t>
      </w:r>
      <w:r w:rsidR="00B638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статистичної інформації</w:t>
      </w:r>
      <w:r w:rsidR="00356995" w:rsidRPr="00356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D76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84676" w:rsidRDefault="00F84676" w:rsidP="00F84676">
      <w:pPr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Додатково необхідно зазначити, що в</w:t>
      </w:r>
      <w:r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Україні </w:t>
      </w:r>
      <w:r w:rsidRPr="00BA3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загальні правові засади у сфері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створення та </w:t>
      </w:r>
      <w:r w:rsidRPr="00221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функціонування фінансових установ,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A3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надання фінансових послуг, здійснення регулятивних та наглядових функцій за діяльні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стю з надання фінансових послуг визначаються</w:t>
      </w:r>
      <w:r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 w:rsidR="00312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України "Про фінансові послуги та </w:t>
      </w:r>
      <w:r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державне регулювання ринків фінансових послуг"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12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Цим </w:t>
      </w:r>
      <w:r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 передбачено, що провайдер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фінансових послуг</w:t>
      </w:r>
      <w:r w:rsidRPr="00995F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регулюється Національною комісією, що здійснює державне регулювання у сфері ринків фінансових послуг, яка відповідає і за регулювання, і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 за діяльністю на ринку, що також відповідає кращим міжнародним практикам.</w:t>
      </w:r>
    </w:p>
    <w:p w:rsidR="00F84676" w:rsidRDefault="00F84676" w:rsidP="00045A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2CFB" w:rsidRPr="00436F99" w:rsidRDefault="008D4F02" w:rsidP="00045A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974">
        <w:rPr>
          <w:rFonts w:ascii="Times New Roman" w:hAnsi="Times New Roman" w:cs="Times New Roman"/>
          <w:sz w:val="28"/>
          <w:szCs w:val="28"/>
        </w:rPr>
        <w:t>З огляду на зазначене</w:t>
      </w:r>
      <w:r w:rsidR="00285458">
        <w:rPr>
          <w:rFonts w:ascii="Times New Roman" w:hAnsi="Times New Roman" w:cs="Times New Roman"/>
          <w:sz w:val="28"/>
          <w:szCs w:val="28"/>
        </w:rPr>
        <w:t>,</w:t>
      </w:r>
      <w:r w:rsidRPr="008A5974">
        <w:rPr>
          <w:rFonts w:ascii="Times New Roman" w:hAnsi="Times New Roman" w:cs="Times New Roman"/>
          <w:sz w:val="28"/>
          <w:szCs w:val="28"/>
        </w:rPr>
        <w:t xml:space="preserve"> проект Закону </w:t>
      </w:r>
      <w:r w:rsidR="00B31C5C" w:rsidRPr="006D7C09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="00B31C5C" w:rsidRPr="00B31C5C">
        <w:rPr>
          <w:rFonts w:ascii="Times New Roman" w:hAnsi="Times New Roman" w:cs="Times New Roman"/>
          <w:sz w:val="28"/>
          <w:szCs w:val="28"/>
        </w:rPr>
        <w:t xml:space="preserve"> </w:t>
      </w:r>
      <w:r w:rsidR="006D7C09">
        <w:rPr>
          <w:rFonts w:ascii="Times New Roman" w:hAnsi="Times New Roman" w:cs="Times New Roman"/>
          <w:sz w:val="28"/>
          <w:szCs w:val="28"/>
        </w:rPr>
        <w:t>міжнародно-правовим зобов’язанням України в сфері європейської</w:t>
      </w:r>
      <w:r w:rsidR="003417C7">
        <w:rPr>
          <w:rFonts w:ascii="Times New Roman" w:hAnsi="Times New Roman" w:cs="Times New Roman"/>
          <w:sz w:val="28"/>
          <w:szCs w:val="28"/>
        </w:rPr>
        <w:t xml:space="preserve"> інтеграції</w:t>
      </w:r>
      <w:r w:rsidR="00436F99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r w:rsidR="00436F99" w:rsidRPr="004C2B83">
        <w:rPr>
          <w:rFonts w:ascii="Times New Roman" w:hAnsi="Times New Roman" w:cs="Times New Roman"/>
          <w:b/>
          <w:sz w:val="28"/>
          <w:szCs w:val="28"/>
        </w:rPr>
        <w:t>в той же час потребує експертного висновку Антимонопольного комітету України</w:t>
      </w:r>
      <w:r w:rsidR="00436F99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436F99">
        <w:rPr>
          <w:rFonts w:ascii="Times New Roman" w:hAnsi="Times New Roman" w:cs="Times New Roman"/>
          <w:sz w:val="28"/>
          <w:szCs w:val="28"/>
        </w:rPr>
        <w:t>щодо схеми державної допомоги та впливу на ринок, у зв’язку з формуванням статутного капіталу Фонду</w:t>
      </w:r>
      <w:r w:rsidR="00436F99" w:rsidRPr="00436F99">
        <w:t xml:space="preserve"> </w:t>
      </w:r>
      <w:r w:rsidR="00436F99" w:rsidRPr="00436F99">
        <w:rPr>
          <w:rFonts w:ascii="Times New Roman" w:hAnsi="Times New Roman" w:cs="Times New Roman"/>
          <w:sz w:val="28"/>
          <w:szCs w:val="28"/>
        </w:rPr>
        <w:t>часткового гарантування кредитів у сільському господарстві</w:t>
      </w:r>
      <w:r w:rsidR="00436F99">
        <w:rPr>
          <w:rFonts w:ascii="Times New Roman" w:hAnsi="Times New Roman" w:cs="Times New Roman"/>
          <w:sz w:val="28"/>
          <w:szCs w:val="28"/>
        </w:rPr>
        <w:t xml:space="preserve"> за рахунок бюджетних коштів.</w:t>
      </w:r>
    </w:p>
    <w:p w:rsidR="00B75C66" w:rsidRPr="00BB6CF7" w:rsidRDefault="00B75C66" w:rsidP="008D4F02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8"/>
        </w:rPr>
      </w:pPr>
    </w:p>
    <w:sectPr w:rsidR="00B75C66" w:rsidRPr="00BB6CF7" w:rsidSect="009B6357">
      <w:headerReference w:type="default" r:id="rId8"/>
      <w:headerReference w:type="first" r:id="rId9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763" w:rsidRDefault="00181763" w:rsidP="008A5974">
      <w:pPr>
        <w:spacing w:after="0" w:line="240" w:lineRule="auto"/>
      </w:pPr>
      <w:r>
        <w:separator/>
      </w:r>
    </w:p>
  </w:endnote>
  <w:endnote w:type="continuationSeparator" w:id="0">
    <w:p w:rsidR="00181763" w:rsidRDefault="00181763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763" w:rsidRDefault="00181763" w:rsidP="008A5974">
      <w:pPr>
        <w:spacing w:after="0" w:line="240" w:lineRule="auto"/>
      </w:pPr>
      <w:r>
        <w:separator/>
      </w:r>
    </w:p>
  </w:footnote>
  <w:footnote w:type="continuationSeparator" w:id="0">
    <w:p w:rsidR="00181763" w:rsidRDefault="00181763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B83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4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350A4"/>
    <w:rsid w:val="000404FC"/>
    <w:rsid w:val="00042672"/>
    <w:rsid w:val="00045A57"/>
    <w:rsid w:val="00090188"/>
    <w:rsid w:val="0009456C"/>
    <w:rsid w:val="000C2FCA"/>
    <w:rsid w:val="00105F68"/>
    <w:rsid w:val="0011284D"/>
    <w:rsid w:val="0012685C"/>
    <w:rsid w:val="001420B5"/>
    <w:rsid w:val="00165313"/>
    <w:rsid w:val="00181763"/>
    <w:rsid w:val="00186931"/>
    <w:rsid w:val="00196CBA"/>
    <w:rsid w:val="001B1E02"/>
    <w:rsid w:val="001C7070"/>
    <w:rsid w:val="001D201A"/>
    <w:rsid w:val="001D76B2"/>
    <w:rsid w:val="001E5D0B"/>
    <w:rsid w:val="001F6E5A"/>
    <w:rsid w:val="0022520C"/>
    <w:rsid w:val="00285458"/>
    <w:rsid w:val="00293717"/>
    <w:rsid w:val="00293F12"/>
    <w:rsid w:val="0029766D"/>
    <w:rsid w:val="002A6059"/>
    <w:rsid w:val="002B446C"/>
    <w:rsid w:val="003126AB"/>
    <w:rsid w:val="00325678"/>
    <w:rsid w:val="003417C7"/>
    <w:rsid w:val="00356995"/>
    <w:rsid w:val="00384409"/>
    <w:rsid w:val="003D5517"/>
    <w:rsid w:val="00402CFB"/>
    <w:rsid w:val="00410F0A"/>
    <w:rsid w:val="00416D33"/>
    <w:rsid w:val="00433932"/>
    <w:rsid w:val="00436F99"/>
    <w:rsid w:val="00451257"/>
    <w:rsid w:val="00490B8F"/>
    <w:rsid w:val="00494C5F"/>
    <w:rsid w:val="00496036"/>
    <w:rsid w:val="004A0A08"/>
    <w:rsid w:val="004A41FC"/>
    <w:rsid w:val="004B1B79"/>
    <w:rsid w:val="004C2B83"/>
    <w:rsid w:val="004D01D8"/>
    <w:rsid w:val="004E0F28"/>
    <w:rsid w:val="004F5AE0"/>
    <w:rsid w:val="00511ADD"/>
    <w:rsid w:val="005438EA"/>
    <w:rsid w:val="00554E16"/>
    <w:rsid w:val="00567F82"/>
    <w:rsid w:val="00570D77"/>
    <w:rsid w:val="0057278A"/>
    <w:rsid w:val="005B2BAB"/>
    <w:rsid w:val="005D27FB"/>
    <w:rsid w:val="005D2EE4"/>
    <w:rsid w:val="00653AA5"/>
    <w:rsid w:val="0069769A"/>
    <w:rsid w:val="006C2167"/>
    <w:rsid w:val="006C2B2F"/>
    <w:rsid w:val="006C4225"/>
    <w:rsid w:val="006D7C09"/>
    <w:rsid w:val="006F7145"/>
    <w:rsid w:val="007049A1"/>
    <w:rsid w:val="007228F7"/>
    <w:rsid w:val="00734ED3"/>
    <w:rsid w:val="007358FA"/>
    <w:rsid w:val="00764E7A"/>
    <w:rsid w:val="00771477"/>
    <w:rsid w:val="00796CB2"/>
    <w:rsid w:val="007A3A08"/>
    <w:rsid w:val="007B14F8"/>
    <w:rsid w:val="007D00D9"/>
    <w:rsid w:val="00814D5E"/>
    <w:rsid w:val="00853550"/>
    <w:rsid w:val="0085361C"/>
    <w:rsid w:val="008752B8"/>
    <w:rsid w:val="008814BE"/>
    <w:rsid w:val="008827CB"/>
    <w:rsid w:val="00896EBE"/>
    <w:rsid w:val="008A5974"/>
    <w:rsid w:val="008B0FBE"/>
    <w:rsid w:val="008B4546"/>
    <w:rsid w:val="008D4F02"/>
    <w:rsid w:val="008D72CA"/>
    <w:rsid w:val="00911615"/>
    <w:rsid w:val="00920C62"/>
    <w:rsid w:val="00924188"/>
    <w:rsid w:val="0098362C"/>
    <w:rsid w:val="009852A5"/>
    <w:rsid w:val="00995F48"/>
    <w:rsid w:val="009B6357"/>
    <w:rsid w:val="009C7921"/>
    <w:rsid w:val="00A16A98"/>
    <w:rsid w:val="00A45BEF"/>
    <w:rsid w:val="00A524E0"/>
    <w:rsid w:val="00A95F1F"/>
    <w:rsid w:val="00AA6462"/>
    <w:rsid w:val="00AC0198"/>
    <w:rsid w:val="00AF565B"/>
    <w:rsid w:val="00B23919"/>
    <w:rsid w:val="00B31C5C"/>
    <w:rsid w:val="00B46A8D"/>
    <w:rsid w:val="00B535F9"/>
    <w:rsid w:val="00B633F7"/>
    <w:rsid w:val="00B6384B"/>
    <w:rsid w:val="00B71F50"/>
    <w:rsid w:val="00B75C66"/>
    <w:rsid w:val="00B86E61"/>
    <w:rsid w:val="00B87CF7"/>
    <w:rsid w:val="00B91FE6"/>
    <w:rsid w:val="00B96D39"/>
    <w:rsid w:val="00BA388A"/>
    <w:rsid w:val="00BB6CF7"/>
    <w:rsid w:val="00BC6A15"/>
    <w:rsid w:val="00BD5E97"/>
    <w:rsid w:val="00BE78E2"/>
    <w:rsid w:val="00C02AD1"/>
    <w:rsid w:val="00C102E5"/>
    <w:rsid w:val="00C7589D"/>
    <w:rsid w:val="00C932C3"/>
    <w:rsid w:val="00CA56D2"/>
    <w:rsid w:val="00D11F8F"/>
    <w:rsid w:val="00D22764"/>
    <w:rsid w:val="00D4227F"/>
    <w:rsid w:val="00D74E14"/>
    <w:rsid w:val="00D862AD"/>
    <w:rsid w:val="00DC01DB"/>
    <w:rsid w:val="00DC0698"/>
    <w:rsid w:val="00DC3562"/>
    <w:rsid w:val="00DE468F"/>
    <w:rsid w:val="00E11FF0"/>
    <w:rsid w:val="00E263CB"/>
    <w:rsid w:val="00E354E4"/>
    <w:rsid w:val="00E60689"/>
    <w:rsid w:val="00E96506"/>
    <w:rsid w:val="00EB020E"/>
    <w:rsid w:val="00F076B3"/>
    <w:rsid w:val="00F13D03"/>
    <w:rsid w:val="00F25E85"/>
    <w:rsid w:val="00F65A2E"/>
    <w:rsid w:val="00F676FD"/>
    <w:rsid w:val="00F7069D"/>
    <w:rsid w:val="00F7668B"/>
    <w:rsid w:val="00F84676"/>
    <w:rsid w:val="00F90955"/>
    <w:rsid w:val="00F94EBE"/>
    <w:rsid w:val="00FD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B092A-D071-4D81-9992-49A7CCAA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1238</TotalTime>
  <Pages>3</Pages>
  <Words>3799</Words>
  <Characters>2166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52</cp:revision>
  <cp:lastPrinted>2020-03-23T07:24:00Z</cp:lastPrinted>
  <dcterms:created xsi:type="dcterms:W3CDTF">2020-03-23T08:04:00Z</dcterms:created>
  <dcterms:modified xsi:type="dcterms:W3CDTF">2020-04-14T11:21:00Z</dcterms:modified>
</cp:coreProperties>
</file>