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F48" w:rsidRPr="008E4A23" w:rsidRDefault="00C70F48" w:rsidP="00285454">
      <w:pPr>
        <w:ind w:firstLine="567"/>
        <w:jc w:val="right"/>
        <w:rPr>
          <w:color w:val="000000"/>
          <w:sz w:val="28"/>
          <w:szCs w:val="28"/>
        </w:rPr>
      </w:pPr>
    </w:p>
    <w:p w:rsidR="00C70F48" w:rsidRPr="008E4A23" w:rsidRDefault="00C70F48" w:rsidP="00285454">
      <w:pPr>
        <w:ind w:firstLine="567"/>
        <w:jc w:val="both"/>
        <w:rPr>
          <w:color w:val="000000"/>
          <w:sz w:val="28"/>
          <w:szCs w:val="28"/>
        </w:rPr>
      </w:pPr>
    </w:p>
    <w:p w:rsidR="00C70F48" w:rsidRPr="008E4A23" w:rsidRDefault="00C70F48" w:rsidP="00285454">
      <w:pPr>
        <w:ind w:firstLine="567"/>
        <w:jc w:val="right"/>
        <w:rPr>
          <w:color w:val="000000"/>
          <w:sz w:val="28"/>
          <w:szCs w:val="28"/>
        </w:rPr>
      </w:pPr>
    </w:p>
    <w:p w:rsidR="00C70F48" w:rsidRPr="008E4A23" w:rsidRDefault="00C70F48" w:rsidP="00285454">
      <w:pPr>
        <w:ind w:firstLine="567"/>
        <w:jc w:val="right"/>
        <w:rPr>
          <w:color w:val="000000"/>
          <w:sz w:val="28"/>
          <w:szCs w:val="28"/>
        </w:rPr>
      </w:pPr>
    </w:p>
    <w:p w:rsidR="00C70F48" w:rsidRPr="008E4A23" w:rsidRDefault="00C70F48" w:rsidP="00285454">
      <w:pPr>
        <w:ind w:firstLine="567"/>
        <w:jc w:val="right"/>
        <w:rPr>
          <w:color w:val="000000"/>
          <w:sz w:val="28"/>
          <w:szCs w:val="28"/>
        </w:rPr>
      </w:pPr>
    </w:p>
    <w:p w:rsidR="00C70F48" w:rsidRPr="008E4A23" w:rsidRDefault="00C70F48" w:rsidP="00285454">
      <w:pPr>
        <w:ind w:firstLine="567"/>
        <w:jc w:val="right"/>
        <w:rPr>
          <w:color w:val="000000"/>
          <w:sz w:val="28"/>
          <w:szCs w:val="28"/>
        </w:rPr>
      </w:pPr>
    </w:p>
    <w:p w:rsidR="00C70F48" w:rsidRPr="008E4A23" w:rsidRDefault="00C70F48" w:rsidP="00285454">
      <w:pPr>
        <w:jc w:val="center"/>
        <w:rPr>
          <w:color w:val="000000"/>
          <w:sz w:val="28"/>
          <w:szCs w:val="28"/>
        </w:rPr>
      </w:pPr>
      <w:r w:rsidRPr="008E4A23">
        <w:rPr>
          <w:b/>
          <w:color w:val="000000"/>
          <w:sz w:val="28"/>
          <w:szCs w:val="28"/>
        </w:rPr>
        <w:t>ВИСНОВОК</w:t>
      </w:r>
    </w:p>
    <w:p w:rsidR="00C70F48" w:rsidRPr="008E4A23" w:rsidRDefault="00C70F48" w:rsidP="00285454">
      <w:pPr>
        <w:widowControl w:val="0"/>
        <w:jc w:val="center"/>
        <w:rPr>
          <w:color w:val="000000"/>
          <w:sz w:val="28"/>
          <w:szCs w:val="28"/>
        </w:rPr>
      </w:pPr>
      <w:r w:rsidRPr="008E4A23">
        <w:rPr>
          <w:b/>
          <w:color w:val="000000"/>
          <w:sz w:val="28"/>
          <w:szCs w:val="28"/>
        </w:rPr>
        <w:t xml:space="preserve">на проект Закону України «Про Фонд часткового гарантування </w:t>
      </w:r>
      <w:r w:rsidRPr="008E4A23">
        <w:rPr>
          <w:b/>
          <w:color w:val="000000"/>
          <w:sz w:val="28"/>
          <w:szCs w:val="28"/>
        </w:rPr>
        <w:br/>
        <w:t>кредитів у сільському господарстві»</w:t>
      </w:r>
      <w:r w:rsidRPr="008E4A23">
        <w:rPr>
          <w:b/>
          <w:color w:val="000000"/>
          <w:sz w:val="28"/>
          <w:szCs w:val="28"/>
        </w:rPr>
        <w:br/>
      </w:r>
    </w:p>
    <w:p w:rsidR="00C70F48" w:rsidRPr="008E4A23" w:rsidRDefault="00C70F48" w:rsidP="00285454">
      <w:pPr>
        <w:ind w:firstLine="709"/>
        <w:jc w:val="both"/>
        <w:rPr>
          <w:color w:val="000000"/>
          <w:sz w:val="28"/>
          <w:szCs w:val="28"/>
        </w:rPr>
      </w:pPr>
      <w:r w:rsidRPr="008E4A23">
        <w:rPr>
          <w:color w:val="000000"/>
          <w:sz w:val="28"/>
          <w:szCs w:val="28"/>
        </w:rPr>
        <w:t>Згідно з преамбулою законопроекту «цей Закон визначає особливості утворення та діяльності Фонду часткового гарантування кредитів у сільському господарстві (далі – Фонд), встановлює порядок визначення критеріїв щодо суб’єктів підприємництва та фінансових установ, зобов’язання за кредитними договорами між якими можуть гарантуватися Фондом часткового гарантування кредитів у сільському господарстві». Крім цього, у проекті передбачається внесення змін до законів України «Про управління об’єктами державної власності» та «Про державну підтримку сільського господарства України», які випливають зі змісту проекту.</w:t>
      </w:r>
    </w:p>
    <w:p w:rsidR="00C70F48" w:rsidRPr="008E4A23" w:rsidRDefault="00C70F48" w:rsidP="00285454">
      <w:pPr>
        <w:ind w:firstLine="709"/>
        <w:jc w:val="both"/>
        <w:rPr>
          <w:color w:val="000000"/>
          <w:sz w:val="28"/>
          <w:szCs w:val="28"/>
        </w:rPr>
      </w:pPr>
      <w:r w:rsidRPr="008E4A23">
        <w:rPr>
          <w:color w:val="000000"/>
          <w:sz w:val="28"/>
          <w:szCs w:val="28"/>
        </w:rPr>
        <w:t>Реалізація положень законопроекту, як зазначається у пояснювальній записці до нього (п. 6), «покращить доступ малих та середніх суб’єктів господарювання, що здійснюють первинне виробництво сільськогосподарської продукції до кредитних ресурсів, дозволить збільшити обсяг інвестицій в аграрний сектор економіки, підвищить конкурентоспроможність сільськогосподарської продукції та її якість», що є актуальним для стабільного функціонування ринку землі.</w:t>
      </w:r>
    </w:p>
    <w:p w:rsidR="001475AE" w:rsidRPr="00D5037D" w:rsidRDefault="00C70F48" w:rsidP="001475AE">
      <w:pPr>
        <w:ind w:firstLine="709"/>
        <w:jc w:val="both"/>
        <w:rPr>
          <w:color w:val="000000"/>
          <w:sz w:val="28"/>
          <w:szCs w:val="28"/>
        </w:rPr>
      </w:pPr>
      <w:r w:rsidRPr="00DC184B">
        <w:rPr>
          <w:color w:val="000000"/>
          <w:sz w:val="28"/>
          <w:szCs w:val="28"/>
        </w:rPr>
        <w:t>Необхідність вжиття заходів щодо запровадження механізмів державної підтримки підвищення фінансової спроможності фермерів та малих сільськогосподарських виробників, зокрема, через механізм гарантування кредитів, передбачена в Указі Президента України від 8 листопада 2019 року № 837 «Про невідкладні заходи з проведення реформ та зміцнення держави».</w:t>
      </w:r>
    </w:p>
    <w:p w:rsidR="001475AE" w:rsidRPr="00D5037D" w:rsidRDefault="001475AE" w:rsidP="001475AE">
      <w:pPr>
        <w:ind w:firstLine="709"/>
        <w:jc w:val="both"/>
        <w:rPr>
          <w:color w:val="000000"/>
          <w:sz w:val="28"/>
          <w:szCs w:val="28"/>
          <w:lang w:val="ru-RU"/>
        </w:rPr>
      </w:pPr>
      <w:r w:rsidRPr="001475AE">
        <w:rPr>
          <w:color w:val="000000"/>
          <w:sz w:val="28"/>
          <w:szCs w:val="28"/>
        </w:rPr>
        <w:t>Головне управління, в цілому визнаючи актуальність питання запровадження відповідного механізму державної підтримки, одночасно вважає доцільним зауважити наступне.</w:t>
      </w:r>
    </w:p>
    <w:p w:rsidR="00C70F48" w:rsidRPr="008E4A23" w:rsidRDefault="00C70F48" w:rsidP="00285454">
      <w:pPr>
        <w:ind w:firstLine="709"/>
        <w:jc w:val="both"/>
        <w:rPr>
          <w:color w:val="000000"/>
          <w:sz w:val="28"/>
          <w:szCs w:val="28"/>
        </w:rPr>
      </w:pPr>
      <w:r w:rsidRPr="008E4A23">
        <w:rPr>
          <w:b/>
          <w:color w:val="000000"/>
          <w:sz w:val="28"/>
          <w:szCs w:val="28"/>
        </w:rPr>
        <w:t>1.</w:t>
      </w:r>
      <w:r w:rsidRPr="008E4A23">
        <w:rPr>
          <w:color w:val="000000"/>
          <w:sz w:val="28"/>
          <w:szCs w:val="28"/>
        </w:rPr>
        <w:t xml:space="preserve"> Слід звернути увагу, що значна кількість важливих питань діяльності Фонду у проекті не визначена належним чином, що може негативно відобразитися на його діяльності, а також створює корупційні ризики, ризики нецільового використання його коштів та ризики іншого характеру.</w:t>
      </w:r>
    </w:p>
    <w:p w:rsidR="00C70F48" w:rsidRPr="008E4A23" w:rsidRDefault="00C70F48" w:rsidP="008E4A23">
      <w:pPr>
        <w:ind w:firstLine="709"/>
        <w:jc w:val="both"/>
        <w:rPr>
          <w:color w:val="000000"/>
          <w:sz w:val="28"/>
          <w:szCs w:val="28"/>
          <w:lang w:val="ru-RU"/>
        </w:rPr>
      </w:pPr>
      <w:r w:rsidRPr="008E4A23">
        <w:rPr>
          <w:color w:val="000000"/>
          <w:sz w:val="28"/>
          <w:szCs w:val="28"/>
        </w:rPr>
        <w:t xml:space="preserve">1.1. Основною ідеєю законопроекту є створення Фонду як спеціалізованої небанківської фінансової установи, яка виконує функції забезпечення підтримки малих і середніх суб’єктів підприємництва, що провадять діяльність у сільському господарстві, у власності та/або </w:t>
      </w:r>
      <w:r w:rsidRPr="008E4A23">
        <w:rPr>
          <w:color w:val="000000"/>
          <w:sz w:val="28"/>
          <w:szCs w:val="28"/>
        </w:rPr>
        <w:lastRenderedPageBreak/>
        <w:t xml:space="preserve">користуванні яких перебувають землі сільськогосподарського призначення у обсягах, що не перевищують 500 гектарів, шляхом часткового гарантування виконання зобов’язань таких суб’єктів за кредитними договорами </w:t>
      </w:r>
      <w:r w:rsidRPr="008E4A23">
        <w:rPr>
          <w:color w:val="000000"/>
          <w:sz w:val="28"/>
          <w:szCs w:val="28"/>
        </w:rPr>
        <w:br/>
        <w:t>(ч. 1 ст. 1</w:t>
      </w:r>
      <w:r w:rsidRPr="00C251E5">
        <w:rPr>
          <w:color w:val="000000"/>
          <w:sz w:val="28"/>
          <w:szCs w:val="28"/>
        </w:rPr>
        <w:t>, ч. 1 ст. 14 проекту). При цьому, Фонд створюється державою в особі Кабінету Міністрів України</w:t>
      </w:r>
      <w:r w:rsidRPr="008E4A23">
        <w:rPr>
          <w:color w:val="000000"/>
          <w:sz w:val="28"/>
          <w:szCs w:val="28"/>
        </w:rPr>
        <w:t xml:space="preserve"> (ч. 2 </w:t>
      </w:r>
      <w:r>
        <w:rPr>
          <w:color w:val="000000"/>
          <w:sz w:val="28"/>
          <w:szCs w:val="28"/>
          <w:lang w:val="ru-RU"/>
        </w:rPr>
        <w:t>ст. 1 проекту</w:t>
      </w:r>
      <w:r w:rsidRPr="008E4A23">
        <w:rPr>
          <w:color w:val="000000"/>
          <w:sz w:val="28"/>
          <w:szCs w:val="28"/>
        </w:rPr>
        <w:t>), а його учасниками можуть бути держава та юридичні особи (ч. 3 ст. 1 проекту), порядок вступу (виходу) яких до Фонду визначатиметься у Статуті Фонду (ч. 3 ст. 3 проекту).</w:t>
      </w:r>
    </w:p>
    <w:p w:rsidR="00C70F48" w:rsidRPr="008E4A23" w:rsidRDefault="00C70F48" w:rsidP="00285454">
      <w:pPr>
        <w:pStyle w:val="3"/>
        <w:spacing w:before="0" w:after="0"/>
        <w:ind w:firstLine="700"/>
        <w:jc w:val="both"/>
        <w:rPr>
          <w:lang w:eastAsia="en-US"/>
        </w:rPr>
      </w:pPr>
      <w:r w:rsidRPr="008E4A23">
        <w:rPr>
          <w:b w:val="0"/>
          <w:bCs/>
          <w:color w:val="000000"/>
        </w:rPr>
        <w:t xml:space="preserve">Проте у проекті не </w:t>
      </w:r>
      <w:r w:rsidRPr="008E4A23">
        <w:rPr>
          <w:b w:val="0"/>
          <w:bCs/>
          <w:i/>
          <w:iCs/>
          <w:color w:val="000000"/>
        </w:rPr>
        <w:t>визначена організаційно-правова форма Фонду як юридичної особи</w:t>
      </w:r>
      <w:r w:rsidRPr="008E4A23">
        <w:rPr>
          <w:b w:val="0"/>
          <w:bCs/>
          <w:color w:val="000000"/>
        </w:rPr>
        <w:t xml:space="preserve"> (акціонерне товариство, товариство з обмеженою відповідальністю, державна установа тощо), без чого неможливо вирішити принципові питання його діяльності. Зокрема, такі як: порядок формування статутного капіталу Фонду, порядок його збільшення та зменшення; порядок скликання, компетенція та порядок прийняття органами управління Фонду рішень, які у різних видах організаційно-правових форм юридичних осіб вирішуються по-різному.</w:t>
      </w:r>
    </w:p>
    <w:p w:rsidR="00C70F48" w:rsidRPr="008E4A23" w:rsidRDefault="00C70F48" w:rsidP="00285454">
      <w:pPr>
        <w:pStyle w:val="3"/>
        <w:spacing w:before="0" w:after="0"/>
        <w:ind w:firstLine="700"/>
        <w:jc w:val="both"/>
      </w:pPr>
      <w:r w:rsidRPr="008E4A23">
        <w:rPr>
          <w:b w:val="0"/>
          <w:bCs/>
          <w:color w:val="000000"/>
        </w:rPr>
        <w:t xml:space="preserve">Зазначимо, що від організаційно-правової форми Фонду залежить і визначення підстав участі у Фонді юридичних осіб, оскільки їх вступ та вихід з Фонду можливий лише у разі утворення Фонду у вигляді одного з таких господарських </w:t>
      </w:r>
      <w:r w:rsidRPr="00C251E5">
        <w:rPr>
          <w:b w:val="0"/>
          <w:bCs/>
          <w:color w:val="000000"/>
        </w:rPr>
        <w:t>товариств: товариства з обмеженою відповідальністю, товариства з додатковою відповідальністю, повного товариства, командитного товариства.</w:t>
      </w:r>
    </w:p>
    <w:p w:rsidR="00C70F48" w:rsidRPr="008E4A23" w:rsidRDefault="00C70F48" w:rsidP="00285454">
      <w:pPr>
        <w:ind w:firstLine="709"/>
        <w:jc w:val="both"/>
        <w:rPr>
          <w:color w:val="000000"/>
          <w:sz w:val="28"/>
          <w:szCs w:val="28"/>
        </w:rPr>
      </w:pPr>
      <w:r w:rsidRPr="008E4A23">
        <w:rPr>
          <w:color w:val="000000"/>
          <w:sz w:val="28"/>
          <w:szCs w:val="28"/>
        </w:rPr>
        <w:t>Виходячи з цього, вважаємо, що організаційно-правова форма Фонду має бути визначена безпосередньо у проекті.</w:t>
      </w:r>
    </w:p>
    <w:p w:rsidR="00C70F48" w:rsidRPr="008E4A23" w:rsidRDefault="00C70F48" w:rsidP="00285454">
      <w:pPr>
        <w:ind w:firstLine="700"/>
        <w:jc w:val="both"/>
        <w:rPr>
          <w:sz w:val="24"/>
          <w:szCs w:val="24"/>
          <w:lang w:eastAsia="en-US"/>
        </w:rPr>
      </w:pPr>
      <w:r w:rsidRPr="008E4A23">
        <w:rPr>
          <w:bCs/>
          <w:color w:val="000000"/>
          <w:sz w:val="28"/>
          <w:szCs w:val="28"/>
          <w:lang w:eastAsia="en-US"/>
        </w:rPr>
        <w:t xml:space="preserve">1.2. У ч. 3 ст. 1 проекту зазначається, що учасниками Фонду можуть бути держава та юридичні особи. Проте у проекті не визначені критерії, на підставі яких юридичні особи можуть стати учасниками Фонду та порядок їх відбору. Вважаємо, що це створює, зокрема, як корупційні ризики, так і </w:t>
      </w:r>
      <w:r w:rsidRPr="008E4A23">
        <w:rPr>
          <w:bCs/>
          <w:i/>
          <w:iCs/>
          <w:color w:val="000000"/>
          <w:sz w:val="28"/>
          <w:szCs w:val="28"/>
          <w:lang w:eastAsia="en-US"/>
        </w:rPr>
        <w:t>загрозу національній безпеці України</w:t>
      </w:r>
      <w:r w:rsidRPr="008E4A23">
        <w:rPr>
          <w:bCs/>
          <w:color w:val="000000"/>
          <w:sz w:val="28"/>
          <w:szCs w:val="28"/>
          <w:lang w:eastAsia="en-US"/>
        </w:rPr>
        <w:t>, оскільки у проекті, наприклад, не передбачена заборона участі у Фонді юридичних осіб, в яких є частка держави, визнаної Верховною Радою України державою-агресором або</w:t>
      </w:r>
      <w:r w:rsidRPr="008E4A23">
        <w:rPr>
          <w:bCs/>
          <w:color w:val="000000"/>
          <w:sz w:val="28"/>
          <w:szCs w:val="28"/>
          <w:shd w:val="clear" w:color="auto" w:fill="FFFFFF"/>
          <w:lang w:eastAsia="en-US"/>
        </w:rPr>
        <w:t xml:space="preserve"> осіб, які перебувають під контролем таких юридичних осіб.</w:t>
      </w:r>
    </w:p>
    <w:p w:rsidR="00C70F48" w:rsidRPr="008E4A23" w:rsidRDefault="00C70F48" w:rsidP="00285454">
      <w:pPr>
        <w:ind w:firstLine="700"/>
        <w:jc w:val="both"/>
        <w:rPr>
          <w:sz w:val="24"/>
          <w:szCs w:val="24"/>
          <w:lang w:eastAsia="en-US"/>
        </w:rPr>
      </w:pPr>
      <w:r w:rsidRPr="008E4A23">
        <w:rPr>
          <w:bCs/>
          <w:color w:val="000000"/>
          <w:sz w:val="28"/>
          <w:szCs w:val="28"/>
          <w:shd w:val="clear" w:color="auto" w:fill="FFFFFF"/>
          <w:lang w:eastAsia="en-US"/>
        </w:rPr>
        <w:t xml:space="preserve">Слід вказати також, що включення до Фонду недержавних юридичних осіб не узгоджується з визнанням діяльності Фонду формою державної підтримки сільського господарства у запропонованих у проекті змінах до Закону України </w:t>
      </w:r>
      <w:r w:rsidRPr="008E4A23">
        <w:rPr>
          <w:bCs/>
          <w:color w:val="000000"/>
          <w:sz w:val="28"/>
          <w:szCs w:val="28"/>
          <w:lang w:eastAsia="en-US"/>
        </w:rPr>
        <w:t>«Про державну підтримку сільського господарства України».</w:t>
      </w:r>
    </w:p>
    <w:p w:rsidR="00C70F48" w:rsidRPr="008E4A23" w:rsidRDefault="00C70F48" w:rsidP="00285454">
      <w:pPr>
        <w:ind w:firstLine="700"/>
        <w:jc w:val="both"/>
        <w:rPr>
          <w:sz w:val="24"/>
          <w:szCs w:val="24"/>
          <w:lang w:eastAsia="en-US"/>
        </w:rPr>
      </w:pPr>
      <w:r w:rsidRPr="008E4A23">
        <w:rPr>
          <w:bCs/>
          <w:color w:val="000000"/>
          <w:sz w:val="28"/>
          <w:szCs w:val="28"/>
          <w:lang w:eastAsia="en-US"/>
        </w:rPr>
        <w:t xml:space="preserve">1.3. У проекті чітко не визначений розмір частки статутного капіталу, який держава зберігає за собою у статутному капіталі Фонду, що може призвести до втрати державного контролю за його діяльністю. </w:t>
      </w:r>
    </w:p>
    <w:p w:rsidR="00C70F48" w:rsidRPr="008E4A23" w:rsidRDefault="00C70F48" w:rsidP="00285454">
      <w:pPr>
        <w:ind w:firstLine="700"/>
        <w:jc w:val="both"/>
        <w:rPr>
          <w:sz w:val="24"/>
          <w:szCs w:val="24"/>
          <w:lang w:eastAsia="en-US"/>
        </w:rPr>
      </w:pPr>
      <w:r w:rsidRPr="008E4A23">
        <w:rPr>
          <w:bCs/>
          <w:color w:val="000000"/>
          <w:sz w:val="28"/>
          <w:szCs w:val="28"/>
          <w:lang w:eastAsia="en-US"/>
        </w:rPr>
        <w:t xml:space="preserve">Слід також звернути увагу, що пропозиція ч. 2 ст. 4 проекту щодо визначення розміру статутного капіталу у статуті Фонду не узгоджується з ч. 1 ст. 9 Закону України «Про фінансові послуги та державне регулювання фінансових послуг», згідно з якою мінімальний розмір капіталу фінансових установ, необхідний для їх заснування, та загальні вимоги до регулятивного </w:t>
      </w:r>
      <w:r w:rsidRPr="008E4A23">
        <w:rPr>
          <w:bCs/>
          <w:color w:val="000000"/>
          <w:spacing w:val="-2"/>
          <w:sz w:val="28"/>
          <w:szCs w:val="28"/>
          <w:lang w:eastAsia="en-US"/>
        </w:rPr>
        <w:lastRenderedPageBreak/>
        <w:t>капіталу, необхідного для їх функціонування, визначаються законами України</w:t>
      </w:r>
      <w:r w:rsidRPr="008E4A23">
        <w:rPr>
          <w:bCs/>
          <w:color w:val="000000"/>
          <w:sz w:val="28"/>
          <w:szCs w:val="28"/>
          <w:lang w:eastAsia="en-US"/>
        </w:rPr>
        <w:t xml:space="preserve"> з питань регулювання окремих ринків фінансових послуг.</w:t>
      </w:r>
    </w:p>
    <w:p w:rsidR="00C70F48" w:rsidRPr="008E4A23" w:rsidRDefault="00C70F48" w:rsidP="00285454">
      <w:pPr>
        <w:ind w:firstLine="700"/>
        <w:jc w:val="both"/>
        <w:rPr>
          <w:sz w:val="24"/>
          <w:szCs w:val="24"/>
          <w:lang w:eastAsia="en-US"/>
        </w:rPr>
      </w:pPr>
      <w:r w:rsidRPr="008E4A23">
        <w:rPr>
          <w:bCs/>
          <w:color w:val="000000"/>
          <w:sz w:val="28"/>
          <w:szCs w:val="28"/>
          <w:lang w:eastAsia="en-US"/>
        </w:rPr>
        <w:t xml:space="preserve">1.4. Згідно з ч. 1 ст. 14 проекту право на часткове гарантування виконання зобов’язань за кредитними договорами мають малі та середні суб’єкти підприємництва, у власності та/або користуванні яких перебувають землі сільськогосподарського призначення у обсягах, що не перевищують </w:t>
      </w:r>
      <w:r w:rsidR="00AC6E4C">
        <w:rPr>
          <w:bCs/>
          <w:color w:val="000000"/>
          <w:sz w:val="28"/>
          <w:szCs w:val="28"/>
          <w:lang w:eastAsia="en-US"/>
        </w:rPr>
        <w:br/>
      </w:r>
      <w:r w:rsidRPr="008E4A23">
        <w:rPr>
          <w:bCs/>
          <w:color w:val="000000"/>
          <w:sz w:val="28"/>
          <w:szCs w:val="28"/>
          <w:lang w:eastAsia="en-US"/>
        </w:rPr>
        <w:t xml:space="preserve">500 гектарів. Проте у проекті відсутні </w:t>
      </w:r>
      <w:r w:rsidRPr="00C251E5">
        <w:rPr>
          <w:bCs/>
          <w:color w:val="000000"/>
          <w:sz w:val="28"/>
          <w:szCs w:val="28"/>
          <w:lang w:eastAsia="en-US"/>
        </w:rPr>
        <w:t>інші критерії визначення таких осіб, наприклад, не встановлені вимоги щодо їх засновників. Вважаємо, що це надасть великим агропідприємствам можливість створення низки дрібних підприємств у власності та/або користуванні яких перебувають землі сіль</w:t>
      </w:r>
      <w:r w:rsidR="00C251E5" w:rsidRPr="00C251E5">
        <w:rPr>
          <w:bCs/>
          <w:color w:val="000000"/>
          <w:sz w:val="28"/>
          <w:szCs w:val="28"/>
          <w:lang w:eastAsia="en-US"/>
        </w:rPr>
        <w:t>ськогосподарського призначення в</w:t>
      </w:r>
      <w:r w:rsidRPr="00C251E5">
        <w:rPr>
          <w:bCs/>
          <w:color w:val="000000"/>
          <w:sz w:val="28"/>
          <w:szCs w:val="28"/>
          <w:lang w:eastAsia="en-US"/>
        </w:rPr>
        <w:t xml:space="preserve"> обсягах до </w:t>
      </w:r>
      <w:smartTag w:uri="urn:schemas-microsoft-com:office:smarttags" w:element="metricconverter">
        <w:smartTagPr>
          <w:attr w:name="ProductID" w:val="500 га"/>
        </w:smartTagPr>
        <w:r w:rsidRPr="00C251E5">
          <w:rPr>
            <w:bCs/>
            <w:color w:val="000000"/>
            <w:sz w:val="28"/>
            <w:szCs w:val="28"/>
            <w:lang w:eastAsia="en-US"/>
          </w:rPr>
          <w:t>500 га</w:t>
        </w:r>
      </w:smartTag>
      <w:r w:rsidRPr="00C251E5">
        <w:rPr>
          <w:bCs/>
          <w:color w:val="000000"/>
          <w:sz w:val="28"/>
          <w:szCs w:val="28"/>
          <w:lang w:eastAsia="en-US"/>
        </w:rPr>
        <w:t>, які отримуватимуть гарантії Фонду. Внаслідок цього кінцевим бенефіціаром таких гарантій можуть стати не лише</w:t>
      </w:r>
      <w:r w:rsidRPr="00C251E5">
        <w:rPr>
          <w:bCs/>
          <w:i/>
          <w:iCs/>
          <w:color w:val="000000"/>
          <w:sz w:val="28"/>
          <w:szCs w:val="28"/>
          <w:lang w:eastAsia="en-US"/>
        </w:rPr>
        <w:t xml:space="preserve"> </w:t>
      </w:r>
      <w:r w:rsidRPr="00C251E5">
        <w:rPr>
          <w:bCs/>
          <w:i/>
          <w:iCs/>
          <w:color w:val="000000"/>
          <w:sz w:val="28"/>
          <w:szCs w:val="28"/>
          <w:u w:val="single"/>
          <w:lang w:eastAsia="en-US"/>
        </w:rPr>
        <w:t>дрібні та середні підприємства</w:t>
      </w:r>
      <w:r w:rsidRPr="008E4A23">
        <w:rPr>
          <w:bCs/>
          <w:i/>
          <w:iCs/>
          <w:color w:val="000000"/>
          <w:sz w:val="28"/>
          <w:szCs w:val="28"/>
          <w:u w:val="single"/>
          <w:lang w:eastAsia="en-US"/>
        </w:rPr>
        <w:t>, як задекларовано у законопроекті, а великі сільгоспвиробники.</w:t>
      </w:r>
    </w:p>
    <w:p w:rsidR="00C70F48" w:rsidRPr="008E4A23" w:rsidRDefault="00C70F48" w:rsidP="00285454">
      <w:pPr>
        <w:ind w:firstLine="700"/>
        <w:jc w:val="both"/>
        <w:rPr>
          <w:sz w:val="24"/>
          <w:szCs w:val="24"/>
          <w:lang w:eastAsia="en-US"/>
        </w:rPr>
      </w:pPr>
      <w:r w:rsidRPr="008E4A23">
        <w:rPr>
          <w:bCs/>
          <w:color w:val="000000"/>
          <w:sz w:val="28"/>
          <w:szCs w:val="28"/>
          <w:lang w:eastAsia="en-US"/>
        </w:rPr>
        <w:t xml:space="preserve">1.5. У проекті не передбачено вимог щодо цільового характеру кредитів, які гарантуються Фондом, що створює можливість використання їх для гарантування кредитів, взятих малими та середніми суб’єктами підприємництва, у власності та/або користуванні яких перебувають землі сільськогосподарського призначення, не лише для забезпечення сільськогосподарської діяльності, </w:t>
      </w:r>
      <w:r w:rsidRPr="008E4A23">
        <w:rPr>
          <w:bCs/>
          <w:i/>
          <w:iCs/>
          <w:color w:val="000000"/>
          <w:sz w:val="28"/>
          <w:szCs w:val="28"/>
          <w:lang w:eastAsia="en-US"/>
        </w:rPr>
        <w:t>а й на інші цілі</w:t>
      </w:r>
      <w:r w:rsidRPr="008E4A23">
        <w:rPr>
          <w:bCs/>
          <w:color w:val="000000"/>
          <w:sz w:val="28"/>
          <w:szCs w:val="28"/>
          <w:lang w:eastAsia="en-US"/>
        </w:rPr>
        <w:t>. Не визначені у проекті і загальні засади надання Фондом гарантій (наприклад, строк розгляду відповідної заявки)</w:t>
      </w:r>
      <w:r w:rsidR="00C251E5">
        <w:rPr>
          <w:bCs/>
          <w:color w:val="000000"/>
          <w:sz w:val="28"/>
          <w:szCs w:val="28"/>
          <w:lang w:eastAsia="en-US"/>
        </w:rPr>
        <w:t>,</w:t>
      </w:r>
      <w:r w:rsidRPr="008E4A23">
        <w:rPr>
          <w:bCs/>
          <w:color w:val="000000"/>
          <w:sz w:val="28"/>
          <w:szCs w:val="28"/>
          <w:lang w:eastAsia="en-US"/>
        </w:rPr>
        <w:t xml:space="preserve"> зокрема, лише зазначається, що </w:t>
      </w:r>
      <w:r w:rsidRPr="008E4A23">
        <w:rPr>
          <w:bCs/>
          <w:i/>
          <w:iCs/>
          <w:color w:val="000000"/>
          <w:sz w:val="28"/>
          <w:szCs w:val="28"/>
          <w:lang w:eastAsia="en-US"/>
        </w:rPr>
        <w:t>порядок надання гарантій визначається положенням, затвердженим Радою Фонду.</w:t>
      </w:r>
    </w:p>
    <w:p w:rsidR="00C70F48" w:rsidRPr="008E4A23" w:rsidRDefault="00C70F48" w:rsidP="00285454">
      <w:pPr>
        <w:ind w:firstLine="700"/>
        <w:jc w:val="both"/>
        <w:rPr>
          <w:sz w:val="24"/>
          <w:szCs w:val="24"/>
          <w:lang w:eastAsia="en-US"/>
        </w:rPr>
      </w:pPr>
      <w:r w:rsidRPr="008E4A23">
        <w:rPr>
          <w:bCs/>
          <w:color w:val="000000"/>
          <w:sz w:val="28"/>
          <w:szCs w:val="28"/>
          <w:lang w:eastAsia="en-US"/>
        </w:rPr>
        <w:t>Ризик нецільового використання коштів Фонду пов’язаний також з відсутністю обмежень щодо розміру тимчасово вільних коштів, які Фонд має право розміщувати (ч. 1 ст. 13 проекту). Причому критерії фінансових установ, в яких будуть розміщуватися такі кошти, та порядок їх відбору у проекті також не визначені. </w:t>
      </w:r>
    </w:p>
    <w:p w:rsidR="00C70F48" w:rsidRPr="008E4A23" w:rsidRDefault="00C70F48" w:rsidP="00285454">
      <w:pPr>
        <w:ind w:firstLine="700"/>
        <w:jc w:val="both"/>
        <w:rPr>
          <w:sz w:val="24"/>
          <w:szCs w:val="24"/>
          <w:lang w:eastAsia="en-US"/>
        </w:rPr>
      </w:pPr>
      <w:r w:rsidRPr="008E4A23">
        <w:rPr>
          <w:bCs/>
          <w:i/>
          <w:iCs/>
          <w:color w:val="000000"/>
          <w:sz w:val="28"/>
          <w:szCs w:val="28"/>
          <w:lang w:eastAsia="en-US"/>
        </w:rPr>
        <w:t>Непрозорим виглядає і порядок визначення фінансових установ,</w:t>
      </w:r>
      <w:r w:rsidRPr="008E4A23">
        <w:rPr>
          <w:bCs/>
          <w:color w:val="000000"/>
          <w:sz w:val="28"/>
          <w:szCs w:val="28"/>
          <w:lang w:eastAsia="en-US"/>
        </w:rPr>
        <w:t xml:space="preserve"> що кредитуватимуть с/г підприємства, яким Фондом надаватимуться часткові гарантії. Проектом лише пропонується встановити, що часткові гарантії надаватимуться за кредитами, наданими фінансовими установами, які уклали договір про співпрацю з Фондом та </w:t>
      </w:r>
      <w:r w:rsidRPr="008E4A23">
        <w:rPr>
          <w:bCs/>
          <w:i/>
          <w:iCs/>
          <w:color w:val="000000"/>
          <w:sz w:val="28"/>
          <w:szCs w:val="28"/>
          <w:lang w:eastAsia="en-US"/>
        </w:rPr>
        <w:t>відповідають критеріям прийнятності, затвердженим Радою Фонду.</w:t>
      </w:r>
    </w:p>
    <w:p w:rsidR="00C70F48" w:rsidRPr="008E4A23" w:rsidRDefault="00C70F48" w:rsidP="00285454">
      <w:pPr>
        <w:ind w:firstLine="700"/>
        <w:jc w:val="both"/>
        <w:rPr>
          <w:sz w:val="24"/>
          <w:szCs w:val="24"/>
          <w:lang w:eastAsia="en-US"/>
        </w:rPr>
      </w:pPr>
      <w:r w:rsidRPr="008E4A23">
        <w:rPr>
          <w:bCs/>
          <w:color w:val="000000"/>
          <w:sz w:val="28"/>
          <w:szCs w:val="28"/>
          <w:lang w:eastAsia="en-US"/>
        </w:rPr>
        <w:t xml:space="preserve">1.6. У проекті не визначені важливі питання державного регулювання діяльності Фонду. Наприклад, </w:t>
      </w:r>
      <w:r w:rsidRPr="00C251E5">
        <w:rPr>
          <w:bCs/>
          <w:color w:val="000000"/>
          <w:sz w:val="28"/>
          <w:szCs w:val="28"/>
          <w:lang w:eastAsia="en-US"/>
        </w:rPr>
        <w:t>згідно зі ст. 7 Закону України «Про фінансові послуги та державне регулювання фінансових послуг» юридична особа, яка має намір надавати фінансові послуги, зобов'язана</w:t>
      </w:r>
      <w:r w:rsidRPr="008E4A23">
        <w:rPr>
          <w:bCs/>
          <w:color w:val="000000"/>
          <w:sz w:val="28"/>
          <w:szCs w:val="28"/>
          <w:lang w:eastAsia="en-US"/>
        </w:rPr>
        <w:t xml:space="preserve"> звернутися до відповідного органу державного регулювання ринків фінансових послуг протягом тридцяти календарних днів з дати державної реєстрації для включення її до державного реєстру фінансових установ. Проте у якому саме органі державного регулювання ринків фінансових послуг Фонд має реєструватися у проекті не визначено.</w:t>
      </w:r>
    </w:p>
    <w:p w:rsidR="00C70F48" w:rsidRPr="004B0210" w:rsidRDefault="00C70F48" w:rsidP="004B0210">
      <w:pPr>
        <w:ind w:firstLine="700"/>
        <w:jc w:val="both"/>
        <w:rPr>
          <w:bCs/>
          <w:color w:val="000000"/>
          <w:sz w:val="28"/>
          <w:szCs w:val="28"/>
          <w:lang w:val="ru-RU" w:eastAsia="en-US"/>
        </w:rPr>
      </w:pPr>
      <w:r w:rsidRPr="008E4A23">
        <w:rPr>
          <w:bCs/>
          <w:color w:val="000000"/>
          <w:sz w:val="28"/>
          <w:szCs w:val="28"/>
          <w:shd w:val="clear" w:color="auto" w:fill="FFFFFF"/>
          <w:lang w:eastAsia="en-US"/>
        </w:rPr>
        <w:t xml:space="preserve">Звертаємо увагу, що у проекті передбачено </w:t>
      </w:r>
      <w:r w:rsidRPr="008E4A23">
        <w:rPr>
          <w:bCs/>
          <w:color w:val="000000"/>
          <w:sz w:val="28"/>
          <w:szCs w:val="28"/>
          <w:lang w:eastAsia="en-US"/>
        </w:rPr>
        <w:t xml:space="preserve">доповнення </w:t>
      </w:r>
      <w:r>
        <w:rPr>
          <w:bCs/>
          <w:color w:val="000000"/>
          <w:sz w:val="28"/>
          <w:szCs w:val="28"/>
          <w:lang w:val="ru-RU" w:eastAsia="en-US"/>
        </w:rPr>
        <w:br/>
      </w:r>
      <w:r w:rsidRPr="008E4A23">
        <w:rPr>
          <w:bCs/>
          <w:color w:val="000000"/>
          <w:sz w:val="28"/>
          <w:szCs w:val="28"/>
          <w:lang w:eastAsia="en-US"/>
        </w:rPr>
        <w:t xml:space="preserve">ч. 2 ст. 3 Закону України «Про управління об’єктами державної власності» новим абзацом, згідно з яким «особливості управління Фондом часткового </w:t>
      </w:r>
      <w:r w:rsidRPr="008E4A23">
        <w:rPr>
          <w:bCs/>
          <w:color w:val="000000"/>
          <w:spacing w:val="-6"/>
          <w:sz w:val="28"/>
          <w:szCs w:val="28"/>
          <w:lang w:eastAsia="en-US"/>
        </w:rPr>
        <w:t>гарантування кредитів у сільському господарстві визначаються Законом України</w:t>
      </w:r>
      <w:r w:rsidRPr="008E4A23">
        <w:rPr>
          <w:bCs/>
          <w:color w:val="000000"/>
          <w:sz w:val="28"/>
          <w:szCs w:val="28"/>
          <w:lang w:eastAsia="en-US"/>
        </w:rPr>
        <w:t xml:space="preserve"> «Про Фонд часткового гарантування кредитів у сільському господарстві». Проте вказані особливості у проекті визначені не</w:t>
      </w:r>
      <w:r w:rsidR="00C251E5">
        <w:rPr>
          <w:bCs/>
          <w:color w:val="000000"/>
          <w:sz w:val="28"/>
          <w:szCs w:val="28"/>
          <w:lang w:eastAsia="en-US"/>
        </w:rPr>
        <w:t xml:space="preserve"> </w:t>
      </w:r>
      <w:r w:rsidRPr="008E4A23">
        <w:rPr>
          <w:bCs/>
          <w:color w:val="000000"/>
          <w:sz w:val="28"/>
          <w:szCs w:val="28"/>
          <w:lang w:eastAsia="en-US"/>
        </w:rPr>
        <w:t>повно, зокрема, не вказано державний орган, який здійснює управління державним майном, яке передається Фонду у господарське відання (ч. 4 ст. 1 проекту).</w:t>
      </w:r>
    </w:p>
    <w:p w:rsidR="00C70F48" w:rsidRPr="008E4A23" w:rsidRDefault="00C70F48" w:rsidP="00285454">
      <w:pPr>
        <w:ind w:firstLine="700"/>
        <w:jc w:val="both"/>
        <w:rPr>
          <w:sz w:val="24"/>
          <w:szCs w:val="24"/>
          <w:lang w:eastAsia="en-US"/>
        </w:rPr>
      </w:pPr>
      <w:r w:rsidRPr="008E4A23">
        <w:rPr>
          <w:b/>
          <w:bCs/>
          <w:color w:val="000000"/>
          <w:sz w:val="28"/>
          <w:szCs w:val="28"/>
          <w:lang w:eastAsia="en-US"/>
        </w:rPr>
        <w:t>2.</w:t>
      </w:r>
      <w:r w:rsidRPr="008E4A23">
        <w:rPr>
          <w:bCs/>
          <w:color w:val="000000"/>
          <w:sz w:val="28"/>
          <w:szCs w:val="28"/>
          <w:lang w:eastAsia="en-US"/>
        </w:rPr>
        <w:t xml:space="preserve"> У проекті (ст. 7) визначається, що право на часткове гарантування виконання зобов’язань за кредитними договорами мають малі та середні суб’єкти підприємництва, у власності та/або користуванні яких перебувають землі сільськогосподарського призначення у обсягах, що не перевищують </w:t>
      </w:r>
      <w:r w:rsidR="00AC6E4C">
        <w:rPr>
          <w:bCs/>
          <w:color w:val="000000"/>
          <w:sz w:val="28"/>
          <w:szCs w:val="28"/>
          <w:lang w:eastAsia="en-US"/>
        </w:rPr>
        <w:br/>
      </w:r>
      <w:r w:rsidRPr="008E4A23">
        <w:rPr>
          <w:bCs/>
          <w:color w:val="000000"/>
          <w:sz w:val="28"/>
          <w:szCs w:val="28"/>
          <w:lang w:eastAsia="en-US"/>
        </w:rPr>
        <w:t xml:space="preserve">500 гектарів. Проте </w:t>
      </w:r>
      <w:r w:rsidRPr="00C251E5">
        <w:rPr>
          <w:bCs/>
          <w:color w:val="000000"/>
          <w:sz w:val="28"/>
          <w:szCs w:val="28"/>
          <w:lang w:eastAsia="en-US"/>
        </w:rPr>
        <w:t>жодного обґрунтування чому саме така площа земельних ділянок визначена критерієм для надання</w:t>
      </w:r>
      <w:r w:rsidRPr="008E4A23">
        <w:rPr>
          <w:bCs/>
          <w:color w:val="000000"/>
          <w:sz w:val="28"/>
          <w:szCs w:val="28"/>
          <w:lang w:eastAsia="en-US"/>
        </w:rPr>
        <w:t xml:space="preserve"> гарантування у пояснювальній записці до проекту не надано. </w:t>
      </w:r>
    </w:p>
    <w:p w:rsidR="00C70F48" w:rsidRPr="008E4A23" w:rsidRDefault="00C70F48" w:rsidP="00285454">
      <w:pPr>
        <w:ind w:firstLine="700"/>
        <w:jc w:val="both"/>
        <w:rPr>
          <w:sz w:val="24"/>
          <w:szCs w:val="24"/>
          <w:lang w:eastAsia="en-US"/>
        </w:rPr>
      </w:pPr>
      <w:r w:rsidRPr="008E4A23">
        <w:rPr>
          <w:b/>
          <w:bCs/>
          <w:color w:val="000000"/>
          <w:sz w:val="28"/>
          <w:szCs w:val="28"/>
          <w:lang w:eastAsia="en-US"/>
        </w:rPr>
        <w:t>3.</w:t>
      </w:r>
      <w:r w:rsidRPr="008E4A23">
        <w:rPr>
          <w:bCs/>
          <w:color w:val="000000"/>
          <w:sz w:val="28"/>
          <w:szCs w:val="28"/>
          <w:lang w:eastAsia="en-US"/>
        </w:rPr>
        <w:t xml:space="preserve"> Додатково слід зауважити, що проект вимагає техніко-юридичного доопрацювання. Зокрема, у змінах до ст. 13 Закону України «Про державну підтримку сільського господарства України» порушено логіку викладання нормативного матеріалу, що не відповідає вимогам законодавчої техніки. Це пов’язано з тим, що у чинній редакції статті підпункти розкривають зміст відповідних способів фінансової підтримки. Натомість редакція запропонованого нового пп. 13.1.3. ст. 13 цього Закону фактично дублює відповідне положення п. 13.1. цієї статті. Крім того, слід зауважити, що поза увагою суб’єкта права законодавчої ініціативи </w:t>
      </w:r>
      <w:r w:rsidRPr="00C251E5">
        <w:rPr>
          <w:bCs/>
          <w:color w:val="000000"/>
          <w:sz w:val="28"/>
          <w:szCs w:val="28"/>
          <w:lang w:eastAsia="en-US"/>
        </w:rPr>
        <w:t>залишено п. п. 13.</w:t>
      </w:r>
      <w:r w:rsidRPr="008E4A23">
        <w:rPr>
          <w:bCs/>
          <w:color w:val="000000"/>
          <w:sz w:val="28"/>
          <w:szCs w:val="28"/>
          <w:lang w:eastAsia="en-US"/>
        </w:rPr>
        <w:t>2. та 13.6. цієї статті, які також потребують внесення відповідних змін тощо.</w:t>
      </w:r>
    </w:p>
    <w:p w:rsidR="00C70F48" w:rsidRPr="008E4A23" w:rsidRDefault="00C70F48" w:rsidP="00285454">
      <w:pPr>
        <w:ind w:firstLine="700"/>
        <w:jc w:val="both"/>
        <w:rPr>
          <w:sz w:val="24"/>
          <w:szCs w:val="24"/>
          <w:lang w:eastAsia="en-US"/>
        </w:rPr>
      </w:pPr>
      <w:r w:rsidRPr="008E4A23">
        <w:rPr>
          <w:b/>
          <w:bCs/>
          <w:color w:val="000000"/>
          <w:sz w:val="28"/>
          <w:szCs w:val="28"/>
          <w:lang w:eastAsia="en-US"/>
        </w:rPr>
        <w:t>4.</w:t>
      </w:r>
      <w:r w:rsidRPr="008E4A23">
        <w:rPr>
          <w:bCs/>
          <w:color w:val="000000"/>
          <w:sz w:val="28"/>
          <w:szCs w:val="28"/>
          <w:lang w:eastAsia="en-US"/>
        </w:rPr>
        <w:t xml:space="preserve"> Оскільки згідно зі ст. 116 Конституції України Кабінет </w:t>
      </w:r>
      <w:r w:rsidRPr="006F100D">
        <w:rPr>
          <w:bCs/>
          <w:color w:val="000000"/>
          <w:sz w:val="28"/>
          <w:szCs w:val="28"/>
          <w:lang w:eastAsia="en-US"/>
        </w:rPr>
        <w:br/>
      </w:r>
      <w:r w:rsidRPr="008E4A23">
        <w:rPr>
          <w:bCs/>
          <w:color w:val="000000"/>
          <w:sz w:val="28"/>
          <w:szCs w:val="28"/>
          <w:lang w:eastAsia="en-US"/>
        </w:rPr>
        <w:t>Міністрів України забезпечує проведення фінансової та інвестиційної політики, то для прийняття виваженого рішення щодо внесеного законопроекту варто отримати відповідний експертний висновок Уряду.</w:t>
      </w:r>
    </w:p>
    <w:p w:rsidR="00C70F48" w:rsidRPr="008E4A23" w:rsidRDefault="00C70F48" w:rsidP="00285454">
      <w:pPr>
        <w:ind w:firstLine="709"/>
        <w:jc w:val="both"/>
        <w:rPr>
          <w:bCs/>
          <w:color w:val="000000"/>
          <w:sz w:val="28"/>
          <w:szCs w:val="28"/>
          <w:shd w:val="clear" w:color="auto" w:fill="FFFFFF"/>
          <w:lang w:eastAsia="en-US"/>
        </w:rPr>
      </w:pPr>
    </w:p>
    <w:p w:rsidR="00C70F48" w:rsidRPr="008E4A23" w:rsidRDefault="00C70F48" w:rsidP="00285454">
      <w:pPr>
        <w:ind w:firstLine="709"/>
        <w:jc w:val="both"/>
        <w:rPr>
          <w:color w:val="000000"/>
          <w:sz w:val="28"/>
          <w:szCs w:val="28"/>
        </w:rPr>
      </w:pPr>
      <w:r w:rsidRPr="008E4A23">
        <w:rPr>
          <w:bCs/>
          <w:color w:val="000000"/>
          <w:sz w:val="28"/>
          <w:szCs w:val="28"/>
          <w:shd w:val="clear" w:color="auto" w:fill="FFFFFF"/>
          <w:lang w:eastAsia="en-US"/>
        </w:rPr>
        <w:t xml:space="preserve">Узагальнюючий висновок: за </w:t>
      </w:r>
      <w:r w:rsidRPr="008E4A23">
        <w:rPr>
          <w:bCs/>
          <w:color w:val="000000"/>
          <w:sz w:val="28"/>
          <w:szCs w:val="28"/>
          <w:lang w:eastAsia="en-US"/>
        </w:rPr>
        <w:t>результатами розгляду у першому читанні законопроект доцільно повернути на доопрацювання з урахуванням висловлених зауважень та пропозицій.</w:t>
      </w:r>
    </w:p>
    <w:p w:rsidR="00C70F48" w:rsidRPr="008E4A23" w:rsidRDefault="00C70F48" w:rsidP="00285454">
      <w:pPr>
        <w:ind w:firstLine="709"/>
        <w:jc w:val="both"/>
        <w:rPr>
          <w:color w:val="000000"/>
          <w:sz w:val="28"/>
          <w:szCs w:val="28"/>
        </w:rPr>
      </w:pPr>
    </w:p>
    <w:p w:rsidR="00C70F48" w:rsidRPr="008E4A23" w:rsidRDefault="00C70F48" w:rsidP="001D2C56">
      <w:pPr>
        <w:jc w:val="both"/>
        <w:rPr>
          <w:color w:val="000000"/>
          <w:sz w:val="28"/>
          <w:szCs w:val="28"/>
        </w:rPr>
      </w:pPr>
    </w:p>
    <w:tbl>
      <w:tblPr>
        <w:tblW w:w="0" w:type="auto"/>
        <w:tblLook w:val="00A0" w:firstRow="1" w:lastRow="0" w:firstColumn="1" w:lastColumn="0" w:noHBand="0" w:noVBand="0"/>
      </w:tblPr>
      <w:tblGrid>
        <w:gridCol w:w="4681"/>
        <w:gridCol w:w="4673"/>
      </w:tblGrid>
      <w:tr w:rsidR="00C70F48" w:rsidRPr="008E4A23" w:rsidTr="00E0583F">
        <w:tc>
          <w:tcPr>
            <w:tcW w:w="4785" w:type="dxa"/>
            <w:vAlign w:val="center"/>
          </w:tcPr>
          <w:p w:rsidR="00C70F48" w:rsidRPr="008E4A23" w:rsidRDefault="00AC6E4C" w:rsidP="00AC6E4C">
            <w:pPr>
              <w:rPr>
                <w:rFonts w:ascii="Calibri" w:hAnsi="Calibri" w:cs="Calibri"/>
                <w:color w:val="000000"/>
                <w:sz w:val="22"/>
                <w:szCs w:val="22"/>
              </w:rPr>
            </w:pPr>
            <w:r>
              <w:rPr>
                <w:color w:val="000000"/>
                <w:sz w:val="28"/>
                <w:szCs w:val="28"/>
              </w:rPr>
              <w:t xml:space="preserve">        </w:t>
            </w:r>
            <w:r w:rsidR="00C70F48" w:rsidRPr="008E4A23">
              <w:rPr>
                <w:color w:val="000000"/>
                <w:sz w:val="28"/>
                <w:szCs w:val="28"/>
              </w:rPr>
              <w:t xml:space="preserve">Керівник Головного </w:t>
            </w:r>
            <w:r>
              <w:rPr>
                <w:color w:val="000000"/>
                <w:sz w:val="28"/>
                <w:szCs w:val="28"/>
              </w:rPr>
              <w:t xml:space="preserve"> у</w:t>
            </w:r>
            <w:r w:rsidR="00C70F48" w:rsidRPr="008E4A23">
              <w:rPr>
                <w:color w:val="000000"/>
                <w:sz w:val="28"/>
                <w:szCs w:val="28"/>
              </w:rPr>
              <w:t>правління</w:t>
            </w:r>
          </w:p>
        </w:tc>
        <w:tc>
          <w:tcPr>
            <w:tcW w:w="4785" w:type="dxa"/>
            <w:vAlign w:val="center"/>
          </w:tcPr>
          <w:p w:rsidR="00C70F48" w:rsidRPr="008E4A23" w:rsidRDefault="00AC6E4C" w:rsidP="00AC6E4C">
            <w:pPr>
              <w:jc w:val="center"/>
              <w:rPr>
                <w:rFonts w:ascii="Calibri" w:hAnsi="Calibri" w:cs="Calibri"/>
                <w:color w:val="000000"/>
                <w:sz w:val="22"/>
                <w:szCs w:val="22"/>
              </w:rPr>
            </w:pPr>
            <w:r>
              <w:rPr>
                <w:color w:val="000000"/>
                <w:sz w:val="28"/>
                <w:szCs w:val="28"/>
              </w:rPr>
              <w:t xml:space="preserve">                                           </w:t>
            </w:r>
            <w:bookmarkStart w:id="0" w:name="_GoBack"/>
            <w:bookmarkEnd w:id="0"/>
            <w:r w:rsidR="00C70F48" w:rsidRPr="008E4A23">
              <w:rPr>
                <w:color w:val="000000"/>
                <w:sz w:val="28"/>
                <w:szCs w:val="28"/>
              </w:rPr>
              <w:t>С. Тихонюк</w:t>
            </w:r>
          </w:p>
        </w:tc>
      </w:tr>
    </w:tbl>
    <w:p w:rsidR="00C70F48" w:rsidRPr="00C251E5" w:rsidRDefault="00C70F48" w:rsidP="00285454">
      <w:pPr>
        <w:ind w:firstLine="709"/>
        <w:jc w:val="both"/>
        <w:rPr>
          <w:rFonts w:ascii="Calibri" w:hAnsi="Calibri" w:cs="Calibri"/>
          <w:color w:val="000000"/>
          <w:sz w:val="28"/>
          <w:szCs w:val="28"/>
        </w:rPr>
      </w:pPr>
    </w:p>
    <w:p w:rsidR="00C70F48" w:rsidRPr="00C251E5" w:rsidRDefault="00C70F48" w:rsidP="00285454">
      <w:pPr>
        <w:ind w:firstLine="709"/>
        <w:jc w:val="both"/>
        <w:rPr>
          <w:rFonts w:ascii="Calibri" w:hAnsi="Calibri" w:cs="Calibri"/>
          <w:color w:val="000000"/>
          <w:sz w:val="28"/>
          <w:szCs w:val="28"/>
        </w:rPr>
      </w:pPr>
    </w:p>
    <w:p w:rsidR="00C70F48" w:rsidRPr="008E4A23" w:rsidRDefault="00C251E5" w:rsidP="00285454">
      <w:pPr>
        <w:ind w:firstLine="709"/>
        <w:jc w:val="both"/>
        <w:rPr>
          <w:color w:val="000000"/>
        </w:rPr>
      </w:pPr>
      <w:r>
        <w:rPr>
          <w:color w:val="000000"/>
        </w:rPr>
        <w:t>Вик.: Е.Вальковський,</w:t>
      </w:r>
      <w:r w:rsidR="00C70F48" w:rsidRPr="008E4A23">
        <w:rPr>
          <w:color w:val="000000"/>
        </w:rPr>
        <w:t xml:space="preserve"> А</w:t>
      </w:r>
      <w:r>
        <w:rPr>
          <w:color w:val="000000"/>
        </w:rPr>
        <w:t xml:space="preserve">.Мусаєва, Є.Гришко, Т.Казнодій, </w:t>
      </w:r>
      <w:r w:rsidR="00C70F48" w:rsidRPr="008E4A23">
        <w:rPr>
          <w:color w:val="000000"/>
        </w:rPr>
        <w:t>В.Айвазовський</w:t>
      </w:r>
    </w:p>
    <w:p w:rsidR="00C70F48" w:rsidRPr="008E4A23" w:rsidRDefault="00C70F48" w:rsidP="00285454">
      <w:pPr>
        <w:ind w:firstLine="709"/>
        <w:jc w:val="both"/>
        <w:rPr>
          <w:color w:val="000000"/>
          <w:sz w:val="28"/>
          <w:szCs w:val="28"/>
        </w:rPr>
      </w:pPr>
    </w:p>
    <w:sectPr w:rsidR="00C70F48" w:rsidRPr="008E4A23" w:rsidSect="001D2C56">
      <w:headerReference w:type="even" r:id="rId7"/>
      <w:headerReference w:type="default" r:id="rId8"/>
      <w:headerReference w:type="first" r:id="rId9"/>
      <w:pgSz w:w="11906" w:h="16838"/>
      <w:pgMar w:top="1134" w:right="851" w:bottom="1134" w:left="1701" w:header="142"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D48" w:rsidRDefault="00D66D48">
      <w:r>
        <w:separator/>
      </w:r>
    </w:p>
  </w:endnote>
  <w:endnote w:type="continuationSeparator" w:id="0">
    <w:p w:rsidR="00D66D48" w:rsidRDefault="00D66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panose1 w:val="00000000000000000000"/>
    <w:charset w:val="00"/>
    <w:family w:val="auto"/>
    <w:notTrueType/>
    <w:pitch w:val="default"/>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Antiqua">
    <w:altName w:val="Microsoft YaHe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D48" w:rsidRDefault="00D66D48">
      <w:r>
        <w:separator/>
      </w:r>
    </w:p>
  </w:footnote>
  <w:footnote w:type="continuationSeparator" w:id="0">
    <w:p w:rsidR="00D66D48" w:rsidRDefault="00D66D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F48" w:rsidRDefault="00007BF6">
    <w:pPr>
      <w:tabs>
        <w:tab w:val="center" w:pos="4819"/>
        <w:tab w:val="right" w:pos="9639"/>
      </w:tabs>
      <w:jc w:val="right"/>
      <w:rPr>
        <w:rFonts w:ascii="Calibri" w:hAnsi="Calibri" w:cs="Calibri"/>
        <w:color w:val="000000"/>
        <w:sz w:val="22"/>
        <w:szCs w:val="22"/>
      </w:rPr>
    </w:pPr>
    <w:r>
      <w:rPr>
        <w:rFonts w:ascii="Calibri" w:hAnsi="Calibri" w:cs="Calibri"/>
        <w:color w:val="000000"/>
        <w:sz w:val="22"/>
        <w:szCs w:val="22"/>
      </w:rPr>
      <w:fldChar w:fldCharType="begin"/>
    </w:r>
    <w:r w:rsidR="00C70F48">
      <w:rPr>
        <w:rFonts w:ascii="Calibri" w:hAnsi="Calibri" w:cs="Calibri"/>
        <w:color w:val="000000"/>
        <w:sz w:val="22"/>
        <w:szCs w:val="22"/>
      </w:rPr>
      <w:instrText>PAGE</w:instrText>
    </w:r>
    <w:r>
      <w:rPr>
        <w:rFonts w:ascii="Calibri" w:hAnsi="Calibri" w:cs="Calibri"/>
        <w:color w:val="000000"/>
        <w:sz w:val="22"/>
        <w:szCs w:val="22"/>
      </w:rPr>
      <w:fldChar w:fldCharType="end"/>
    </w:r>
  </w:p>
  <w:p w:rsidR="00C70F48" w:rsidRDefault="00C70F48">
    <w:pPr>
      <w:tabs>
        <w:tab w:val="center" w:pos="4819"/>
        <w:tab w:val="right" w:pos="9639"/>
      </w:tabs>
      <w:ind w:right="360"/>
      <w:rPr>
        <w:rFonts w:ascii="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F48" w:rsidRDefault="00C70F48">
    <w:pPr>
      <w:tabs>
        <w:tab w:val="center" w:pos="4819"/>
        <w:tab w:val="right" w:pos="9639"/>
      </w:tabs>
      <w:jc w:val="right"/>
      <w:rPr>
        <w:color w:val="000000"/>
        <w:sz w:val="22"/>
        <w:szCs w:val="22"/>
      </w:rPr>
    </w:pPr>
  </w:p>
  <w:p w:rsidR="00C70F48" w:rsidRDefault="00C70F48">
    <w:pPr>
      <w:tabs>
        <w:tab w:val="center" w:pos="4819"/>
        <w:tab w:val="right" w:pos="9639"/>
      </w:tabs>
      <w:jc w:val="right"/>
      <w:rPr>
        <w:color w:val="000000"/>
        <w:sz w:val="22"/>
        <w:szCs w:val="22"/>
      </w:rPr>
    </w:pPr>
  </w:p>
  <w:p w:rsidR="00C70F48" w:rsidRDefault="00007BF6">
    <w:pPr>
      <w:tabs>
        <w:tab w:val="center" w:pos="4819"/>
        <w:tab w:val="right" w:pos="9639"/>
      </w:tabs>
      <w:jc w:val="right"/>
      <w:rPr>
        <w:color w:val="000000"/>
        <w:sz w:val="22"/>
        <w:szCs w:val="22"/>
      </w:rPr>
    </w:pPr>
    <w:r w:rsidRPr="00C251E5">
      <w:rPr>
        <w:color w:val="000000"/>
        <w:sz w:val="22"/>
        <w:szCs w:val="22"/>
      </w:rPr>
      <w:fldChar w:fldCharType="begin"/>
    </w:r>
    <w:r w:rsidR="00C70F48" w:rsidRPr="00C251E5">
      <w:rPr>
        <w:color w:val="000000"/>
        <w:sz w:val="22"/>
        <w:szCs w:val="22"/>
      </w:rPr>
      <w:instrText>PAGE</w:instrText>
    </w:r>
    <w:r w:rsidRPr="00C251E5">
      <w:rPr>
        <w:color w:val="000000"/>
        <w:sz w:val="22"/>
        <w:szCs w:val="22"/>
      </w:rPr>
      <w:fldChar w:fldCharType="separate"/>
    </w:r>
    <w:r w:rsidR="00AC6E4C">
      <w:rPr>
        <w:noProof/>
        <w:color w:val="000000"/>
        <w:sz w:val="22"/>
        <w:szCs w:val="22"/>
      </w:rPr>
      <w:t>4</w:t>
    </w:r>
    <w:r w:rsidRPr="00C251E5">
      <w:rPr>
        <w:color w:val="000000"/>
        <w:sz w:val="22"/>
        <w:szCs w:val="22"/>
      </w:rPr>
      <w:fldChar w:fldCharType="end"/>
    </w:r>
  </w:p>
  <w:p w:rsidR="00C70F48" w:rsidRDefault="00C70F48">
    <w:pPr>
      <w:ind w:right="360" w:firstLine="567"/>
      <w:jc w:val="right"/>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0F48" w:rsidRDefault="00C70F48" w:rsidP="005A13D4">
    <w:pPr>
      <w:tabs>
        <w:tab w:val="center" w:pos="4819"/>
        <w:tab w:val="right" w:pos="9639"/>
      </w:tabs>
      <w:jc w:val="center"/>
      <w:rPr>
        <w:color w:val="000000"/>
      </w:rPr>
    </w:pPr>
    <w:r>
      <w:rPr>
        <w:color w:val="000000"/>
      </w:rPr>
      <w:tab/>
    </w:r>
    <w:r>
      <w:rPr>
        <w:color w:val="000000"/>
      </w:rPr>
      <w:tab/>
    </w:r>
  </w:p>
  <w:p w:rsidR="00C70F48" w:rsidRDefault="00C70F48" w:rsidP="005A13D4">
    <w:pPr>
      <w:tabs>
        <w:tab w:val="center" w:pos="4819"/>
        <w:tab w:val="right" w:pos="9356"/>
      </w:tabs>
      <w:jc w:val="right"/>
      <w:rPr>
        <w:color w:val="000000"/>
      </w:rPr>
    </w:pPr>
    <w:r>
      <w:rPr>
        <w:color w:val="000000"/>
      </w:rPr>
      <w:tab/>
    </w:r>
    <w:r>
      <w:rPr>
        <w:color w:val="000000"/>
      </w:rPr>
      <w:tab/>
      <w:t xml:space="preserve">До реєстр. № 3205 від 12.03.2020 </w:t>
    </w:r>
  </w:p>
  <w:p w:rsidR="00C70F48" w:rsidRDefault="00C70F48" w:rsidP="005A13D4">
    <w:pPr>
      <w:tabs>
        <w:tab w:val="center" w:pos="4819"/>
        <w:tab w:val="right" w:pos="9356"/>
      </w:tabs>
      <w:jc w:val="right"/>
      <w:rPr>
        <w:color w:val="000000"/>
      </w:rPr>
    </w:pPr>
    <w:r>
      <w:rPr>
        <w:color w:val="000000"/>
      </w:rPr>
      <w:t>Народні депутати України</w:t>
    </w:r>
  </w:p>
  <w:p w:rsidR="00C70F48" w:rsidRDefault="00C70F48" w:rsidP="005A13D4">
    <w:pPr>
      <w:tabs>
        <w:tab w:val="center" w:pos="4819"/>
        <w:tab w:val="right" w:pos="9356"/>
      </w:tabs>
      <w:jc w:val="right"/>
      <w:rPr>
        <w:color w:val="000000"/>
      </w:rPr>
    </w:pPr>
    <w:r>
      <w:rPr>
        <w:color w:val="000000"/>
      </w:rPr>
      <w:t>А.Чорноморов та інші</w:t>
    </w:r>
  </w:p>
  <w:p w:rsidR="00C70F48" w:rsidRDefault="00C70F4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B7455"/>
    <w:multiLevelType w:val="multilevel"/>
    <w:tmpl w:val="743809F8"/>
    <w:lvl w:ilvl="0">
      <w:start w:val="1"/>
      <w:numFmt w:val="bullet"/>
      <w:lvlText w:val="●"/>
      <w:lvlJc w:val="left"/>
      <w:pPr>
        <w:ind w:left="928" w:hanging="360"/>
      </w:pPr>
      <w:rPr>
        <w:rFonts w:ascii="Noto Sans Symbols" w:eastAsia="Times New Roman" w:hAnsi="Noto Sans Symbols"/>
        <w:color w:val="000000"/>
        <w:vertAlign w:val="baseline"/>
      </w:rPr>
    </w:lvl>
    <w:lvl w:ilvl="1">
      <w:start w:val="1"/>
      <w:numFmt w:val="bullet"/>
      <w:lvlText w:val="o"/>
      <w:lvlJc w:val="left"/>
      <w:pPr>
        <w:ind w:left="2145" w:hanging="360"/>
      </w:pPr>
      <w:rPr>
        <w:rFonts w:ascii="Courier New" w:eastAsia="Times New Roman" w:hAnsi="Courier New"/>
        <w:vertAlign w:val="baseline"/>
      </w:rPr>
    </w:lvl>
    <w:lvl w:ilvl="2">
      <w:start w:val="1"/>
      <w:numFmt w:val="bullet"/>
      <w:lvlText w:val="▪"/>
      <w:lvlJc w:val="left"/>
      <w:pPr>
        <w:ind w:left="2865" w:hanging="360"/>
      </w:pPr>
      <w:rPr>
        <w:rFonts w:ascii="Noto Sans Symbols" w:eastAsia="Times New Roman" w:hAnsi="Noto Sans Symbols"/>
        <w:vertAlign w:val="baseline"/>
      </w:rPr>
    </w:lvl>
    <w:lvl w:ilvl="3">
      <w:start w:val="1"/>
      <w:numFmt w:val="bullet"/>
      <w:lvlText w:val="●"/>
      <w:lvlJc w:val="left"/>
      <w:pPr>
        <w:ind w:left="3585" w:hanging="360"/>
      </w:pPr>
      <w:rPr>
        <w:rFonts w:ascii="Noto Sans Symbols" w:eastAsia="Times New Roman" w:hAnsi="Noto Sans Symbols"/>
        <w:vertAlign w:val="baseline"/>
      </w:rPr>
    </w:lvl>
    <w:lvl w:ilvl="4">
      <w:start w:val="1"/>
      <w:numFmt w:val="bullet"/>
      <w:lvlText w:val="o"/>
      <w:lvlJc w:val="left"/>
      <w:pPr>
        <w:ind w:left="4305" w:hanging="360"/>
      </w:pPr>
      <w:rPr>
        <w:rFonts w:ascii="Courier New" w:eastAsia="Times New Roman" w:hAnsi="Courier New"/>
        <w:vertAlign w:val="baseline"/>
      </w:rPr>
    </w:lvl>
    <w:lvl w:ilvl="5">
      <w:start w:val="1"/>
      <w:numFmt w:val="bullet"/>
      <w:lvlText w:val="▪"/>
      <w:lvlJc w:val="left"/>
      <w:pPr>
        <w:ind w:left="5025" w:hanging="360"/>
      </w:pPr>
      <w:rPr>
        <w:rFonts w:ascii="Noto Sans Symbols" w:eastAsia="Times New Roman" w:hAnsi="Noto Sans Symbols"/>
        <w:vertAlign w:val="baseline"/>
      </w:rPr>
    </w:lvl>
    <w:lvl w:ilvl="6">
      <w:start w:val="1"/>
      <w:numFmt w:val="bullet"/>
      <w:lvlText w:val="●"/>
      <w:lvlJc w:val="left"/>
      <w:pPr>
        <w:ind w:left="5745" w:hanging="360"/>
      </w:pPr>
      <w:rPr>
        <w:rFonts w:ascii="Noto Sans Symbols" w:eastAsia="Times New Roman" w:hAnsi="Noto Sans Symbols"/>
        <w:vertAlign w:val="baseline"/>
      </w:rPr>
    </w:lvl>
    <w:lvl w:ilvl="7">
      <w:start w:val="1"/>
      <w:numFmt w:val="bullet"/>
      <w:lvlText w:val="o"/>
      <w:lvlJc w:val="left"/>
      <w:pPr>
        <w:ind w:left="6465" w:hanging="360"/>
      </w:pPr>
      <w:rPr>
        <w:rFonts w:ascii="Courier New" w:eastAsia="Times New Roman" w:hAnsi="Courier New"/>
        <w:vertAlign w:val="baseline"/>
      </w:rPr>
    </w:lvl>
    <w:lvl w:ilvl="8">
      <w:start w:val="1"/>
      <w:numFmt w:val="bullet"/>
      <w:lvlText w:val="▪"/>
      <w:lvlJc w:val="left"/>
      <w:pPr>
        <w:ind w:left="7185" w:hanging="360"/>
      </w:pPr>
      <w:rPr>
        <w:rFonts w:ascii="Noto Sans Symbols" w:eastAsia="Times New Roman" w:hAnsi="Noto Sans Symbols"/>
        <w:vertAlign w:val="baseline"/>
      </w:rPr>
    </w:lvl>
  </w:abstractNum>
  <w:abstractNum w:abstractNumId="1" w15:restartNumberingAfterBreak="0">
    <w:nsid w:val="26BF2A1C"/>
    <w:multiLevelType w:val="multilevel"/>
    <w:tmpl w:val="62BEA8C6"/>
    <w:lvl w:ilvl="0">
      <w:start w:val="1"/>
      <w:numFmt w:val="decimal"/>
      <w:lvlText w:val="%1."/>
      <w:lvlJc w:val="left"/>
      <w:pPr>
        <w:ind w:left="1069" w:hanging="360"/>
      </w:pPr>
      <w:rPr>
        <w:rFonts w:cs="Times New Roman"/>
        <w:b/>
        <w:vertAlign w:val="baseline"/>
      </w:rPr>
    </w:lvl>
    <w:lvl w:ilvl="1">
      <w:start w:val="1"/>
      <w:numFmt w:val="lowerLetter"/>
      <w:lvlText w:val="%2."/>
      <w:lvlJc w:val="left"/>
      <w:pPr>
        <w:ind w:left="1789" w:hanging="360"/>
      </w:pPr>
      <w:rPr>
        <w:rFonts w:cs="Times New Roman"/>
        <w:vertAlign w:val="baseline"/>
      </w:rPr>
    </w:lvl>
    <w:lvl w:ilvl="2">
      <w:start w:val="1"/>
      <w:numFmt w:val="lowerRoman"/>
      <w:lvlText w:val="%3."/>
      <w:lvlJc w:val="right"/>
      <w:pPr>
        <w:ind w:left="2509" w:hanging="180"/>
      </w:pPr>
      <w:rPr>
        <w:rFonts w:cs="Times New Roman"/>
        <w:vertAlign w:val="baseline"/>
      </w:rPr>
    </w:lvl>
    <w:lvl w:ilvl="3">
      <w:start w:val="1"/>
      <w:numFmt w:val="decimal"/>
      <w:lvlText w:val="%4."/>
      <w:lvlJc w:val="left"/>
      <w:pPr>
        <w:ind w:left="3229" w:hanging="360"/>
      </w:pPr>
      <w:rPr>
        <w:rFonts w:cs="Times New Roman"/>
        <w:vertAlign w:val="baseline"/>
      </w:rPr>
    </w:lvl>
    <w:lvl w:ilvl="4">
      <w:start w:val="1"/>
      <w:numFmt w:val="lowerLetter"/>
      <w:lvlText w:val="%5."/>
      <w:lvlJc w:val="left"/>
      <w:pPr>
        <w:ind w:left="3949" w:hanging="360"/>
      </w:pPr>
      <w:rPr>
        <w:rFonts w:cs="Times New Roman"/>
        <w:vertAlign w:val="baseline"/>
      </w:rPr>
    </w:lvl>
    <w:lvl w:ilvl="5">
      <w:start w:val="1"/>
      <w:numFmt w:val="lowerRoman"/>
      <w:lvlText w:val="%6."/>
      <w:lvlJc w:val="right"/>
      <w:pPr>
        <w:ind w:left="4669" w:hanging="180"/>
      </w:pPr>
      <w:rPr>
        <w:rFonts w:cs="Times New Roman"/>
        <w:vertAlign w:val="baseline"/>
      </w:rPr>
    </w:lvl>
    <w:lvl w:ilvl="6">
      <w:start w:val="1"/>
      <w:numFmt w:val="decimal"/>
      <w:lvlText w:val="%7."/>
      <w:lvlJc w:val="left"/>
      <w:pPr>
        <w:ind w:left="5389" w:hanging="360"/>
      </w:pPr>
      <w:rPr>
        <w:rFonts w:cs="Times New Roman"/>
        <w:vertAlign w:val="baseline"/>
      </w:rPr>
    </w:lvl>
    <w:lvl w:ilvl="7">
      <w:start w:val="1"/>
      <w:numFmt w:val="lowerLetter"/>
      <w:lvlText w:val="%8."/>
      <w:lvlJc w:val="left"/>
      <w:pPr>
        <w:ind w:left="6109" w:hanging="360"/>
      </w:pPr>
      <w:rPr>
        <w:rFonts w:cs="Times New Roman"/>
        <w:vertAlign w:val="baseline"/>
      </w:rPr>
    </w:lvl>
    <w:lvl w:ilvl="8">
      <w:start w:val="1"/>
      <w:numFmt w:val="lowerRoman"/>
      <w:lvlText w:val="%9."/>
      <w:lvlJc w:val="right"/>
      <w:pPr>
        <w:ind w:left="6829" w:hanging="180"/>
      </w:pPr>
      <w:rPr>
        <w:rFonts w:cs="Times New Roman"/>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130"/>
    <w:rsid w:val="00003032"/>
    <w:rsid w:val="00007BF6"/>
    <w:rsid w:val="00082A57"/>
    <w:rsid w:val="0008577B"/>
    <w:rsid w:val="00091104"/>
    <w:rsid w:val="0011301F"/>
    <w:rsid w:val="00115A9D"/>
    <w:rsid w:val="00116894"/>
    <w:rsid w:val="001335DE"/>
    <w:rsid w:val="001475AE"/>
    <w:rsid w:val="00166043"/>
    <w:rsid w:val="00180517"/>
    <w:rsid w:val="001D2C56"/>
    <w:rsid w:val="002319F6"/>
    <w:rsid w:val="00262917"/>
    <w:rsid w:val="002803B2"/>
    <w:rsid w:val="00285454"/>
    <w:rsid w:val="002C2744"/>
    <w:rsid w:val="00311D07"/>
    <w:rsid w:val="00320AF3"/>
    <w:rsid w:val="00365FF6"/>
    <w:rsid w:val="00376AA3"/>
    <w:rsid w:val="00397F16"/>
    <w:rsid w:val="003B2520"/>
    <w:rsid w:val="003E6F7F"/>
    <w:rsid w:val="003F4355"/>
    <w:rsid w:val="00400783"/>
    <w:rsid w:val="00413593"/>
    <w:rsid w:val="004328FA"/>
    <w:rsid w:val="00435622"/>
    <w:rsid w:val="004575D8"/>
    <w:rsid w:val="004717FA"/>
    <w:rsid w:val="00475CCF"/>
    <w:rsid w:val="004A6A56"/>
    <w:rsid w:val="004B0210"/>
    <w:rsid w:val="004F409B"/>
    <w:rsid w:val="00505131"/>
    <w:rsid w:val="00511FD0"/>
    <w:rsid w:val="00581A6A"/>
    <w:rsid w:val="005A13D4"/>
    <w:rsid w:val="005C58D1"/>
    <w:rsid w:val="0061367E"/>
    <w:rsid w:val="00630EF2"/>
    <w:rsid w:val="00681272"/>
    <w:rsid w:val="006910E0"/>
    <w:rsid w:val="006959C6"/>
    <w:rsid w:val="006D66B5"/>
    <w:rsid w:val="006F100D"/>
    <w:rsid w:val="00753155"/>
    <w:rsid w:val="007C7715"/>
    <w:rsid w:val="007E6617"/>
    <w:rsid w:val="007F1825"/>
    <w:rsid w:val="008028CD"/>
    <w:rsid w:val="00821E15"/>
    <w:rsid w:val="00837F9C"/>
    <w:rsid w:val="00873735"/>
    <w:rsid w:val="00875513"/>
    <w:rsid w:val="0088106B"/>
    <w:rsid w:val="008B171D"/>
    <w:rsid w:val="008D66AE"/>
    <w:rsid w:val="008E4A23"/>
    <w:rsid w:val="008F18C0"/>
    <w:rsid w:val="008F567A"/>
    <w:rsid w:val="009671B5"/>
    <w:rsid w:val="009A2B1D"/>
    <w:rsid w:val="009F2B9B"/>
    <w:rsid w:val="00A055B4"/>
    <w:rsid w:val="00A07C7C"/>
    <w:rsid w:val="00A2073F"/>
    <w:rsid w:val="00A3251F"/>
    <w:rsid w:val="00A74C2D"/>
    <w:rsid w:val="00A83EB1"/>
    <w:rsid w:val="00A93A1E"/>
    <w:rsid w:val="00AA1127"/>
    <w:rsid w:val="00AC6E4C"/>
    <w:rsid w:val="00B20436"/>
    <w:rsid w:val="00B42C98"/>
    <w:rsid w:val="00B542A6"/>
    <w:rsid w:val="00B60F3D"/>
    <w:rsid w:val="00B910DA"/>
    <w:rsid w:val="00BE346E"/>
    <w:rsid w:val="00C2460E"/>
    <w:rsid w:val="00C251E5"/>
    <w:rsid w:val="00C30255"/>
    <w:rsid w:val="00C6778F"/>
    <w:rsid w:val="00C70F48"/>
    <w:rsid w:val="00C952AF"/>
    <w:rsid w:val="00C97BB8"/>
    <w:rsid w:val="00CA10C9"/>
    <w:rsid w:val="00CC4816"/>
    <w:rsid w:val="00CE4993"/>
    <w:rsid w:val="00CF75E6"/>
    <w:rsid w:val="00D00C70"/>
    <w:rsid w:val="00D1760E"/>
    <w:rsid w:val="00D17693"/>
    <w:rsid w:val="00D5037D"/>
    <w:rsid w:val="00D66D48"/>
    <w:rsid w:val="00DB16C1"/>
    <w:rsid w:val="00DB78C6"/>
    <w:rsid w:val="00DC184B"/>
    <w:rsid w:val="00E015B8"/>
    <w:rsid w:val="00E0583F"/>
    <w:rsid w:val="00E244EB"/>
    <w:rsid w:val="00E31F90"/>
    <w:rsid w:val="00E326A3"/>
    <w:rsid w:val="00E36DDD"/>
    <w:rsid w:val="00E43567"/>
    <w:rsid w:val="00E65135"/>
    <w:rsid w:val="00E71423"/>
    <w:rsid w:val="00E91E8E"/>
    <w:rsid w:val="00EA538C"/>
    <w:rsid w:val="00EC6D08"/>
    <w:rsid w:val="00EF5AE2"/>
    <w:rsid w:val="00F01965"/>
    <w:rsid w:val="00F11130"/>
    <w:rsid w:val="00F40310"/>
    <w:rsid w:val="00F40998"/>
    <w:rsid w:val="00F43361"/>
    <w:rsid w:val="00F637A0"/>
    <w:rsid w:val="00F67576"/>
    <w:rsid w:val="00F74845"/>
    <w:rsid w:val="00FD73C2"/>
    <w:rsid w:val="00FF36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1926E20D"/>
  <w15:docId w15:val="{A70B7975-210C-490E-AA78-42B468CC65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3EB1"/>
    <w:rPr>
      <w:sz w:val="20"/>
      <w:szCs w:val="20"/>
      <w:lang w:val="uk-UA" w:eastAsia="uk-UA"/>
    </w:rPr>
  </w:style>
  <w:style w:type="paragraph" w:styleId="1">
    <w:name w:val="heading 1"/>
    <w:basedOn w:val="a"/>
    <w:next w:val="a"/>
    <w:link w:val="10"/>
    <w:uiPriority w:val="99"/>
    <w:qFormat/>
    <w:rsid w:val="00A83EB1"/>
    <w:pPr>
      <w:keepNext/>
      <w:keepLines/>
      <w:spacing w:before="480" w:after="120"/>
      <w:outlineLvl w:val="0"/>
    </w:pPr>
    <w:rPr>
      <w:b/>
      <w:sz w:val="48"/>
      <w:szCs w:val="48"/>
    </w:rPr>
  </w:style>
  <w:style w:type="paragraph" w:styleId="2">
    <w:name w:val="heading 2"/>
    <w:basedOn w:val="a"/>
    <w:next w:val="a"/>
    <w:link w:val="20"/>
    <w:uiPriority w:val="99"/>
    <w:qFormat/>
    <w:rsid w:val="00A83EB1"/>
    <w:pPr>
      <w:keepNext/>
      <w:keepLines/>
      <w:spacing w:before="360" w:after="80"/>
      <w:outlineLvl w:val="1"/>
    </w:pPr>
    <w:rPr>
      <w:b/>
      <w:sz w:val="36"/>
      <w:szCs w:val="36"/>
    </w:rPr>
  </w:style>
  <w:style w:type="paragraph" w:styleId="3">
    <w:name w:val="heading 3"/>
    <w:basedOn w:val="a"/>
    <w:next w:val="a"/>
    <w:link w:val="30"/>
    <w:uiPriority w:val="99"/>
    <w:qFormat/>
    <w:rsid w:val="00A83EB1"/>
    <w:pPr>
      <w:keepNext/>
      <w:keepLines/>
      <w:spacing w:before="280" w:after="80"/>
      <w:outlineLvl w:val="2"/>
    </w:pPr>
    <w:rPr>
      <w:b/>
      <w:sz w:val="28"/>
      <w:szCs w:val="28"/>
    </w:rPr>
  </w:style>
  <w:style w:type="paragraph" w:styleId="4">
    <w:name w:val="heading 4"/>
    <w:basedOn w:val="a"/>
    <w:next w:val="a"/>
    <w:link w:val="40"/>
    <w:uiPriority w:val="99"/>
    <w:qFormat/>
    <w:rsid w:val="00A83EB1"/>
    <w:pPr>
      <w:keepNext/>
      <w:keepLines/>
      <w:spacing w:before="240" w:after="40"/>
      <w:outlineLvl w:val="3"/>
    </w:pPr>
    <w:rPr>
      <w:b/>
      <w:sz w:val="24"/>
      <w:szCs w:val="24"/>
    </w:rPr>
  </w:style>
  <w:style w:type="paragraph" w:styleId="5">
    <w:name w:val="heading 5"/>
    <w:basedOn w:val="a"/>
    <w:next w:val="a"/>
    <w:link w:val="50"/>
    <w:uiPriority w:val="99"/>
    <w:qFormat/>
    <w:rsid w:val="00A83EB1"/>
    <w:pPr>
      <w:keepNext/>
      <w:keepLines/>
      <w:spacing w:before="220" w:after="40"/>
      <w:outlineLvl w:val="4"/>
    </w:pPr>
    <w:rPr>
      <w:b/>
      <w:sz w:val="22"/>
      <w:szCs w:val="22"/>
    </w:rPr>
  </w:style>
  <w:style w:type="paragraph" w:styleId="6">
    <w:name w:val="heading 6"/>
    <w:basedOn w:val="a"/>
    <w:next w:val="a"/>
    <w:link w:val="60"/>
    <w:uiPriority w:val="99"/>
    <w:qFormat/>
    <w:rsid w:val="00A83EB1"/>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93A1E"/>
    <w:rPr>
      <w:rFonts w:ascii="Cambria" w:hAnsi="Cambria" w:cs="Times New Roman"/>
      <w:b/>
      <w:bCs/>
      <w:kern w:val="32"/>
      <w:sz w:val="32"/>
      <w:szCs w:val="32"/>
      <w:lang w:val="uk-UA" w:eastAsia="uk-UA"/>
    </w:rPr>
  </w:style>
  <w:style w:type="character" w:customStyle="1" w:styleId="20">
    <w:name w:val="Заголовок 2 Знак"/>
    <w:basedOn w:val="a0"/>
    <w:link w:val="2"/>
    <w:uiPriority w:val="99"/>
    <w:semiHidden/>
    <w:locked/>
    <w:rsid w:val="00A93A1E"/>
    <w:rPr>
      <w:rFonts w:ascii="Cambria" w:hAnsi="Cambria" w:cs="Times New Roman"/>
      <w:b/>
      <w:bCs/>
      <w:i/>
      <w:iCs/>
      <w:sz w:val="28"/>
      <w:szCs w:val="28"/>
      <w:lang w:val="uk-UA" w:eastAsia="uk-UA"/>
    </w:rPr>
  </w:style>
  <w:style w:type="character" w:customStyle="1" w:styleId="30">
    <w:name w:val="Заголовок 3 Знак"/>
    <w:basedOn w:val="a0"/>
    <w:link w:val="3"/>
    <w:uiPriority w:val="99"/>
    <w:semiHidden/>
    <w:locked/>
    <w:rsid w:val="00A93A1E"/>
    <w:rPr>
      <w:rFonts w:ascii="Cambria" w:hAnsi="Cambria" w:cs="Times New Roman"/>
      <w:b/>
      <w:bCs/>
      <w:sz w:val="26"/>
      <w:szCs w:val="26"/>
      <w:lang w:val="uk-UA" w:eastAsia="uk-UA"/>
    </w:rPr>
  </w:style>
  <w:style w:type="character" w:customStyle="1" w:styleId="40">
    <w:name w:val="Заголовок 4 Знак"/>
    <w:basedOn w:val="a0"/>
    <w:link w:val="4"/>
    <w:uiPriority w:val="99"/>
    <w:semiHidden/>
    <w:locked/>
    <w:rsid w:val="00A93A1E"/>
    <w:rPr>
      <w:rFonts w:ascii="Calibri" w:hAnsi="Calibri" w:cs="Times New Roman"/>
      <w:b/>
      <w:bCs/>
      <w:sz w:val="28"/>
      <w:szCs w:val="28"/>
      <w:lang w:val="uk-UA" w:eastAsia="uk-UA"/>
    </w:rPr>
  </w:style>
  <w:style w:type="character" w:customStyle="1" w:styleId="50">
    <w:name w:val="Заголовок 5 Знак"/>
    <w:basedOn w:val="a0"/>
    <w:link w:val="5"/>
    <w:uiPriority w:val="99"/>
    <w:semiHidden/>
    <w:locked/>
    <w:rsid w:val="00A93A1E"/>
    <w:rPr>
      <w:rFonts w:ascii="Calibri" w:hAnsi="Calibri" w:cs="Times New Roman"/>
      <w:b/>
      <w:bCs/>
      <w:i/>
      <w:iCs/>
      <w:sz w:val="26"/>
      <w:szCs w:val="26"/>
      <w:lang w:val="uk-UA" w:eastAsia="uk-UA"/>
    </w:rPr>
  </w:style>
  <w:style w:type="character" w:customStyle="1" w:styleId="60">
    <w:name w:val="Заголовок 6 Знак"/>
    <w:basedOn w:val="a0"/>
    <w:link w:val="6"/>
    <w:uiPriority w:val="99"/>
    <w:semiHidden/>
    <w:locked/>
    <w:rsid w:val="00A93A1E"/>
    <w:rPr>
      <w:rFonts w:ascii="Calibri" w:hAnsi="Calibri" w:cs="Times New Roman"/>
      <w:b/>
      <w:bCs/>
      <w:lang w:val="uk-UA" w:eastAsia="uk-UA"/>
    </w:rPr>
  </w:style>
  <w:style w:type="table" w:customStyle="1" w:styleId="TableNormal1">
    <w:name w:val="Table Normal1"/>
    <w:uiPriority w:val="99"/>
    <w:rsid w:val="00A83EB1"/>
    <w:rPr>
      <w:sz w:val="20"/>
      <w:szCs w:val="20"/>
      <w:lang w:val="uk-UA" w:eastAsia="uk-UA"/>
    </w:rPr>
    <w:tblPr>
      <w:tblCellMar>
        <w:top w:w="0" w:type="dxa"/>
        <w:left w:w="0" w:type="dxa"/>
        <w:bottom w:w="0" w:type="dxa"/>
        <w:right w:w="0" w:type="dxa"/>
      </w:tblCellMar>
    </w:tblPr>
  </w:style>
  <w:style w:type="paragraph" w:styleId="a3">
    <w:name w:val="Title"/>
    <w:basedOn w:val="a"/>
    <w:next w:val="a"/>
    <w:link w:val="a4"/>
    <w:uiPriority w:val="99"/>
    <w:qFormat/>
    <w:rsid w:val="00A83EB1"/>
    <w:pPr>
      <w:keepNext/>
      <w:keepLines/>
      <w:spacing w:before="480" w:after="120"/>
    </w:pPr>
    <w:rPr>
      <w:b/>
      <w:sz w:val="72"/>
      <w:szCs w:val="72"/>
    </w:rPr>
  </w:style>
  <w:style w:type="character" w:customStyle="1" w:styleId="a4">
    <w:name w:val="Назва Знак"/>
    <w:basedOn w:val="a0"/>
    <w:link w:val="a3"/>
    <w:uiPriority w:val="99"/>
    <w:locked/>
    <w:rsid w:val="00A93A1E"/>
    <w:rPr>
      <w:rFonts w:ascii="Cambria" w:hAnsi="Cambria" w:cs="Times New Roman"/>
      <w:b/>
      <w:bCs/>
      <w:kern w:val="28"/>
      <w:sz w:val="32"/>
      <w:szCs w:val="32"/>
      <w:lang w:val="uk-UA" w:eastAsia="uk-UA"/>
    </w:rPr>
  </w:style>
  <w:style w:type="paragraph" w:styleId="a5">
    <w:name w:val="Subtitle"/>
    <w:basedOn w:val="a"/>
    <w:next w:val="a"/>
    <w:link w:val="a6"/>
    <w:uiPriority w:val="99"/>
    <w:qFormat/>
    <w:rsid w:val="00A83EB1"/>
    <w:pPr>
      <w:keepNext/>
      <w:keepLines/>
      <w:spacing w:before="360" w:after="80"/>
    </w:pPr>
    <w:rPr>
      <w:rFonts w:ascii="Georgia" w:hAnsi="Georgia" w:cs="Georgia"/>
      <w:i/>
      <w:color w:val="666666"/>
      <w:sz w:val="48"/>
      <w:szCs w:val="48"/>
    </w:rPr>
  </w:style>
  <w:style w:type="character" w:customStyle="1" w:styleId="a6">
    <w:name w:val="Підзаголовок Знак"/>
    <w:basedOn w:val="a0"/>
    <w:link w:val="a5"/>
    <w:uiPriority w:val="99"/>
    <w:locked/>
    <w:rsid w:val="00A93A1E"/>
    <w:rPr>
      <w:rFonts w:ascii="Cambria" w:hAnsi="Cambria" w:cs="Times New Roman"/>
      <w:sz w:val="24"/>
      <w:szCs w:val="24"/>
      <w:lang w:val="uk-UA" w:eastAsia="uk-UA"/>
    </w:rPr>
  </w:style>
  <w:style w:type="paragraph" w:customStyle="1" w:styleId="ListParagraph1">
    <w:name w:val="List Paragraph1"/>
    <w:basedOn w:val="a"/>
    <w:uiPriority w:val="99"/>
    <w:rsid w:val="00E65135"/>
    <w:pPr>
      <w:ind w:left="720"/>
      <w:contextualSpacing/>
    </w:pPr>
  </w:style>
  <w:style w:type="paragraph" w:styleId="a7">
    <w:name w:val="footer"/>
    <w:basedOn w:val="a"/>
    <w:link w:val="a8"/>
    <w:uiPriority w:val="99"/>
    <w:semiHidden/>
    <w:rsid w:val="005A13D4"/>
    <w:pPr>
      <w:tabs>
        <w:tab w:val="center" w:pos="4819"/>
        <w:tab w:val="right" w:pos="9639"/>
      </w:tabs>
    </w:pPr>
    <w:rPr>
      <w:lang w:val="ru-RU" w:eastAsia="ru-RU"/>
    </w:rPr>
  </w:style>
  <w:style w:type="character" w:customStyle="1" w:styleId="a8">
    <w:name w:val="Нижній колонтитул Знак"/>
    <w:basedOn w:val="a0"/>
    <w:link w:val="a7"/>
    <w:uiPriority w:val="99"/>
    <w:semiHidden/>
    <w:locked/>
    <w:rsid w:val="005A13D4"/>
    <w:rPr>
      <w:rFonts w:cs="Times New Roman"/>
    </w:rPr>
  </w:style>
  <w:style w:type="paragraph" w:styleId="a9">
    <w:name w:val="header"/>
    <w:basedOn w:val="a"/>
    <w:link w:val="aa"/>
    <w:uiPriority w:val="99"/>
    <w:semiHidden/>
    <w:rsid w:val="005A13D4"/>
    <w:pPr>
      <w:tabs>
        <w:tab w:val="center" w:pos="4819"/>
        <w:tab w:val="right" w:pos="9639"/>
      </w:tabs>
    </w:pPr>
    <w:rPr>
      <w:lang w:val="ru-RU" w:eastAsia="ru-RU"/>
    </w:rPr>
  </w:style>
  <w:style w:type="character" w:customStyle="1" w:styleId="aa">
    <w:name w:val="Верхній колонтитул Знак"/>
    <w:basedOn w:val="a0"/>
    <w:link w:val="a9"/>
    <w:uiPriority w:val="99"/>
    <w:semiHidden/>
    <w:locked/>
    <w:rsid w:val="005A13D4"/>
    <w:rPr>
      <w:rFonts w:cs="Times New Roman"/>
    </w:rPr>
  </w:style>
  <w:style w:type="paragraph" w:customStyle="1" w:styleId="ab">
    <w:name w:val="Нормальний текст"/>
    <w:basedOn w:val="a"/>
    <w:uiPriority w:val="99"/>
    <w:rsid w:val="009F2B9B"/>
    <w:pPr>
      <w:spacing w:before="120"/>
      <w:ind w:firstLine="567"/>
      <w:jc w:val="both"/>
    </w:pPr>
    <w:rPr>
      <w:rFonts w:ascii="Antiqua" w:hAnsi="Antiqua"/>
      <w:sz w:val="26"/>
      <w:lang w:eastAsia="ru-RU"/>
    </w:rPr>
  </w:style>
  <w:style w:type="paragraph" w:styleId="ac">
    <w:name w:val="Normal (Web)"/>
    <w:basedOn w:val="a"/>
    <w:uiPriority w:val="99"/>
    <w:rsid w:val="00285454"/>
    <w:pPr>
      <w:spacing w:before="100" w:beforeAutospacing="1" w:after="100" w:afterAutospacing="1"/>
    </w:pPr>
    <w:rPr>
      <w:sz w:val="24"/>
      <w:szCs w:val="24"/>
      <w:lang w:val="en-US" w:eastAsia="en-US"/>
    </w:rPr>
  </w:style>
  <w:style w:type="table" w:styleId="ad">
    <w:name w:val="Table Grid"/>
    <w:basedOn w:val="a1"/>
    <w:uiPriority w:val="99"/>
    <w:locked/>
    <w:rsid w:val="004328F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207947">
      <w:marLeft w:val="0"/>
      <w:marRight w:val="0"/>
      <w:marTop w:val="0"/>
      <w:marBottom w:val="0"/>
      <w:divBdr>
        <w:top w:val="none" w:sz="0" w:space="0" w:color="auto"/>
        <w:left w:val="none" w:sz="0" w:space="0" w:color="auto"/>
        <w:bottom w:val="none" w:sz="0" w:space="0" w:color="auto"/>
        <w:right w:val="none" w:sz="0" w:space="0" w:color="auto"/>
      </w:divBdr>
    </w:div>
    <w:div w:id="59207948">
      <w:marLeft w:val="0"/>
      <w:marRight w:val="0"/>
      <w:marTop w:val="0"/>
      <w:marBottom w:val="0"/>
      <w:divBdr>
        <w:top w:val="none" w:sz="0" w:space="0" w:color="auto"/>
        <w:left w:val="none" w:sz="0" w:space="0" w:color="auto"/>
        <w:bottom w:val="none" w:sz="0" w:space="0" w:color="auto"/>
        <w:right w:val="none" w:sz="0" w:space="0" w:color="auto"/>
      </w:divBdr>
    </w:div>
    <w:div w:id="59207949">
      <w:marLeft w:val="0"/>
      <w:marRight w:val="0"/>
      <w:marTop w:val="0"/>
      <w:marBottom w:val="0"/>
      <w:divBdr>
        <w:top w:val="none" w:sz="0" w:space="0" w:color="auto"/>
        <w:left w:val="none" w:sz="0" w:space="0" w:color="auto"/>
        <w:bottom w:val="none" w:sz="0" w:space="0" w:color="auto"/>
        <w:right w:val="none" w:sz="0" w:space="0" w:color="auto"/>
      </w:divBdr>
    </w:div>
    <w:div w:id="501169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Pages>
  <Words>6512</Words>
  <Characters>3713</Characters>
  <Application>Microsoft Office Word</Application>
  <DocSecurity>0</DocSecurity>
  <Lines>30</Lines>
  <Paragraphs>20</Paragraphs>
  <ScaleCrop>false</ScaleCrop>
  <HeadingPairs>
    <vt:vector size="2" baseType="variant">
      <vt:variant>
        <vt:lpstr>Назва</vt:lpstr>
      </vt:variant>
      <vt:variant>
        <vt:i4>1</vt:i4>
      </vt:variant>
    </vt:vector>
  </HeadingPairs>
  <TitlesOfParts>
    <vt:vector size="1" baseType="lpstr">
      <vt:lpstr>ВИСНОВОК</vt:lpstr>
    </vt:vector>
  </TitlesOfParts>
  <Company/>
  <LinksUpToDate>false</LinksUpToDate>
  <CharactersWithSpaces>10205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ВИСНОВОК</dc:title>
  <dc:creator>Anatoly Chadiuk</dc:creator>
  <cp:lastModifiedBy>Лопотуха Інна Григорівна</cp:lastModifiedBy>
  <cp:revision>4</cp:revision>
  <dcterms:created xsi:type="dcterms:W3CDTF">2020-04-21T16:50:00Z</dcterms:created>
  <dcterms:modified xsi:type="dcterms:W3CDTF">2020-04-21T16:54:00Z</dcterms:modified>
</cp:coreProperties>
</file>