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4CCD" w:rsidRPr="00117817" w:rsidRDefault="00CA3A43" w:rsidP="00CA3A43">
      <w:pPr>
        <w:jc w:val="center"/>
        <w:rPr>
          <w:b/>
          <w:lang w:val="uk-UA"/>
        </w:rPr>
      </w:pPr>
      <w:r w:rsidRPr="00117817">
        <w:rPr>
          <w:b/>
          <w:lang w:val="uk-UA"/>
        </w:rPr>
        <w:t>ВИСНОВОК</w:t>
      </w:r>
    </w:p>
    <w:p w:rsidR="00AF312C" w:rsidRPr="00AF312C" w:rsidRDefault="00AF312C" w:rsidP="00AF312C">
      <w:pPr>
        <w:jc w:val="center"/>
        <w:rPr>
          <w:b/>
          <w:lang w:val="uk-UA"/>
        </w:rPr>
      </w:pPr>
      <w:r w:rsidRPr="00AF312C">
        <w:rPr>
          <w:b/>
          <w:lang w:val="uk-UA"/>
        </w:rPr>
        <w:t xml:space="preserve">Комітету Верховної Ради України з питань інтеграції </w:t>
      </w:r>
    </w:p>
    <w:p w:rsidR="00AF312C" w:rsidRPr="00AF312C" w:rsidRDefault="00AF312C" w:rsidP="00AF312C">
      <w:pPr>
        <w:jc w:val="center"/>
        <w:rPr>
          <w:b/>
          <w:lang w:val="uk-UA"/>
        </w:rPr>
      </w:pPr>
      <w:r w:rsidRPr="00AF312C">
        <w:rPr>
          <w:b/>
          <w:lang w:val="uk-UA"/>
        </w:rPr>
        <w:t>України з Європейським Союзом</w:t>
      </w:r>
    </w:p>
    <w:p w:rsidR="00AF312C" w:rsidRDefault="00AF312C" w:rsidP="00AF312C">
      <w:pPr>
        <w:jc w:val="center"/>
        <w:rPr>
          <w:b/>
          <w:lang w:val="uk-UA"/>
        </w:rPr>
      </w:pPr>
      <w:r w:rsidRPr="00AF312C">
        <w:rPr>
          <w:b/>
          <w:lang w:val="uk-UA"/>
        </w:rPr>
        <w:t xml:space="preserve">щодо проєкту Закону України </w:t>
      </w:r>
    </w:p>
    <w:p w:rsidR="00CA3A43" w:rsidRPr="00117817" w:rsidRDefault="007F54BD" w:rsidP="00AF312C">
      <w:pPr>
        <w:jc w:val="center"/>
        <w:rPr>
          <w:lang w:val="uk-UA"/>
        </w:rPr>
      </w:pPr>
      <w:r w:rsidRPr="00117817">
        <w:rPr>
          <w:lang w:val="uk-UA"/>
        </w:rPr>
        <w:t>«</w:t>
      </w:r>
      <w:r w:rsidR="004C55DC" w:rsidRPr="00117817">
        <w:rPr>
          <w:lang w:val="uk-UA"/>
        </w:rPr>
        <w:t xml:space="preserve">Про </w:t>
      </w:r>
      <w:r w:rsidR="00C023BF" w:rsidRPr="00C023BF">
        <w:rPr>
          <w:lang w:val="uk-UA"/>
        </w:rPr>
        <w:t>внесення змін до Податкового кодексу України щодо здешевлення лікарських засобів та медичних виробів для населення</w:t>
      </w:r>
      <w:r w:rsidR="00C2777B" w:rsidRPr="00117817">
        <w:rPr>
          <w:bCs/>
          <w:lang w:val="uk-UA"/>
        </w:rPr>
        <w:t>»</w:t>
      </w:r>
    </w:p>
    <w:p w:rsidR="00CA3A43" w:rsidRPr="00117817" w:rsidRDefault="00CA3A43" w:rsidP="001C13D4">
      <w:pPr>
        <w:jc w:val="center"/>
        <w:rPr>
          <w:lang w:val="uk-UA"/>
        </w:rPr>
      </w:pPr>
      <w:r w:rsidRPr="00117817">
        <w:rPr>
          <w:lang w:val="uk-UA"/>
        </w:rPr>
        <w:t xml:space="preserve">(р. </w:t>
      </w:r>
      <w:r w:rsidR="00112E75" w:rsidRPr="00112E75">
        <w:rPr>
          <w:lang w:val="uk-UA"/>
        </w:rPr>
        <w:t>33</w:t>
      </w:r>
      <w:r w:rsidR="00977253">
        <w:rPr>
          <w:lang w:val="uk-UA"/>
        </w:rPr>
        <w:t>82</w:t>
      </w:r>
      <w:r w:rsidR="00024839" w:rsidRPr="00117817">
        <w:rPr>
          <w:lang w:val="uk-UA"/>
        </w:rPr>
        <w:t>,</w:t>
      </w:r>
      <w:r w:rsidRPr="00117817">
        <w:rPr>
          <w:lang w:val="uk-UA"/>
        </w:rPr>
        <w:t xml:space="preserve"> </w:t>
      </w:r>
      <w:r w:rsidR="00FD5E18" w:rsidRPr="00117817">
        <w:rPr>
          <w:lang w:val="uk-UA"/>
        </w:rPr>
        <w:t>н.д.</w:t>
      </w:r>
      <w:r w:rsidR="00C2777B" w:rsidRPr="00117817">
        <w:rPr>
          <w:lang w:val="uk-UA"/>
        </w:rPr>
        <w:t xml:space="preserve"> </w:t>
      </w:r>
      <w:r w:rsidR="00112E75">
        <w:rPr>
          <w:lang w:val="uk-UA"/>
        </w:rPr>
        <w:t>Н</w:t>
      </w:r>
      <w:r w:rsidR="00555FC1" w:rsidRPr="00117817">
        <w:rPr>
          <w:lang w:val="uk-UA"/>
        </w:rPr>
        <w:t>.</w:t>
      </w:r>
      <w:r w:rsidR="00112E75">
        <w:rPr>
          <w:lang w:val="uk-UA"/>
        </w:rPr>
        <w:t>Королевська</w:t>
      </w:r>
      <w:r w:rsidRPr="00117817">
        <w:rPr>
          <w:lang w:val="uk-UA"/>
        </w:rPr>
        <w:t>)</w:t>
      </w:r>
    </w:p>
    <w:p w:rsidR="0063772A" w:rsidRPr="00117817" w:rsidRDefault="0063772A" w:rsidP="00CA3A43">
      <w:pPr>
        <w:jc w:val="center"/>
        <w:rPr>
          <w:lang w:val="uk-UA"/>
        </w:rPr>
      </w:pPr>
    </w:p>
    <w:p w:rsidR="00CA3A43" w:rsidRPr="00117817" w:rsidRDefault="00CA3A43" w:rsidP="00FA51A8">
      <w:pPr>
        <w:numPr>
          <w:ilvl w:val="0"/>
          <w:numId w:val="6"/>
        </w:numPr>
        <w:jc w:val="both"/>
        <w:rPr>
          <w:b/>
          <w:i/>
          <w:lang w:val="uk-UA"/>
        </w:rPr>
      </w:pPr>
      <w:r w:rsidRPr="00117817">
        <w:rPr>
          <w:b/>
          <w:i/>
          <w:lang w:val="uk-UA"/>
        </w:rPr>
        <w:t>Загальна характеристика законо</w:t>
      </w:r>
      <w:r w:rsidR="000F4084">
        <w:rPr>
          <w:b/>
          <w:i/>
          <w:lang w:val="uk-UA"/>
        </w:rPr>
        <w:t>проєкт</w:t>
      </w:r>
      <w:r w:rsidRPr="00117817">
        <w:rPr>
          <w:b/>
          <w:i/>
          <w:lang w:val="uk-UA"/>
        </w:rPr>
        <w:t>у.</w:t>
      </w:r>
    </w:p>
    <w:p w:rsidR="00C023BF" w:rsidRPr="00580485" w:rsidRDefault="009E4289" w:rsidP="00C023BF">
      <w:pPr>
        <w:ind w:firstLine="737"/>
        <w:jc w:val="both"/>
        <w:rPr>
          <w:lang w:val="uk-UA"/>
        </w:rPr>
      </w:pPr>
      <w:r w:rsidRPr="00117817">
        <w:rPr>
          <w:bCs/>
          <w:color w:val="000000"/>
          <w:lang w:val="uk-UA"/>
        </w:rPr>
        <w:t xml:space="preserve">Проєктом закону пропонується </w:t>
      </w:r>
      <w:r w:rsidR="00C023BF">
        <w:rPr>
          <w:bCs/>
          <w:color w:val="000000"/>
          <w:lang w:val="uk-UA"/>
        </w:rPr>
        <w:t>в</w:t>
      </w:r>
      <w:r w:rsidR="00C023BF" w:rsidRPr="00580485">
        <w:rPr>
          <w:lang w:val="uk-UA"/>
        </w:rPr>
        <w:t xml:space="preserve">иключити із Податкового кодексу України норму про оподаткування ПДВ за ставкою 7% операцій з </w:t>
      </w:r>
      <w:bookmarkStart w:id="0" w:name="n9841"/>
      <w:bookmarkEnd w:id="0"/>
      <w:r w:rsidR="00C023BF" w:rsidRPr="00580485">
        <w:rPr>
          <w:lang w:val="uk-UA"/>
        </w:rPr>
        <w:t>постачання на митній території України та ввезення на митну територію України лікарських засобів, дозволених для виробництва і застосування в Україні та внесених до Державного реєстру лікарських засобів, а також медичних виробів, які внесені до Державного реєстру медичної техніки та виробів медичного призначення або відповідають вимогам відповідних технічних регламентів, що підтверджується документом про відповідність, та дозволені для надання на ринку та/або введення в експлуатацію і застосування в Україні</w:t>
      </w:r>
      <w:r w:rsidR="00C023BF">
        <w:rPr>
          <w:lang w:val="uk-UA"/>
        </w:rPr>
        <w:t>, а також в</w:t>
      </w:r>
      <w:r w:rsidR="00C023BF" w:rsidRPr="00580485">
        <w:rPr>
          <w:lang w:val="uk-UA"/>
        </w:rPr>
        <w:t>ідновити дію підпункту 197.1.27. статті 197 в частині звільнення зазначених операцій від оподаткування ПДВ.</w:t>
      </w:r>
    </w:p>
    <w:p w:rsidR="00CA3A43" w:rsidRPr="00117817" w:rsidRDefault="00CA3A43" w:rsidP="0011633D">
      <w:pPr>
        <w:numPr>
          <w:ilvl w:val="0"/>
          <w:numId w:val="6"/>
        </w:numPr>
        <w:spacing w:before="120"/>
        <w:jc w:val="both"/>
        <w:rPr>
          <w:i/>
          <w:lang w:val="uk-UA"/>
        </w:rPr>
      </w:pPr>
      <w:r w:rsidRPr="00117817">
        <w:rPr>
          <w:b/>
          <w:i/>
          <w:lang w:val="uk-UA"/>
        </w:rPr>
        <w:t>Належність законо</w:t>
      </w:r>
      <w:r w:rsidR="000F4084">
        <w:rPr>
          <w:b/>
          <w:i/>
          <w:lang w:val="uk-UA"/>
        </w:rPr>
        <w:t>проєкт</w:t>
      </w:r>
      <w:r w:rsidRPr="00117817">
        <w:rPr>
          <w:b/>
          <w:i/>
          <w:lang w:val="uk-UA"/>
        </w:rPr>
        <w:t>у за предметом правового регулювання до сфери дії законодавства ЄС, зобов’язань України в рамках Ради Європи</w:t>
      </w:r>
      <w:r w:rsidR="008F2985" w:rsidRPr="00117817">
        <w:rPr>
          <w:b/>
          <w:i/>
          <w:lang w:val="uk-UA"/>
        </w:rPr>
        <w:t>, норм та принципів</w:t>
      </w:r>
      <w:r w:rsidR="00C86E17" w:rsidRPr="00117817">
        <w:rPr>
          <w:b/>
          <w:i/>
          <w:lang w:val="uk-UA"/>
        </w:rPr>
        <w:t xml:space="preserve"> системи</w:t>
      </w:r>
      <w:r w:rsidR="008F2985" w:rsidRPr="00117817">
        <w:rPr>
          <w:b/>
          <w:i/>
          <w:lang w:val="uk-UA"/>
        </w:rPr>
        <w:t xml:space="preserve"> ГАТТ/СОТ</w:t>
      </w:r>
      <w:r w:rsidRPr="00117817">
        <w:rPr>
          <w:b/>
          <w:i/>
          <w:lang w:val="uk-UA"/>
        </w:rPr>
        <w:t>.</w:t>
      </w:r>
    </w:p>
    <w:p w:rsidR="00E33508" w:rsidRPr="00117817" w:rsidRDefault="00FA51A8" w:rsidP="005A37AC">
      <w:pPr>
        <w:tabs>
          <w:tab w:val="left" w:pos="360"/>
        </w:tabs>
        <w:spacing w:before="120"/>
        <w:jc w:val="both"/>
        <w:rPr>
          <w:lang w:val="uk-UA"/>
        </w:rPr>
      </w:pPr>
      <w:r w:rsidRPr="00117817">
        <w:rPr>
          <w:lang w:val="uk-UA"/>
        </w:rPr>
        <w:tab/>
      </w:r>
      <w:r w:rsidR="005A37AC" w:rsidRPr="00117817">
        <w:rPr>
          <w:lang w:val="uk-UA"/>
        </w:rPr>
        <w:tab/>
        <w:t xml:space="preserve">Положення </w:t>
      </w:r>
      <w:r w:rsidR="000F4084">
        <w:rPr>
          <w:lang w:val="uk-UA"/>
        </w:rPr>
        <w:t>проєкт</w:t>
      </w:r>
      <w:r w:rsidR="005A37AC" w:rsidRPr="00117817">
        <w:rPr>
          <w:lang w:val="uk-UA"/>
        </w:rPr>
        <w:t>у закону охоплюється міжнародно-правовими зобов’язаннями України у сфері європейської інтеграції, передбаченими у рамках Глави 4 «Оподаткування» Розділу ІV «Торгівля та питання пов’язані з торгівлею» та Глави 10 «Конкуренція» Розділу V «Економічне та галузеве співробітництво»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p>
    <w:p w:rsidR="007537FA" w:rsidRPr="00117817" w:rsidRDefault="007537FA" w:rsidP="007537FA">
      <w:pPr>
        <w:numPr>
          <w:ilvl w:val="0"/>
          <w:numId w:val="6"/>
        </w:numPr>
        <w:spacing w:before="120"/>
        <w:jc w:val="both"/>
        <w:rPr>
          <w:b/>
          <w:i/>
          <w:lang w:val="uk-UA"/>
        </w:rPr>
      </w:pPr>
      <w:r w:rsidRPr="00117817">
        <w:rPr>
          <w:b/>
          <w:i/>
          <w:lang w:val="uk-UA"/>
        </w:rPr>
        <w:t>Відповідність законо</w:t>
      </w:r>
      <w:r w:rsidR="000F4084">
        <w:rPr>
          <w:b/>
          <w:i/>
          <w:lang w:val="uk-UA"/>
        </w:rPr>
        <w:t>проєкт</w:t>
      </w:r>
      <w:r w:rsidRPr="00117817">
        <w:rPr>
          <w:b/>
          <w:i/>
          <w:lang w:val="uk-UA"/>
        </w:rPr>
        <w:t>у праву ЄС, зобов’язанням України в рамках Ради Європи, нормам та принципам системи ГАТТ/СОТ.</w:t>
      </w:r>
      <w:r w:rsidRPr="00117817">
        <w:rPr>
          <w:b/>
          <w:i/>
          <w:lang w:val="uk-UA"/>
        </w:rPr>
        <w:tab/>
      </w:r>
    </w:p>
    <w:p w:rsidR="004C55DC" w:rsidRPr="00117817" w:rsidRDefault="004C55DC" w:rsidP="004C55DC">
      <w:pPr>
        <w:ind w:firstLine="708"/>
        <w:jc w:val="both"/>
        <w:rPr>
          <w:lang w:val="uk-UA"/>
        </w:rPr>
      </w:pPr>
      <w:r w:rsidRPr="00117817">
        <w:rPr>
          <w:lang w:val="uk-UA"/>
        </w:rPr>
        <w:t xml:space="preserve">Положення </w:t>
      </w:r>
      <w:r w:rsidR="000F4084">
        <w:rPr>
          <w:lang w:val="uk-UA"/>
        </w:rPr>
        <w:t>проєкт</w:t>
      </w:r>
      <w:r w:rsidRPr="00117817">
        <w:rPr>
          <w:lang w:val="uk-UA"/>
        </w:rPr>
        <w:t xml:space="preserve">у закону за предметом правового регулювання охоплюються статтею 353 Угоди Глави 4 «Оподаткування»  Розділу V «Економічне і галузеве співробітництво» та Додатком ХХVІІІ до Угоди про асоціацію між Україною та ЄС, якою передбачається, що поступове наближення до структури оподаткування, визначеної у acquis ЄС, здійснюватиметься відповідно до Додатку XXVIII до цієї Угоди. </w:t>
      </w:r>
    </w:p>
    <w:p w:rsidR="004C55DC" w:rsidRPr="00117817" w:rsidRDefault="004C55DC" w:rsidP="004C55DC">
      <w:pPr>
        <w:ind w:firstLine="700"/>
        <w:jc w:val="both"/>
        <w:rPr>
          <w:lang w:val="uk-UA"/>
        </w:rPr>
      </w:pPr>
      <w:r w:rsidRPr="00117817">
        <w:rPr>
          <w:lang w:val="uk-UA"/>
        </w:rPr>
        <w:t>Додаток XXVIII до Глави 4 «Оподаткування» розділу V «Економічне і галузеве співробітництво» передбачає, що Україна зобов’язується поступово наблизити своє законодавство до законодавства ЄС щодо застосування Директиви Ради ЄС № 2006/112/ЄС від 28.11.2006 року про спільну систему податку на додану вартість протягом 5 років з дати набрання чинності цією Угодою, за винятком статей 5-8, 20, 33, 40-42, 79, 100-101, 123-130, 140-142, 145, 146 (1(«B»), 147, 155, 164-166, 170-171, 175, 203, 205, 209, 210, 212, 219, 238-240, 245, 254, 258, 274-280, 293-294, 370-395, 396-400, 402-410, 411-413 (положення, що застосовуються до держав-членів ЄС); статей 281-294, 295- 305, 306-325, 326-332, 333-343, 348-349, 358-369 (щодо спеціальних податкових режимів).</w:t>
      </w:r>
    </w:p>
    <w:p w:rsidR="00C023BF" w:rsidRDefault="00C023BF" w:rsidP="008C45FF">
      <w:pPr>
        <w:ind w:firstLine="700"/>
        <w:jc w:val="both"/>
        <w:rPr>
          <w:lang w:val="uk-UA"/>
        </w:rPr>
      </w:pPr>
      <w:r w:rsidRPr="00C023BF">
        <w:rPr>
          <w:lang w:val="uk-UA"/>
        </w:rPr>
        <w:t xml:space="preserve">Відповідно до законодавства Європейського Союзу на зазначені у законопроекті  товари не поширюється звільнення від оподаткування податком на додану вартість. </w:t>
      </w:r>
    </w:p>
    <w:p w:rsidR="008C45FF" w:rsidRPr="008C45FF" w:rsidRDefault="008C45FF" w:rsidP="008C45FF">
      <w:pPr>
        <w:ind w:firstLine="700"/>
        <w:jc w:val="both"/>
        <w:rPr>
          <w:lang w:val="uk-UA"/>
        </w:rPr>
      </w:pPr>
      <w:r w:rsidRPr="008C45FF">
        <w:rPr>
          <w:lang w:val="uk-UA"/>
        </w:rPr>
        <w:t xml:space="preserve">Відповідно до Директиви Ради ЄС № 2006/112/ЄС базова ставка ПДВ для країн ЄС становить не менше 15%. Однак, відповідно до частини першої статті 99 вони також можуть застосовувати одну або дві знижені ставки для конкретних товарів або послуг, зазначених у Додатку III до цієї директиви. </w:t>
      </w:r>
    </w:p>
    <w:p w:rsidR="008C45FF" w:rsidRPr="008C45FF" w:rsidRDefault="008C45FF" w:rsidP="008C45FF">
      <w:pPr>
        <w:ind w:firstLine="700"/>
        <w:jc w:val="both"/>
        <w:rPr>
          <w:lang w:val="uk-UA"/>
        </w:rPr>
      </w:pPr>
      <w:r w:rsidRPr="008C45FF">
        <w:rPr>
          <w:lang w:val="uk-UA"/>
        </w:rPr>
        <w:t xml:space="preserve">Така знижена ставка не може бути нижче 5% та відповідно до Додатку ІІІ </w:t>
      </w:r>
      <w:r>
        <w:rPr>
          <w:lang w:val="uk-UA"/>
        </w:rPr>
        <w:t xml:space="preserve">Директиви </w:t>
      </w:r>
      <w:r w:rsidRPr="008C45FF">
        <w:rPr>
          <w:lang w:val="uk-UA"/>
        </w:rPr>
        <w:t>поширюється на фармацевтичні продукти, які зазвичай використовуються для охорони здоров'я, профілактики хвороб і лікування в медичних і ветеринарних цілях, включаючи продукти, що використовуються для контрацепції та санітарного захисту.</w:t>
      </w:r>
    </w:p>
    <w:p w:rsidR="004C55DC" w:rsidRPr="00117817" w:rsidRDefault="008C45FF" w:rsidP="008C45FF">
      <w:pPr>
        <w:ind w:firstLine="700"/>
        <w:jc w:val="both"/>
        <w:rPr>
          <w:lang w:val="uk-UA"/>
        </w:rPr>
      </w:pPr>
      <w:r>
        <w:rPr>
          <w:lang w:val="uk-UA"/>
        </w:rPr>
        <w:t>Виходячи з вищезазначеного,</w:t>
      </w:r>
      <w:r w:rsidRPr="008C45FF">
        <w:rPr>
          <w:lang w:val="uk-UA"/>
        </w:rPr>
        <w:t xml:space="preserve"> </w:t>
      </w:r>
      <w:r>
        <w:rPr>
          <w:lang w:val="uk-UA"/>
        </w:rPr>
        <w:t>в</w:t>
      </w:r>
      <w:r w:rsidRPr="008C45FF">
        <w:rPr>
          <w:lang w:val="uk-UA"/>
        </w:rPr>
        <w:t>иключ</w:t>
      </w:r>
      <w:r>
        <w:rPr>
          <w:lang w:val="uk-UA"/>
        </w:rPr>
        <w:t xml:space="preserve">ення </w:t>
      </w:r>
      <w:r w:rsidRPr="008C45FF">
        <w:rPr>
          <w:lang w:val="uk-UA"/>
        </w:rPr>
        <w:t>із Податкового кодексу України норм</w:t>
      </w:r>
      <w:r>
        <w:rPr>
          <w:lang w:val="uk-UA"/>
        </w:rPr>
        <w:t>и</w:t>
      </w:r>
      <w:r w:rsidRPr="008C45FF">
        <w:rPr>
          <w:lang w:val="uk-UA"/>
        </w:rPr>
        <w:t xml:space="preserve"> про оподаткування ПДВ за </w:t>
      </w:r>
      <w:r>
        <w:rPr>
          <w:lang w:val="uk-UA"/>
        </w:rPr>
        <w:t xml:space="preserve">зниженою </w:t>
      </w:r>
      <w:r w:rsidRPr="008C45FF">
        <w:rPr>
          <w:lang w:val="uk-UA"/>
        </w:rPr>
        <w:t xml:space="preserve">ставкою 7% операцій з постачання на митній території України та ввезення на митну територію України лікарських засобів </w:t>
      </w:r>
      <w:r>
        <w:rPr>
          <w:lang w:val="uk-UA"/>
        </w:rPr>
        <w:t xml:space="preserve">та </w:t>
      </w:r>
      <w:r w:rsidRPr="008C45FF">
        <w:rPr>
          <w:lang w:val="uk-UA"/>
        </w:rPr>
        <w:t>звільнення зазначених операцій від оподаткування ПДВ</w:t>
      </w:r>
      <w:r>
        <w:rPr>
          <w:lang w:val="uk-UA"/>
        </w:rPr>
        <w:t xml:space="preserve"> не відповідає нормам </w:t>
      </w:r>
      <w:r w:rsidRPr="008C45FF">
        <w:rPr>
          <w:lang w:val="uk-UA"/>
        </w:rPr>
        <w:t>Директиви Ради ЄС № 2006/112/ЄС.</w:t>
      </w:r>
    </w:p>
    <w:p w:rsidR="00BF7B41" w:rsidRPr="00117817" w:rsidRDefault="00B66DE0" w:rsidP="00E74BB5">
      <w:pPr>
        <w:tabs>
          <w:tab w:val="left" w:pos="360"/>
        </w:tabs>
        <w:jc w:val="both"/>
        <w:rPr>
          <w:lang w:val="uk-UA"/>
        </w:rPr>
      </w:pPr>
      <w:r w:rsidRPr="00117817">
        <w:rPr>
          <w:lang w:val="uk-UA"/>
        </w:rPr>
        <w:tab/>
      </w:r>
      <w:r w:rsidR="00BF7B41">
        <w:rPr>
          <w:lang w:val="uk-UA"/>
        </w:rPr>
        <w:tab/>
      </w:r>
      <w:r w:rsidR="000F4084">
        <w:rPr>
          <w:lang w:val="uk-UA"/>
        </w:rPr>
        <w:t>Проєкт</w:t>
      </w:r>
      <w:r w:rsidR="00BF7B41">
        <w:rPr>
          <w:lang w:val="uk-UA"/>
        </w:rPr>
        <w:t xml:space="preserve"> закону </w:t>
      </w:r>
      <w:r w:rsidR="00BF7B41" w:rsidRPr="00BF7B41">
        <w:rPr>
          <w:lang w:val="uk-UA"/>
        </w:rPr>
        <w:t xml:space="preserve">«Про </w:t>
      </w:r>
      <w:r w:rsidR="008C45FF" w:rsidRPr="008C45FF">
        <w:rPr>
          <w:lang w:val="uk-UA"/>
        </w:rPr>
        <w:t>внесення зміни до статті 193 Податкового кодексу України щодо здешевлення соціально значущих продовольчих товарів</w:t>
      </w:r>
      <w:r w:rsidR="00BF7B41" w:rsidRPr="00BF7B41">
        <w:rPr>
          <w:lang w:val="uk-UA"/>
        </w:rPr>
        <w:t>»</w:t>
      </w:r>
      <w:r w:rsidR="00BF7B41">
        <w:rPr>
          <w:lang w:val="uk-UA"/>
        </w:rPr>
        <w:t xml:space="preserve"> </w:t>
      </w:r>
      <w:r w:rsidR="00BF7B41" w:rsidRPr="00BF7B41">
        <w:rPr>
          <w:b/>
          <w:lang w:val="uk-UA"/>
        </w:rPr>
        <w:t xml:space="preserve">не </w:t>
      </w:r>
      <w:r w:rsidR="008C45FF">
        <w:rPr>
          <w:b/>
          <w:lang w:val="uk-UA"/>
        </w:rPr>
        <w:t>відповідає</w:t>
      </w:r>
      <w:r w:rsidR="00BF7B41">
        <w:rPr>
          <w:lang w:val="uk-UA"/>
        </w:rPr>
        <w:t xml:space="preserve"> міжнародно-правовим зобов’язанням України в сфері європейської інтеграції.</w:t>
      </w:r>
    </w:p>
    <w:p w:rsidR="00117817" w:rsidRDefault="00117817">
      <w:pPr>
        <w:tabs>
          <w:tab w:val="left" w:pos="360"/>
        </w:tabs>
        <w:jc w:val="both"/>
        <w:rPr>
          <w:sz w:val="16"/>
          <w:szCs w:val="16"/>
          <w:lang w:val="uk-UA"/>
        </w:rPr>
      </w:pPr>
    </w:p>
    <w:p w:rsidR="00CE3CFD" w:rsidRDefault="00CE3CFD">
      <w:pPr>
        <w:tabs>
          <w:tab w:val="left" w:pos="360"/>
        </w:tabs>
        <w:jc w:val="both"/>
        <w:rPr>
          <w:sz w:val="16"/>
          <w:szCs w:val="16"/>
          <w:lang w:val="uk-UA"/>
        </w:rPr>
      </w:pPr>
    </w:p>
    <w:sectPr w:rsidR="00CE3CFD" w:rsidSect="00090031">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76A8" w:rsidRDefault="002076A8">
      <w:r>
        <w:separator/>
      </w:r>
    </w:p>
  </w:endnote>
  <w:endnote w:type="continuationSeparator" w:id="0">
    <w:p w:rsidR="002076A8" w:rsidRDefault="00207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76A8" w:rsidRDefault="002076A8">
      <w:r>
        <w:separator/>
      </w:r>
    </w:p>
  </w:footnote>
  <w:footnote w:type="continuationSeparator" w:id="0">
    <w:p w:rsidR="002076A8" w:rsidRDefault="00207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C51AE9AA"/>
    <w:lvl w:ilvl="0">
      <w:numFmt w:val="bullet"/>
      <w:lvlText w:val="*"/>
      <w:lvlJc w:val="left"/>
    </w:lvl>
  </w:abstractNum>
  <w:abstractNum w:abstractNumId="1" w15:restartNumberingAfterBreak="0">
    <w:nsid w:val="2117380C"/>
    <w:multiLevelType w:val="hybridMultilevel"/>
    <w:tmpl w:val="B8563226"/>
    <w:lvl w:ilvl="0" w:tplc="9DFEC5C6">
      <w:numFmt w:val="bullet"/>
      <w:lvlText w:val="-"/>
      <w:lvlJc w:val="left"/>
      <w:pPr>
        <w:tabs>
          <w:tab w:val="num" w:pos="924"/>
        </w:tabs>
        <w:ind w:left="924" w:hanging="564"/>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E356E30"/>
    <w:multiLevelType w:val="hybridMultilevel"/>
    <w:tmpl w:val="BB1004B8"/>
    <w:lvl w:ilvl="0" w:tplc="590EDDB4">
      <w:start w:val="1"/>
      <w:numFmt w:val="decimal"/>
      <w:lvlText w:val="%1."/>
      <w:lvlJc w:val="left"/>
      <w:pPr>
        <w:tabs>
          <w:tab w:val="num" w:pos="1812"/>
        </w:tabs>
        <w:ind w:left="1812" w:hanging="1092"/>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15:restartNumberingAfterBreak="0">
    <w:nsid w:val="487D1833"/>
    <w:multiLevelType w:val="hybridMultilevel"/>
    <w:tmpl w:val="102E157A"/>
    <w:lvl w:ilvl="0" w:tplc="EFE49516">
      <w:start w:val="3"/>
      <w:numFmt w:val="decimal"/>
      <w:lvlText w:val="%1."/>
      <w:lvlJc w:val="left"/>
      <w:pPr>
        <w:tabs>
          <w:tab w:val="num" w:pos="1068"/>
        </w:tabs>
        <w:ind w:left="1068" w:hanging="360"/>
      </w:pPr>
      <w:rPr>
        <w:rFonts w:cs="Times New Roman" w:hint="default"/>
      </w:rPr>
    </w:lvl>
    <w:lvl w:ilvl="1" w:tplc="04190019">
      <w:start w:val="1"/>
      <w:numFmt w:val="lowerLetter"/>
      <w:lvlText w:val="%2."/>
      <w:lvlJc w:val="left"/>
      <w:pPr>
        <w:tabs>
          <w:tab w:val="num" w:pos="1788"/>
        </w:tabs>
        <w:ind w:left="1788" w:hanging="360"/>
      </w:pPr>
      <w:rPr>
        <w:rFonts w:cs="Times New Roman"/>
      </w:rPr>
    </w:lvl>
    <w:lvl w:ilvl="2" w:tplc="0419001B">
      <w:start w:val="1"/>
      <w:numFmt w:val="lowerRoman"/>
      <w:lvlText w:val="%3."/>
      <w:lvlJc w:val="right"/>
      <w:pPr>
        <w:tabs>
          <w:tab w:val="num" w:pos="2508"/>
        </w:tabs>
        <w:ind w:left="2508" w:hanging="180"/>
      </w:pPr>
      <w:rPr>
        <w:rFonts w:cs="Times New Roman"/>
      </w:rPr>
    </w:lvl>
    <w:lvl w:ilvl="3" w:tplc="0419000F">
      <w:start w:val="1"/>
      <w:numFmt w:val="decimal"/>
      <w:lvlText w:val="%4."/>
      <w:lvlJc w:val="left"/>
      <w:pPr>
        <w:tabs>
          <w:tab w:val="num" w:pos="3228"/>
        </w:tabs>
        <w:ind w:left="3228" w:hanging="360"/>
      </w:pPr>
      <w:rPr>
        <w:rFonts w:cs="Times New Roman"/>
      </w:rPr>
    </w:lvl>
    <w:lvl w:ilvl="4" w:tplc="04190019">
      <w:start w:val="1"/>
      <w:numFmt w:val="lowerLetter"/>
      <w:lvlText w:val="%5."/>
      <w:lvlJc w:val="left"/>
      <w:pPr>
        <w:tabs>
          <w:tab w:val="num" w:pos="3948"/>
        </w:tabs>
        <w:ind w:left="3948" w:hanging="360"/>
      </w:pPr>
      <w:rPr>
        <w:rFonts w:cs="Times New Roman"/>
      </w:rPr>
    </w:lvl>
    <w:lvl w:ilvl="5" w:tplc="0419001B">
      <w:start w:val="1"/>
      <w:numFmt w:val="lowerRoman"/>
      <w:lvlText w:val="%6."/>
      <w:lvlJc w:val="right"/>
      <w:pPr>
        <w:tabs>
          <w:tab w:val="num" w:pos="4668"/>
        </w:tabs>
        <w:ind w:left="4668" w:hanging="180"/>
      </w:pPr>
      <w:rPr>
        <w:rFonts w:cs="Times New Roman"/>
      </w:rPr>
    </w:lvl>
    <w:lvl w:ilvl="6" w:tplc="0419000F">
      <w:start w:val="1"/>
      <w:numFmt w:val="decimal"/>
      <w:lvlText w:val="%7."/>
      <w:lvlJc w:val="left"/>
      <w:pPr>
        <w:tabs>
          <w:tab w:val="num" w:pos="5388"/>
        </w:tabs>
        <w:ind w:left="5388" w:hanging="360"/>
      </w:pPr>
      <w:rPr>
        <w:rFonts w:cs="Times New Roman"/>
      </w:rPr>
    </w:lvl>
    <w:lvl w:ilvl="7" w:tplc="04190019">
      <w:start w:val="1"/>
      <w:numFmt w:val="lowerLetter"/>
      <w:lvlText w:val="%8."/>
      <w:lvlJc w:val="left"/>
      <w:pPr>
        <w:tabs>
          <w:tab w:val="num" w:pos="6108"/>
        </w:tabs>
        <w:ind w:left="6108" w:hanging="360"/>
      </w:pPr>
      <w:rPr>
        <w:rFonts w:cs="Times New Roman"/>
      </w:rPr>
    </w:lvl>
    <w:lvl w:ilvl="8" w:tplc="0419001B">
      <w:start w:val="1"/>
      <w:numFmt w:val="lowerRoman"/>
      <w:lvlText w:val="%9."/>
      <w:lvlJc w:val="right"/>
      <w:pPr>
        <w:tabs>
          <w:tab w:val="num" w:pos="6828"/>
        </w:tabs>
        <w:ind w:left="6828" w:hanging="180"/>
      </w:pPr>
      <w:rPr>
        <w:rFonts w:cs="Times New Roman"/>
      </w:rPr>
    </w:lvl>
  </w:abstractNum>
  <w:abstractNum w:abstractNumId="4" w15:restartNumberingAfterBreak="0">
    <w:nsid w:val="55392963"/>
    <w:multiLevelType w:val="hybridMultilevel"/>
    <w:tmpl w:val="42DA31FE"/>
    <w:lvl w:ilvl="0" w:tplc="900A5680">
      <w:start w:val="1"/>
      <w:numFmt w:val="decimal"/>
      <w:lvlText w:val="%1."/>
      <w:lvlJc w:val="left"/>
      <w:pPr>
        <w:tabs>
          <w:tab w:val="num" w:pos="360"/>
        </w:tabs>
        <w:ind w:left="360" w:hanging="360"/>
      </w:pPr>
      <w:rPr>
        <w:rFonts w:hint="default"/>
        <w:b/>
        <w:i/>
      </w:rPr>
    </w:lvl>
    <w:lvl w:ilvl="1" w:tplc="04190001">
      <w:start w:val="1"/>
      <w:numFmt w:val="bullet"/>
      <w:lvlText w:val=""/>
      <w:lvlJc w:val="left"/>
      <w:pPr>
        <w:tabs>
          <w:tab w:val="num" w:pos="1080"/>
        </w:tabs>
        <w:ind w:left="1080" w:hanging="360"/>
      </w:pPr>
      <w:rPr>
        <w:rFonts w:ascii="Symbol" w:hAnsi="Symbol" w:hint="default"/>
        <w:b/>
        <w:i/>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15:restartNumberingAfterBreak="0">
    <w:nsid w:val="58CF48A6"/>
    <w:multiLevelType w:val="hybridMultilevel"/>
    <w:tmpl w:val="88E2D2CC"/>
    <w:lvl w:ilvl="0" w:tplc="0419000F">
      <w:start w:val="1"/>
      <w:numFmt w:val="decimal"/>
      <w:lvlText w:val="%1."/>
      <w:lvlJc w:val="left"/>
      <w:pPr>
        <w:tabs>
          <w:tab w:val="num" w:pos="1440"/>
        </w:tabs>
        <w:ind w:left="1440" w:hanging="360"/>
      </w:pPr>
    </w:lvl>
    <w:lvl w:ilvl="1" w:tplc="04190001">
      <w:start w:val="1"/>
      <w:numFmt w:val="bullet"/>
      <w:lvlText w:val=""/>
      <w:lvlJc w:val="left"/>
      <w:pPr>
        <w:tabs>
          <w:tab w:val="num" w:pos="2160"/>
        </w:tabs>
        <w:ind w:left="2160" w:hanging="360"/>
      </w:pPr>
      <w:rPr>
        <w:rFonts w:ascii="Symbol" w:hAnsi="Symbol" w:hint="default"/>
      </w:r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6" w15:restartNumberingAfterBreak="0">
    <w:nsid w:val="5FC301F4"/>
    <w:multiLevelType w:val="multilevel"/>
    <w:tmpl w:val="E29AE570"/>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69AE0892"/>
    <w:multiLevelType w:val="multilevel"/>
    <w:tmpl w:val="E29AE570"/>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abstractNumId w:val="5"/>
  </w:num>
  <w:num w:numId="2">
    <w:abstractNumId w:val="2"/>
  </w:num>
  <w:num w:numId="3">
    <w:abstractNumId w:val="3"/>
  </w:num>
  <w:num w:numId="4">
    <w:abstractNumId w:val="0"/>
    <w:lvlOverride w:ilvl="0">
      <w:lvl w:ilvl="0">
        <w:start w:val="65535"/>
        <w:numFmt w:val="bullet"/>
        <w:lvlText w:val="-"/>
        <w:legacy w:legacy="1" w:legacySpace="0" w:legacyIndent="235"/>
        <w:lvlJc w:val="left"/>
        <w:rPr>
          <w:rFonts w:ascii="Times New Roman" w:hAnsi="Times New Roman" w:cs="Times New Roman" w:hint="default"/>
        </w:rPr>
      </w:lvl>
    </w:lvlOverride>
  </w:num>
  <w:num w:numId="5">
    <w:abstractNumId w:val="0"/>
    <w:lvlOverride w:ilvl="0">
      <w:lvl w:ilvl="0">
        <w:start w:val="65535"/>
        <w:numFmt w:val="bullet"/>
        <w:lvlText w:val="-"/>
        <w:legacy w:legacy="1" w:legacySpace="0" w:legacyIndent="177"/>
        <w:lvlJc w:val="left"/>
        <w:rPr>
          <w:rFonts w:ascii="Times New Roman" w:hAnsi="Times New Roman" w:cs="Times New Roman" w:hint="default"/>
        </w:rPr>
      </w:lvl>
    </w:lvlOverride>
  </w:num>
  <w:num w:numId="6">
    <w:abstractNumId w:val="4"/>
  </w:num>
  <w:num w:numId="7">
    <w:abstractNumId w:val="7"/>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A43"/>
    <w:rsid w:val="00001743"/>
    <w:rsid w:val="000021F0"/>
    <w:rsid w:val="00003738"/>
    <w:rsid w:val="000042B5"/>
    <w:rsid w:val="0001797C"/>
    <w:rsid w:val="00024839"/>
    <w:rsid w:val="000250B7"/>
    <w:rsid w:val="000262DA"/>
    <w:rsid w:val="00027010"/>
    <w:rsid w:val="0003402A"/>
    <w:rsid w:val="000374F8"/>
    <w:rsid w:val="00042E92"/>
    <w:rsid w:val="00050960"/>
    <w:rsid w:val="00053824"/>
    <w:rsid w:val="000631BF"/>
    <w:rsid w:val="00071F60"/>
    <w:rsid w:val="00090031"/>
    <w:rsid w:val="00090403"/>
    <w:rsid w:val="00090D31"/>
    <w:rsid w:val="000A04D4"/>
    <w:rsid w:val="000A3FBE"/>
    <w:rsid w:val="000A725F"/>
    <w:rsid w:val="000B111F"/>
    <w:rsid w:val="000B5944"/>
    <w:rsid w:val="000B59C2"/>
    <w:rsid w:val="000D3D88"/>
    <w:rsid w:val="000E2EC7"/>
    <w:rsid w:val="000E4B56"/>
    <w:rsid w:val="000F1DB2"/>
    <w:rsid w:val="000F3F99"/>
    <w:rsid w:val="000F4084"/>
    <w:rsid w:val="0010119B"/>
    <w:rsid w:val="0011046A"/>
    <w:rsid w:val="00112E75"/>
    <w:rsid w:val="0011633D"/>
    <w:rsid w:val="001169E6"/>
    <w:rsid w:val="00117817"/>
    <w:rsid w:val="00132F0C"/>
    <w:rsid w:val="00133EE7"/>
    <w:rsid w:val="001504C1"/>
    <w:rsid w:val="001556B7"/>
    <w:rsid w:val="00170B14"/>
    <w:rsid w:val="001730DA"/>
    <w:rsid w:val="0018016B"/>
    <w:rsid w:val="00182449"/>
    <w:rsid w:val="00182AB6"/>
    <w:rsid w:val="00185F2D"/>
    <w:rsid w:val="0018608A"/>
    <w:rsid w:val="001861C7"/>
    <w:rsid w:val="001A4F8E"/>
    <w:rsid w:val="001B2F43"/>
    <w:rsid w:val="001C13D4"/>
    <w:rsid w:val="001D5D98"/>
    <w:rsid w:val="001D78C6"/>
    <w:rsid w:val="001D7F5C"/>
    <w:rsid w:val="001E14BB"/>
    <w:rsid w:val="001E3EFE"/>
    <w:rsid w:val="001E5BEF"/>
    <w:rsid w:val="002045EA"/>
    <w:rsid w:val="00204686"/>
    <w:rsid w:val="00206A0B"/>
    <w:rsid w:val="002076A8"/>
    <w:rsid w:val="00207A27"/>
    <w:rsid w:val="00212532"/>
    <w:rsid w:val="00213D2D"/>
    <w:rsid w:val="00214938"/>
    <w:rsid w:val="00216C46"/>
    <w:rsid w:val="00223A43"/>
    <w:rsid w:val="00224CCD"/>
    <w:rsid w:val="00231C1D"/>
    <w:rsid w:val="002325C0"/>
    <w:rsid w:val="002449BA"/>
    <w:rsid w:val="002462A6"/>
    <w:rsid w:val="0025788A"/>
    <w:rsid w:val="00265B6C"/>
    <w:rsid w:val="0026766B"/>
    <w:rsid w:val="00270CC8"/>
    <w:rsid w:val="002807CE"/>
    <w:rsid w:val="002842B4"/>
    <w:rsid w:val="0029077E"/>
    <w:rsid w:val="00293E83"/>
    <w:rsid w:val="00295446"/>
    <w:rsid w:val="002A3F6E"/>
    <w:rsid w:val="002B492A"/>
    <w:rsid w:val="002C4268"/>
    <w:rsid w:val="002D4F67"/>
    <w:rsid w:val="002E0062"/>
    <w:rsid w:val="002E3EE1"/>
    <w:rsid w:val="002F39F2"/>
    <w:rsid w:val="0030151A"/>
    <w:rsid w:val="00307CBD"/>
    <w:rsid w:val="003274D2"/>
    <w:rsid w:val="00341803"/>
    <w:rsid w:val="00342422"/>
    <w:rsid w:val="003426B7"/>
    <w:rsid w:val="00342F1D"/>
    <w:rsid w:val="00346B92"/>
    <w:rsid w:val="00347313"/>
    <w:rsid w:val="00375242"/>
    <w:rsid w:val="003815A9"/>
    <w:rsid w:val="003815DE"/>
    <w:rsid w:val="00383EFA"/>
    <w:rsid w:val="00390CCD"/>
    <w:rsid w:val="00393D0B"/>
    <w:rsid w:val="003948CE"/>
    <w:rsid w:val="003977A1"/>
    <w:rsid w:val="003A2271"/>
    <w:rsid w:val="003B486D"/>
    <w:rsid w:val="003E174C"/>
    <w:rsid w:val="003E66AB"/>
    <w:rsid w:val="004022EC"/>
    <w:rsid w:val="004023EE"/>
    <w:rsid w:val="00405393"/>
    <w:rsid w:val="0041051E"/>
    <w:rsid w:val="00411DBD"/>
    <w:rsid w:val="00413A22"/>
    <w:rsid w:val="0041564A"/>
    <w:rsid w:val="00415E31"/>
    <w:rsid w:val="00424A3B"/>
    <w:rsid w:val="004269B7"/>
    <w:rsid w:val="004274F7"/>
    <w:rsid w:val="00427BEE"/>
    <w:rsid w:val="00430405"/>
    <w:rsid w:val="00442453"/>
    <w:rsid w:val="004454AC"/>
    <w:rsid w:val="004464B6"/>
    <w:rsid w:val="0045072C"/>
    <w:rsid w:val="00453955"/>
    <w:rsid w:val="00454B4C"/>
    <w:rsid w:val="004565DE"/>
    <w:rsid w:val="00462953"/>
    <w:rsid w:val="0046356D"/>
    <w:rsid w:val="00476B8E"/>
    <w:rsid w:val="00477BCF"/>
    <w:rsid w:val="004855BB"/>
    <w:rsid w:val="00490795"/>
    <w:rsid w:val="00493A3D"/>
    <w:rsid w:val="004968AB"/>
    <w:rsid w:val="004A743D"/>
    <w:rsid w:val="004B6A8E"/>
    <w:rsid w:val="004C55DC"/>
    <w:rsid w:val="00502478"/>
    <w:rsid w:val="00507FB8"/>
    <w:rsid w:val="00523C61"/>
    <w:rsid w:val="0052490C"/>
    <w:rsid w:val="00526565"/>
    <w:rsid w:val="00531F28"/>
    <w:rsid w:val="005320C3"/>
    <w:rsid w:val="00532A71"/>
    <w:rsid w:val="00532AA9"/>
    <w:rsid w:val="00536E37"/>
    <w:rsid w:val="00544CF0"/>
    <w:rsid w:val="005461BF"/>
    <w:rsid w:val="005463CF"/>
    <w:rsid w:val="00555FC1"/>
    <w:rsid w:val="005658AD"/>
    <w:rsid w:val="00573A45"/>
    <w:rsid w:val="00577B32"/>
    <w:rsid w:val="005844A8"/>
    <w:rsid w:val="005915E3"/>
    <w:rsid w:val="005958B1"/>
    <w:rsid w:val="00596F13"/>
    <w:rsid w:val="005A01DB"/>
    <w:rsid w:val="005A37AC"/>
    <w:rsid w:val="005A6229"/>
    <w:rsid w:val="005A68AB"/>
    <w:rsid w:val="005B4D49"/>
    <w:rsid w:val="005B53B3"/>
    <w:rsid w:val="005B6840"/>
    <w:rsid w:val="005C0BF3"/>
    <w:rsid w:val="005C2492"/>
    <w:rsid w:val="005C4411"/>
    <w:rsid w:val="005C445C"/>
    <w:rsid w:val="005C74E4"/>
    <w:rsid w:val="005D1531"/>
    <w:rsid w:val="005D3993"/>
    <w:rsid w:val="005E51AE"/>
    <w:rsid w:val="005E64C4"/>
    <w:rsid w:val="005F01D6"/>
    <w:rsid w:val="005F434E"/>
    <w:rsid w:val="005F5699"/>
    <w:rsid w:val="005F694A"/>
    <w:rsid w:val="005F7650"/>
    <w:rsid w:val="00605892"/>
    <w:rsid w:val="006064E2"/>
    <w:rsid w:val="006257BC"/>
    <w:rsid w:val="006301F5"/>
    <w:rsid w:val="0063772A"/>
    <w:rsid w:val="00646A14"/>
    <w:rsid w:val="0066123B"/>
    <w:rsid w:val="00670392"/>
    <w:rsid w:val="00673102"/>
    <w:rsid w:val="006765E4"/>
    <w:rsid w:val="00694C02"/>
    <w:rsid w:val="006B1B48"/>
    <w:rsid w:val="006B21B9"/>
    <w:rsid w:val="006C7FE4"/>
    <w:rsid w:val="006D2553"/>
    <w:rsid w:val="006D4C7F"/>
    <w:rsid w:val="006E3F53"/>
    <w:rsid w:val="006E655B"/>
    <w:rsid w:val="006F125A"/>
    <w:rsid w:val="00701A81"/>
    <w:rsid w:val="00703A7C"/>
    <w:rsid w:val="00707AE1"/>
    <w:rsid w:val="00712D89"/>
    <w:rsid w:val="00722E07"/>
    <w:rsid w:val="00724EEF"/>
    <w:rsid w:val="00725B4E"/>
    <w:rsid w:val="0072785C"/>
    <w:rsid w:val="00742600"/>
    <w:rsid w:val="007426CC"/>
    <w:rsid w:val="007450FA"/>
    <w:rsid w:val="00745B1F"/>
    <w:rsid w:val="00745DF4"/>
    <w:rsid w:val="007537FA"/>
    <w:rsid w:val="0075789A"/>
    <w:rsid w:val="007615F5"/>
    <w:rsid w:val="00764E6B"/>
    <w:rsid w:val="00771843"/>
    <w:rsid w:val="00783628"/>
    <w:rsid w:val="007B4012"/>
    <w:rsid w:val="007B4B32"/>
    <w:rsid w:val="007B56CC"/>
    <w:rsid w:val="007B5D06"/>
    <w:rsid w:val="007D0C7C"/>
    <w:rsid w:val="007D4B76"/>
    <w:rsid w:val="007E1F1E"/>
    <w:rsid w:val="007E7310"/>
    <w:rsid w:val="007F4196"/>
    <w:rsid w:val="007F54BD"/>
    <w:rsid w:val="007F5662"/>
    <w:rsid w:val="008063B2"/>
    <w:rsid w:val="00815707"/>
    <w:rsid w:val="00817DCB"/>
    <w:rsid w:val="00825EB8"/>
    <w:rsid w:val="0084052C"/>
    <w:rsid w:val="008410C7"/>
    <w:rsid w:val="008517E3"/>
    <w:rsid w:val="00856FAF"/>
    <w:rsid w:val="00861718"/>
    <w:rsid w:val="00875370"/>
    <w:rsid w:val="00875CD7"/>
    <w:rsid w:val="008765BB"/>
    <w:rsid w:val="008767E9"/>
    <w:rsid w:val="0088345F"/>
    <w:rsid w:val="0088567E"/>
    <w:rsid w:val="00892B33"/>
    <w:rsid w:val="00894C57"/>
    <w:rsid w:val="008A5D37"/>
    <w:rsid w:val="008B1A8B"/>
    <w:rsid w:val="008B7566"/>
    <w:rsid w:val="008C1E00"/>
    <w:rsid w:val="008C45FF"/>
    <w:rsid w:val="008D2D6F"/>
    <w:rsid w:val="008D34BC"/>
    <w:rsid w:val="008E0705"/>
    <w:rsid w:val="008E3E0C"/>
    <w:rsid w:val="008E6FDF"/>
    <w:rsid w:val="008F2985"/>
    <w:rsid w:val="008F370F"/>
    <w:rsid w:val="008F574A"/>
    <w:rsid w:val="008F6430"/>
    <w:rsid w:val="00900FFA"/>
    <w:rsid w:val="00902069"/>
    <w:rsid w:val="009062B6"/>
    <w:rsid w:val="0091060B"/>
    <w:rsid w:val="009106B9"/>
    <w:rsid w:val="00910D14"/>
    <w:rsid w:val="009116A0"/>
    <w:rsid w:val="0091667A"/>
    <w:rsid w:val="009219F1"/>
    <w:rsid w:val="00922EC9"/>
    <w:rsid w:val="00925DA0"/>
    <w:rsid w:val="00930053"/>
    <w:rsid w:val="0093302F"/>
    <w:rsid w:val="00943242"/>
    <w:rsid w:val="0094625B"/>
    <w:rsid w:val="00946E29"/>
    <w:rsid w:val="00954F22"/>
    <w:rsid w:val="009656A8"/>
    <w:rsid w:val="00973E19"/>
    <w:rsid w:val="00977253"/>
    <w:rsid w:val="00980136"/>
    <w:rsid w:val="009914E1"/>
    <w:rsid w:val="009A7CAA"/>
    <w:rsid w:val="009B5C3E"/>
    <w:rsid w:val="009C2791"/>
    <w:rsid w:val="009C27B7"/>
    <w:rsid w:val="009C3D02"/>
    <w:rsid w:val="009C4356"/>
    <w:rsid w:val="009D1D3F"/>
    <w:rsid w:val="009D21CB"/>
    <w:rsid w:val="009D3D1F"/>
    <w:rsid w:val="009D5BC6"/>
    <w:rsid w:val="009D63B7"/>
    <w:rsid w:val="009E4289"/>
    <w:rsid w:val="009E4BEF"/>
    <w:rsid w:val="009F02F9"/>
    <w:rsid w:val="009F1141"/>
    <w:rsid w:val="009F1E9D"/>
    <w:rsid w:val="009F5123"/>
    <w:rsid w:val="00A06D0E"/>
    <w:rsid w:val="00A24FCE"/>
    <w:rsid w:val="00A2516E"/>
    <w:rsid w:val="00A342A2"/>
    <w:rsid w:val="00A34E78"/>
    <w:rsid w:val="00A36F0F"/>
    <w:rsid w:val="00A50597"/>
    <w:rsid w:val="00A547FE"/>
    <w:rsid w:val="00A55723"/>
    <w:rsid w:val="00A566A8"/>
    <w:rsid w:val="00A61A71"/>
    <w:rsid w:val="00A638A3"/>
    <w:rsid w:val="00A70964"/>
    <w:rsid w:val="00A766F6"/>
    <w:rsid w:val="00A82CB1"/>
    <w:rsid w:val="00A86B86"/>
    <w:rsid w:val="00A92596"/>
    <w:rsid w:val="00A97ACD"/>
    <w:rsid w:val="00AA2CDB"/>
    <w:rsid w:val="00AA6D4E"/>
    <w:rsid w:val="00AB78DF"/>
    <w:rsid w:val="00AC0BEB"/>
    <w:rsid w:val="00AD1E3F"/>
    <w:rsid w:val="00AD2953"/>
    <w:rsid w:val="00AE0818"/>
    <w:rsid w:val="00AE26EF"/>
    <w:rsid w:val="00AE3C36"/>
    <w:rsid w:val="00AE692D"/>
    <w:rsid w:val="00AF312C"/>
    <w:rsid w:val="00B01AC5"/>
    <w:rsid w:val="00B02B13"/>
    <w:rsid w:val="00B11D57"/>
    <w:rsid w:val="00B27814"/>
    <w:rsid w:val="00B3551B"/>
    <w:rsid w:val="00B36689"/>
    <w:rsid w:val="00B41F02"/>
    <w:rsid w:val="00B4267D"/>
    <w:rsid w:val="00B4337F"/>
    <w:rsid w:val="00B5163A"/>
    <w:rsid w:val="00B53FE2"/>
    <w:rsid w:val="00B61EE2"/>
    <w:rsid w:val="00B66DE0"/>
    <w:rsid w:val="00B81F09"/>
    <w:rsid w:val="00B84C6C"/>
    <w:rsid w:val="00B87AD1"/>
    <w:rsid w:val="00B93692"/>
    <w:rsid w:val="00B96880"/>
    <w:rsid w:val="00B97C2C"/>
    <w:rsid w:val="00BA2B23"/>
    <w:rsid w:val="00BB3DCC"/>
    <w:rsid w:val="00BB7356"/>
    <w:rsid w:val="00BD15A2"/>
    <w:rsid w:val="00BD6DE2"/>
    <w:rsid w:val="00BE2190"/>
    <w:rsid w:val="00BF7B41"/>
    <w:rsid w:val="00C023BF"/>
    <w:rsid w:val="00C14629"/>
    <w:rsid w:val="00C14829"/>
    <w:rsid w:val="00C14F92"/>
    <w:rsid w:val="00C158DB"/>
    <w:rsid w:val="00C17B0E"/>
    <w:rsid w:val="00C24D82"/>
    <w:rsid w:val="00C250F5"/>
    <w:rsid w:val="00C2777B"/>
    <w:rsid w:val="00C32B26"/>
    <w:rsid w:val="00C446D1"/>
    <w:rsid w:val="00C50856"/>
    <w:rsid w:val="00C51FE8"/>
    <w:rsid w:val="00C6266C"/>
    <w:rsid w:val="00C72DB6"/>
    <w:rsid w:val="00C732D5"/>
    <w:rsid w:val="00C73F90"/>
    <w:rsid w:val="00C75E1B"/>
    <w:rsid w:val="00C84029"/>
    <w:rsid w:val="00C86E17"/>
    <w:rsid w:val="00C94231"/>
    <w:rsid w:val="00CA3A43"/>
    <w:rsid w:val="00CA5F61"/>
    <w:rsid w:val="00CA70F0"/>
    <w:rsid w:val="00CB0325"/>
    <w:rsid w:val="00CB445E"/>
    <w:rsid w:val="00CB66F5"/>
    <w:rsid w:val="00CB777C"/>
    <w:rsid w:val="00CB7E2A"/>
    <w:rsid w:val="00CC4E3D"/>
    <w:rsid w:val="00CC582E"/>
    <w:rsid w:val="00CC676F"/>
    <w:rsid w:val="00CC6CCA"/>
    <w:rsid w:val="00CC700C"/>
    <w:rsid w:val="00CD01BF"/>
    <w:rsid w:val="00CD555E"/>
    <w:rsid w:val="00CD7616"/>
    <w:rsid w:val="00CE3073"/>
    <w:rsid w:val="00CE3CFD"/>
    <w:rsid w:val="00CE6685"/>
    <w:rsid w:val="00CF1FCA"/>
    <w:rsid w:val="00D01C1B"/>
    <w:rsid w:val="00D3616F"/>
    <w:rsid w:val="00D42F56"/>
    <w:rsid w:val="00D471D8"/>
    <w:rsid w:val="00D50738"/>
    <w:rsid w:val="00D51A4A"/>
    <w:rsid w:val="00D70496"/>
    <w:rsid w:val="00D83783"/>
    <w:rsid w:val="00D8473B"/>
    <w:rsid w:val="00DA18B7"/>
    <w:rsid w:val="00DA3B9F"/>
    <w:rsid w:val="00DA3C4D"/>
    <w:rsid w:val="00DA6F65"/>
    <w:rsid w:val="00DB011F"/>
    <w:rsid w:val="00DB6069"/>
    <w:rsid w:val="00DC5F1F"/>
    <w:rsid w:val="00DD0EB6"/>
    <w:rsid w:val="00DD286C"/>
    <w:rsid w:val="00DD53B0"/>
    <w:rsid w:val="00DD5C01"/>
    <w:rsid w:val="00DE5D4B"/>
    <w:rsid w:val="00DF2C6A"/>
    <w:rsid w:val="00DF73D5"/>
    <w:rsid w:val="00E02752"/>
    <w:rsid w:val="00E04011"/>
    <w:rsid w:val="00E13002"/>
    <w:rsid w:val="00E24F67"/>
    <w:rsid w:val="00E26806"/>
    <w:rsid w:val="00E33508"/>
    <w:rsid w:val="00E36331"/>
    <w:rsid w:val="00E36407"/>
    <w:rsid w:val="00E40A6B"/>
    <w:rsid w:val="00E456C8"/>
    <w:rsid w:val="00E47EB7"/>
    <w:rsid w:val="00E6216A"/>
    <w:rsid w:val="00E66D3A"/>
    <w:rsid w:val="00E74BB5"/>
    <w:rsid w:val="00E851F9"/>
    <w:rsid w:val="00E952E2"/>
    <w:rsid w:val="00E95DDA"/>
    <w:rsid w:val="00EA04D9"/>
    <w:rsid w:val="00EA0825"/>
    <w:rsid w:val="00EA3735"/>
    <w:rsid w:val="00EA403C"/>
    <w:rsid w:val="00EA735F"/>
    <w:rsid w:val="00EC6D75"/>
    <w:rsid w:val="00ED0C1E"/>
    <w:rsid w:val="00ED1C73"/>
    <w:rsid w:val="00ED34AA"/>
    <w:rsid w:val="00EE2862"/>
    <w:rsid w:val="00EE7880"/>
    <w:rsid w:val="00F031EB"/>
    <w:rsid w:val="00F037ED"/>
    <w:rsid w:val="00F10840"/>
    <w:rsid w:val="00F27340"/>
    <w:rsid w:val="00F32E5E"/>
    <w:rsid w:val="00F339BE"/>
    <w:rsid w:val="00F35FCF"/>
    <w:rsid w:val="00F4007F"/>
    <w:rsid w:val="00F4553F"/>
    <w:rsid w:val="00F47515"/>
    <w:rsid w:val="00F52AF7"/>
    <w:rsid w:val="00F55ACC"/>
    <w:rsid w:val="00F640DE"/>
    <w:rsid w:val="00F65553"/>
    <w:rsid w:val="00F74232"/>
    <w:rsid w:val="00F75088"/>
    <w:rsid w:val="00F767F0"/>
    <w:rsid w:val="00F85D7C"/>
    <w:rsid w:val="00F92539"/>
    <w:rsid w:val="00F929FA"/>
    <w:rsid w:val="00F9392D"/>
    <w:rsid w:val="00FA51A8"/>
    <w:rsid w:val="00FA5FAA"/>
    <w:rsid w:val="00FA60CD"/>
    <w:rsid w:val="00FA614F"/>
    <w:rsid w:val="00FA62E7"/>
    <w:rsid w:val="00FB0481"/>
    <w:rsid w:val="00FB51D5"/>
    <w:rsid w:val="00FD10C0"/>
    <w:rsid w:val="00FD153B"/>
    <w:rsid w:val="00FD5E18"/>
    <w:rsid w:val="00FE2E20"/>
    <w:rsid w:val="00FF17E5"/>
    <w:rsid w:val="00FF5F0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EF070DA-5B8A-4758-8B06-54197FAED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8"/>
      <w:lang w:val="en-US" w:eastAsia="ru-RU"/>
    </w:rPr>
  </w:style>
  <w:style w:type="paragraph" w:styleId="3">
    <w:name w:val="heading 3"/>
    <w:basedOn w:val="a"/>
    <w:next w:val="a"/>
    <w:autoRedefine/>
    <w:qFormat/>
    <w:rsid w:val="00910D14"/>
    <w:pPr>
      <w:keepNext/>
      <w:overflowPunct w:val="0"/>
      <w:autoSpaceDE w:val="0"/>
      <w:autoSpaceDN w:val="0"/>
      <w:adjustRightInd w:val="0"/>
      <w:spacing w:before="240"/>
      <w:jc w:val="center"/>
      <w:textAlignment w:val="baseline"/>
      <w:outlineLvl w:val="2"/>
    </w:pPr>
    <w:rPr>
      <w:i/>
      <w:iCs/>
      <w:sz w:val="20"/>
      <w:szCs w:val="20"/>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Стиль1"/>
    <w:basedOn w:val="a"/>
    <w:rsid w:val="00224CCD"/>
    <w:rPr>
      <w:lang w:val="uk-UA"/>
    </w:rPr>
  </w:style>
  <w:style w:type="paragraph" w:styleId="2">
    <w:name w:val="Body Text Indent 2"/>
    <w:basedOn w:val="a"/>
    <w:rsid w:val="00C86E17"/>
    <w:pPr>
      <w:ind w:firstLine="900"/>
      <w:jc w:val="both"/>
    </w:pPr>
    <w:rPr>
      <w:szCs w:val="20"/>
      <w:lang w:val="uk-UA"/>
    </w:rPr>
  </w:style>
  <w:style w:type="paragraph" w:styleId="a3">
    <w:name w:val="header"/>
    <w:basedOn w:val="a"/>
    <w:rsid w:val="00D50738"/>
    <w:pPr>
      <w:tabs>
        <w:tab w:val="center" w:pos="4677"/>
        <w:tab w:val="right" w:pos="9355"/>
      </w:tabs>
    </w:pPr>
  </w:style>
  <w:style w:type="paragraph" w:styleId="a4">
    <w:name w:val="footer"/>
    <w:basedOn w:val="a"/>
    <w:rsid w:val="00D50738"/>
    <w:pPr>
      <w:tabs>
        <w:tab w:val="center" w:pos="4677"/>
        <w:tab w:val="right" w:pos="9355"/>
      </w:tabs>
    </w:pPr>
  </w:style>
  <w:style w:type="paragraph" w:styleId="30">
    <w:name w:val="Body Text Indent 3"/>
    <w:basedOn w:val="a"/>
    <w:rsid w:val="005D1531"/>
    <w:pPr>
      <w:spacing w:after="120"/>
      <w:ind w:left="283"/>
    </w:pPr>
    <w:rPr>
      <w:sz w:val="16"/>
      <w:szCs w:val="16"/>
    </w:rPr>
  </w:style>
  <w:style w:type="paragraph" w:styleId="a5">
    <w:name w:val="Body Text"/>
    <w:basedOn w:val="a"/>
    <w:rsid w:val="00493A3D"/>
    <w:pPr>
      <w:spacing w:after="120"/>
    </w:pPr>
  </w:style>
  <w:style w:type="paragraph" w:styleId="a6">
    <w:name w:val="Plain Text"/>
    <w:basedOn w:val="a"/>
    <w:rsid w:val="00493A3D"/>
    <w:pPr>
      <w:overflowPunct w:val="0"/>
      <w:autoSpaceDE w:val="0"/>
      <w:autoSpaceDN w:val="0"/>
      <w:adjustRightInd w:val="0"/>
    </w:pPr>
    <w:rPr>
      <w:rFonts w:ascii="Courier New" w:hAnsi="Courier New" w:cs="Courier New"/>
      <w:sz w:val="20"/>
      <w:szCs w:val="20"/>
      <w:lang w:val="en-GB"/>
    </w:rPr>
  </w:style>
  <w:style w:type="paragraph" w:styleId="a7">
    <w:name w:val="Balloon Text"/>
    <w:basedOn w:val="a"/>
    <w:semiHidden/>
    <w:rsid w:val="00C50856"/>
    <w:rPr>
      <w:rFonts w:ascii="Tahoma" w:hAnsi="Tahoma" w:cs="Tahoma"/>
      <w:sz w:val="16"/>
      <w:szCs w:val="16"/>
    </w:rPr>
  </w:style>
  <w:style w:type="character" w:styleId="a8">
    <w:name w:val="Strong"/>
    <w:qFormat/>
    <w:rsid w:val="00861718"/>
    <w:rPr>
      <w:rFonts w:ascii="Times New Roman" w:hAnsi="Times New Roman" w:cs="Times New Roman" w:hint="default"/>
      <w:b/>
      <w:bCs/>
    </w:rPr>
  </w:style>
  <w:style w:type="table" w:styleId="a9">
    <w:name w:val="Table Grid"/>
    <w:basedOn w:val="a1"/>
    <w:rsid w:val="00A709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rsid w:val="00C277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734434">
      <w:bodyDiv w:val="1"/>
      <w:marLeft w:val="0"/>
      <w:marRight w:val="0"/>
      <w:marTop w:val="0"/>
      <w:marBottom w:val="0"/>
      <w:divBdr>
        <w:top w:val="none" w:sz="0" w:space="0" w:color="auto"/>
        <w:left w:val="none" w:sz="0" w:space="0" w:color="auto"/>
        <w:bottom w:val="none" w:sz="0" w:space="0" w:color="auto"/>
        <w:right w:val="none" w:sz="0" w:space="0" w:color="auto"/>
      </w:divBdr>
    </w:div>
    <w:div w:id="115107358">
      <w:bodyDiv w:val="1"/>
      <w:marLeft w:val="0"/>
      <w:marRight w:val="0"/>
      <w:marTop w:val="0"/>
      <w:marBottom w:val="0"/>
      <w:divBdr>
        <w:top w:val="none" w:sz="0" w:space="0" w:color="auto"/>
        <w:left w:val="none" w:sz="0" w:space="0" w:color="auto"/>
        <w:bottom w:val="none" w:sz="0" w:space="0" w:color="auto"/>
        <w:right w:val="none" w:sz="0" w:space="0" w:color="auto"/>
      </w:divBdr>
    </w:div>
    <w:div w:id="121776392">
      <w:bodyDiv w:val="1"/>
      <w:marLeft w:val="0"/>
      <w:marRight w:val="0"/>
      <w:marTop w:val="0"/>
      <w:marBottom w:val="0"/>
      <w:divBdr>
        <w:top w:val="none" w:sz="0" w:space="0" w:color="auto"/>
        <w:left w:val="none" w:sz="0" w:space="0" w:color="auto"/>
        <w:bottom w:val="none" w:sz="0" w:space="0" w:color="auto"/>
        <w:right w:val="none" w:sz="0" w:space="0" w:color="auto"/>
      </w:divBdr>
    </w:div>
    <w:div w:id="222789475">
      <w:bodyDiv w:val="1"/>
      <w:marLeft w:val="0"/>
      <w:marRight w:val="0"/>
      <w:marTop w:val="0"/>
      <w:marBottom w:val="0"/>
      <w:divBdr>
        <w:top w:val="none" w:sz="0" w:space="0" w:color="auto"/>
        <w:left w:val="none" w:sz="0" w:space="0" w:color="auto"/>
        <w:bottom w:val="none" w:sz="0" w:space="0" w:color="auto"/>
        <w:right w:val="none" w:sz="0" w:space="0" w:color="auto"/>
      </w:divBdr>
    </w:div>
    <w:div w:id="262805529">
      <w:bodyDiv w:val="1"/>
      <w:marLeft w:val="0"/>
      <w:marRight w:val="0"/>
      <w:marTop w:val="0"/>
      <w:marBottom w:val="0"/>
      <w:divBdr>
        <w:top w:val="none" w:sz="0" w:space="0" w:color="auto"/>
        <w:left w:val="none" w:sz="0" w:space="0" w:color="auto"/>
        <w:bottom w:val="none" w:sz="0" w:space="0" w:color="auto"/>
        <w:right w:val="none" w:sz="0" w:space="0" w:color="auto"/>
      </w:divBdr>
    </w:div>
    <w:div w:id="362554192">
      <w:bodyDiv w:val="1"/>
      <w:marLeft w:val="0"/>
      <w:marRight w:val="0"/>
      <w:marTop w:val="0"/>
      <w:marBottom w:val="0"/>
      <w:divBdr>
        <w:top w:val="none" w:sz="0" w:space="0" w:color="auto"/>
        <w:left w:val="none" w:sz="0" w:space="0" w:color="auto"/>
        <w:bottom w:val="none" w:sz="0" w:space="0" w:color="auto"/>
        <w:right w:val="none" w:sz="0" w:space="0" w:color="auto"/>
      </w:divBdr>
    </w:div>
    <w:div w:id="469053845">
      <w:bodyDiv w:val="1"/>
      <w:marLeft w:val="0"/>
      <w:marRight w:val="0"/>
      <w:marTop w:val="0"/>
      <w:marBottom w:val="0"/>
      <w:divBdr>
        <w:top w:val="none" w:sz="0" w:space="0" w:color="auto"/>
        <w:left w:val="none" w:sz="0" w:space="0" w:color="auto"/>
        <w:bottom w:val="none" w:sz="0" w:space="0" w:color="auto"/>
        <w:right w:val="none" w:sz="0" w:space="0" w:color="auto"/>
      </w:divBdr>
      <w:divsChild>
        <w:div w:id="1118184787">
          <w:marLeft w:val="0"/>
          <w:marRight w:val="0"/>
          <w:marTop w:val="0"/>
          <w:marBottom w:val="0"/>
          <w:divBdr>
            <w:top w:val="none" w:sz="0" w:space="0" w:color="auto"/>
            <w:left w:val="none" w:sz="0" w:space="0" w:color="auto"/>
            <w:bottom w:val="none" w:sz="0" w:space="0" w:color="auto"/>
            <w:right w:val="none" w:sz="0" w:space="0" w:color="auto"/>
          </w:divBdr>
        </w:div>
        <w:div w:id="1791557908">
          <w:marLeft w:val="0"/>
          <w:marRight w:val="0"/>
          <w:marTop w:val="0"/>
          <w:marBottom w:val="0"/>
          <w:divBdr>
            <w:top w:val="none" w:sz="0" w:space="0" w:color="auto"/>
            <w:left w:val="none" w:sz="0" w:space="0" w:color="auto"/>
            <w:bottom w:val="none" w:sz="0" w:space="0" w:color="auto"/>
            <w:right w:val="none" w:sz="0" w:space="0" w:color="auto"/>
          </w:divBdr>
        </w:div>
      </w:divsChild>
    </w:div>
    <w:div w:id="556015927">
      <w:bodyDiv w:val="1"/>
      <w:marLeft w:val="0"/>
      <w:marRight w:val="0"/>
      <w:marTop w:val="0"/>
      <w:marBottom w:val="0"/>
      <w:divBdr>
        <w:top w:val="none" w:sz="0" w:space="0" w:color="auto"/>
        <w:left w:val="none" w:sz="0" w:space="0" w:color="auto"/>
        <w:bottom w:val="none" w:sz="0" w:space="0" w:color="auto"/>
        <w:right w:val="none" w:sz="0" w:space="0" w:color="auto"/>
      </w:divBdr>
    </w:div>
    <w:div w:id="569728253">
      <w:bodyDiv w:val="1"/>
      <w:marLeft w:val="0"/>
      <w:marRight w:val="0"/>
      <w:marTop w:val="0"/>
      <w:marBottom w:val="0"/>
      <w:divBdr>
        <w:top w:val="none" w:sz="0" w:space="0" w:color="auto"/>
        <w:left w:val="none" w:sz="0" w:space="0" w:color="auto"/>
        <w:bottom w:val="none" w:sz="0" w:space="0" w:color="auto"/>
        <w:right w:val="none" w:sz="0" w:space="0" w:color="auto"/>
      </w:divBdr>
    </w:div>
    <w:div w:id="600721957">
      <w:bodyDiv w:val="1"/>
      <w:marLeft w:val="0"/>
      <w:marRight w:val="0"/>
      <w:marTop w:val="0"/>
      <w:marBottom w:val="0"/>
      <w:divBdr>
        <w:top w:val="none" w:sz="0" w:space="0" w:color="auto"/>
        <w:left w:val="none" w:sz="0" w:space="0" w:color="auto"/>
        <w:bottom w:val="none" w:sz="0" w:space="0" w:color="auto"/>
        <w:right w:val="none" w:sz="0" w:space="0" w:color="auto"/>
      </w:divBdr>
    </w:div>
    <w:div w:id="650718799">
      <w:bodyDiv w:val="1"/>
      <w:marLeft w:val="0"/>
      <w:marRight w:val="0"/>
      <w:marTop w:val="0"/>
      <w:marBottom w:val="0"/>
      <w:divBdr>
        <w:top w:val="none" w:sz="0" w:space="0" w:color="auto"/>
        <w:left w:val="none" w:sz="0" w:space="0" w:color="auto"/>
        <w:bottom w:val="none" w:sz="0" w:space="0" w:color="auto"/>
        <w:right w:val="none" w:sz="0" w:space="0" w:color="auto"/>
      </w:divBdr>
    </w:div>
    <w:div w:id="703023477">
      <w:bodyDiv w:val="1"/>
      <w:marLeft w:val="0"/>
      <w:marRight w:val="0"/>
      <w:marTop w:val="0"/>
      <w:marBottom w:val="0"/>
      <w:divBdr>
        <w:top w:val="none" w:sz="0" w:space="0" w:color="auto"/>
        <w:left w:val="none" w:sz="0" w:space="0" w:color="auto"/>
        <w:bottom w:val="none" w:sz="0" w:space="0" w:color="auto"/>
        <w:right w:val="none" w:sz="0" w:space="0" w:color="auto"/>
      </w:divBdr>
    </w:div>
    <w:div w:id="853422730">
      <w:bodyDiv w:val="1"/>
      <w:marLeft w:val="0"/>
      <w:marRight w:val="0"/>
      <w:marTop w:val="0"/>
      <w:marBottom w:val="0"/>
      <w:divBdr>
        <w:top w:val="none" w:sz="0" w:space="0" w:color="auto"/>
        <w:left w:val="none" w:sz="0" w:space="0" w:color="auto"/>
        <w:bottom w:val="none" w:sz="0" w:space="0" w:color="auto"/>
        <w:right w:val="none" w:sz="0" w:space="0" w:color="auto"/>
      </w:divBdr>
    </w:div>
    <w:div w:id="924606397">
      <w:bodyDiv w:val="1"/>
      <w:marLeft w:val="0"/>
      <w:marRight w:val="0"/>
      <w:marTop w:val="0"/>
      <w:marBottom w:val="0"/>
      <w:divBdr>
        <w:top w:val="none" w:sz="0" w:space="0" w:color="auto"/>
        <w:left w:val="none" w:sz="0" w:space="0" w:color="auto"/>
        <w:bottom w:val="none" w:sz="0" w:space="0" w:color="auto"/>
        <w:right w:val="none" w:sz="0" w:space="0" w:color="auto"/>
      </w:divBdr>
    </w:div>
    <w:div w:id="984091078">
      <w:bodyDiv w:val="1"/>
      <w:marLeft w:val="0"/>
      <w:marRight w:val="0"/>
      <w:marTop w:val="0"/>
      <w:marBottom w:val="0"/>
      <w:divBdr>
        <w:top w:val="none" w:sz="0" w:space="0" w:color="auto"/>
        <w:left w:val="none" w:sz="0" w:space="0" w:color="auto"/>
        <w:bottom w:val="none" w:sz="0" w:space="0" w:color="auto"/>
        <w:right w:val="none" w:sz="0" w:space="0" w:color="auto"/>
      </w:divBdr>
    </w:div>
    <w:div w:id="1070619580">
      <w:bodyDiv w:val="1"/>
      <w:marLeft w:val="0"/>
      <w:marRight w:val="0"/>
      <w:marTop w:val="0"/>
      <w:marBottom w:val="0"/>
      <w:divBdr>
        <w:top w:val="none" w:sz="0" w:space="0" w:color="auto"/>
        <w:left w:val="none" w:sz="0" w:space="0" w:color="auto"/>
        <w:bottom w:val="none" w:sz="0" w:space="0" w:color="auto"/>
        <w:right w:val="none" w:sz="0" w:space="0" w:color="auto"/>
      </w:divBdr>
    </w:div>
    <w:div w:id="1113137111">
      <w:bodyDiv w:val="1"/>
      <w:marLeft w:val="0"/>
      <w:marRight w:val="0"/>
      <w:marTop w:val="0"/>
      <w:marBottom w:val="0"/>
      <w:divBdr>
        <w:top w:val="none" w:sz="0" w:space="0" w:color="auto"/>
        <w:left w:val="none" w:sz="0" w:space="0" w:color="auto"/>
        <w:bottom w:val="none" w:sz="0" w:space="0" w:color="auto"/>
        <w:right w:val="none" w:sz="0" w:space="0" w:color="auto"/>
      </w:divBdr>
    </w:div>
    <w:div w:id="1247419451">
      <w:bodyDiv w:val="1"/>
      <w:marLeft w:val="0"/>
      <w:marRight w:val="0"/>
      <w:marTop w:val="0"/>
      <w:marBottom w:val="0"/>
      <w:divBdr>
        <w:top w:val="none" w:sz="0" w:space="0" w:color="auto"/>
        <w:left w:val="none" w:sz="0" w:space="0" w:color="auto"/>
        <w:bottom w:val="none" w:sz="0" w:space="0" w:color="auto"/>
        <w:right w:val="none" w:sz="0" w:space="0" w:color="auto"/>
      </w:divBdr>
    </w:div>
    <w:div w:id="1448818779">
      <w:bodyDiv w:val="1"/>
      <w:marLeft w:val="0"/>
      <w:marRight w:val="0"/>
      <w:marTop w:val="0"/>
      <w:marBottom w:val="0"/>
      <w:divBdr>
        <w:top w:val="none" w:sz="0" w:space="0" w:color="auto"/>
        <w:left w:val="none" w:sz="0" w:space="0" w:color="auto"/>
        <w:bottom w:val="none" w:sz="0" w:space="0" w:color="auto"/>
        <w:right w:val="none" w:sz="0" w:space="0" w:color="auto"/>
      </w:divBdr>
    </w:div>
    <w:div w:id="1487165672">
      <w:bodyDiv w:val="1"/>
      <w:marLeft w:val="0"/>
      <w:marRight w:val="0"/>
      <w:marTop w:val="0"/>
      <w:marBottom w:val="0"/>
      <w:divBdr>
        <w:top w:val="none" w:sz="0" w:space="0" w:color="auto"/>
        <w:left w:val="none" w:sz="0" w:space="0" w:color="auto"/>
        <w:bottom w:val="none" w:sz="0" w:space="0" w:color="auto"/>
        <w:right w:val="none" w:sz="0" w:space="0" w:color="auto"/>
      </w:divBdr>
    </w:div>
    <w:div w:id="1721900536">
      <w:bodyDiv w:val="1"/>
      <w:marLeft w:val="0"/>
      <w:marRight w:val="0"/>
      <w:marTop w:val="0"/>
      <w:marBottom w:val="0"/>
      <w:divBdr>
        <w:top w:val="none" w:sz="0" w:space="0" w:color="auto"/>
        <w:left w:val="none" w:sz="0" w:space="0" w:color="auto"/>
        <w:bottom w:val="none" w:sz="0" w:space="0" w:color="auto"/>
        <w:right w:val="none" w:sz="0" w:space="0" w:color="auto"/>
      </w:divBdr>
    </w:div>
    <w:div w:id="1908834286">
      <w:bodyDiv w:val="1"/>
      <w:marLeft w:val="0"/>
      <w:marRight w:val="0"/>
      <w:marTop w:val="0"/>
      <w:marBottom w:val="0"/>
      <w:divBdr>
        <w:top w:val="none" w:sz="0" w:space="0" w:color="auto"/>
        <w:left w:val="none" w:sz="0" w:space="0" w:color="auto"/>
        <w:bottom w:val="none" w:sz="0" w:space="0" w:color="auto"/>
        <w:right w:val="none" w:sz="0" w:space="0" w:color="auto"/>
      </w:divBdr>
    </w:div>
    <w:div w:id="1928729937">
      <w:bodyDiv w:val="1"/>
      <w:marLeft w:val="0"/>
      <w:marRight w:val="0"/>
      <w:marTop w:val="0"/>
      <w:marBottom w:val="0"/>
      <w:divBdr>
        <w:top w:val="none" w:sz="0" w:space="0" w:color="auto"/>
        <w:left w:val="none" w:sz="0" w:space="0" w:color="auto"/>
        <w:bottom w:val="none" w:sz="0" w:space="0" w:color="auto"/>
        <w:right w:val="none" w:sz="0" w:space="0" w:color="auto"/>
      </w:divBdr>
    </w:div>
    <w:div w:id="1977442671">
      <w:bodyDiv w:val="1"/>
      <w:marLeft w:val="0"/>
      <w:marRight w:val="0"/>
      <w:marTop w:val="0"/>
      <w:marBottom w:val="0"/>
      <w:divBdr>
        <w:top w:val="none" w:sz="0" w:space="0" w:color="auto"/>
        <w:left w:val="none" w:sz="0" w:space="0" w:color="auto"/>
        <w:bottom w:val="none" w:sz="0" w:space="0" w:color="auto"/>
        <w:right w:val="none" w:sz="0" w:space="0" w:color="auto"/>
      </w:divBdr>
    </w:div>
    <w:div w:id="1986469639">
      <w:bodyDiv w:val="1"/>
      <w:marLeft w:val="0"/>
      <w:marRight w:val="0"/>
      <w:marTop w:val="0"/>
      <w:marBottom w:val="0"/>
      <w:divBdr>
        <w:top w:val="none" w:sz="0" w:space="0" w:color="auto"/>
        <w:left w:val="none" w:sz="0" w:space="0" w:color="auto"/>
        <w:bottom w:val="none" w:sz="0" w:space="0" w:color="auto"/>
        <w:right w:val="none" w:sz="0" w:space="0" w:color="auto"/>
      </w:divBdr>
    </w:div>
    <w:div w:id="2013332351">
      <w:bodyDiv w:val="1"/>
      <w:marLeft w:val="0"/>
      <w:marRight w:val="0"/>
      <w:marTop w:val="0"/>
      <w:marBottom w:val="0"/>
      <w:divBdr>
        <w:top w:val="none" w:sz="0" w:space="0" w:color="auto"/>
        <w:left w:val="none" w:sz="0" w:space="0" w:color="auto"/>
        <w:bottom w:val="none" w:sz="0" w:space="0" w:color="auto"/>
        <w:right w:val="none" w:sz="0" w:space="0" w:color="auto"/>
      </w:divBdr>
    </w:div>
    <w:div w:id="2015456361">
      <w:bodyDiv w:val="1"/>
      <w:marLeft w:val="0"/>
      <w:marRight w:val="0"/>
      <w:marTop w:val="0"/>
      <w:marBottom w:val="0"/>
      <w:divBdr>
        <w:top w:val="none" w:sz="0" w:space="0" w:color="auto"/>
        <w:left w:val="none" w:sz="0" w:space="0" w:color="auto"/>
        <w:bottom w:val="none" w:sz="0" w:space="0" w:color="auto"/>
        <w:right w:val="none" w:sz="0" w:space="0" w:color="auto"/>
      </w:divBdr>
    </w:div>
    <w:div w:id="2049600170">
      <w:bodyDiv w:val="1"/>
      <w:marLeft w:val="0"/>
      <w:marRight w:val="0"/>
      <w:marTop w:val="0"/>
      <w:marBottom w:val="0"/>
      <w:divBdr>
        <w:top w:val="none" w:sz="0" w:space="0" w:color="auto"/>
        <w:left w:val="none" w:sz="0" w:space="0" w:color="auto"/>
        <w:bottom w:val="none" w:sz="0" w:space="0" w:color="auto"/>
        <w:right w:val="none" w:sz="0" w:space="0" w:color="auto"/>
      </w:divBdr>
    </w:div>
    <w:div w:id="2082016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2748</Words>
  <Characters>1567</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ВИСНОВОК</vt:lpstr>
    </vt:vector>
  </TitlesOfParts>
  <Company>Verkhovna Rada</Company>
  <LinksUpToDate>false</LinksUpToDate>
  <CharactersWithSpaces>4307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ВИСНОВОК</dc:title>
  <dc:subject/>
  <dc:creator>user</dc:creator>
  <cp:keywords/>
  <cp:lastModifiedBy>Фостик Богдан Володимирович</cp:lastModifiedBy>
  <cp:revision>5</cp:revision>
  <cp:lastPrinted>2012-05-16T14:13:00Z</cp:lastPrinted>
  <dcterms:created xsi:type="dcterms:W3CDTF">2020-05-08T10:12:00Z</dcterms:created>
  <dcterms:modified xsi:type="dcterms:W3CDTF">2020-05-19T06:17:00Z</dcterms:modified>
</cp:coreProperties>
</file>