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E3A9E" w:rsidRPr="00AD7F82" w14:paraId="4A373834" w14:textId="77777777" w:rsidTr="00EE3A9E">
        <w:tc>
          <w:tcPr>
            <w:tcW w:w="11957" w:type="dxa"/>
            <w:tcBorders>
              <w:top w:val="nil"/>
              <w:left w:val="nil"/>
              <w:bottom w:val="nil"/>
              <w:right w:val="nil"/>
            </w:tcBorders>
          </w:tcPr>
          <w:p w14:paraId="7FE4D5DE" w14:textId="77777777" w:rsidR="00EE3A9E" w:rsidRPr="00AD7F82" w:rsidRDefault="00EE3A9E" w:rsidP="000A7BFB">
            <w:pPr>
              <w:pStyle w:val="a4"/>
              <w:tabs>
                <w:tab w:val="clear" w:pos="4677"/>
                <w:tab w:val="clear" w:pos="9355"/>
              </w:tabs>
              <w:rPr>
                <w:rFonts w:ascii="Times New Roman" w:hAnsi="Times New Roman"/>
                <w:color w:val="002060"/>
                <w:sz w:val="32"/>
                <w:szCs w:val="32"/>
              </w:rPr>
            </w:pPr>
            <w:bookmarkStart w:id="0" w:name="_GoBack"/>
            <w:bookmarkEnd w:id="0"/>
          </w:p>
          <w:p w14:paraId="08ED9B24"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1E65605D"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322E90AD" w14:textId="77777777" w:rsidR="00EE3A9E" w:rsidRPr="002E0A18" w:rsidRDefault="00EE3A9E" w:rsidP="000A7BFB">
            <w:pPr>
              <w:pStyle w:val="a4"/>
              <w:tabs>
                <w:tab w:val="clear" w:pos="4677"/>
                <w:tab w:val="clear" w:pos="9355"/>
              </w:tabs>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59264" behindDoc="0" locked="0" layoutInCell="1" allowOverlap="1" wp14:anchorId="43740486" wp14:editId="54DE562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14:paraId="3F70FBDD" w14:textId="77777777" w:rsidR="00EE3A9E" w:rsidRPr="00A833C8" w:rsidRDefault="00EE3A9E" w:rsidP="000A7BFB">
            <w:pPr>
              <w:pStyle w:val="a4"/>
              <w:tabs>
                <w:tab w:val="clear" w:pos="4677"/>
                <w:tab w:val="clear" w:pos="9355"/>
              </w:tabs>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14:paraId="6C7B1DE8" w14:textId="77777777" w:rsidR="00EE3A9E" w:rsidRPr="00A833C8" w:rsidRDefault="00EE3A9E" w:rsidP="000A7BFB">
            <w:pPr>
              <w:pStyle w:val="a4"/>
              <w:tabs>
                <w:tab w:val="clear" w:pos="4677"/>
                <w:tab w:val="clear" w:pos="9355"/>
              </w:tabs>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EE3A9E" w:rsidRPr="00053776" w14:paraId="10FEB188" w14:textId="77777777" w:rsidTr="00EE3A9E">
        <w:tc>
          <w:tcPr>
            <w:tcW w:w="11887" w:type="dxa"/>
          </w:tcPr>
          <w:p w14:paraId="152D96CB" w14:textId="77777777" w:rsidR="00EE3A9E" w:rsidRPr="0046762A" w:rsidRDefault="00EE3A9E" w:rsidP="000A7BFB">
            <w:pPr>
              <w:pStyle w:val="a4"/>
              <w:tabs>
                <w:tab w:val="clear" w:pos="4677"/>
                <w:tab w:val="clear" w:pos="9355"/>
              </w:tabs>
              <w:rPr>
                <w:rFonts w:ascii="Times New Roman" w:hAnsi="Times New Roman"/>
                <w:color w:val="002060"/>
                <w:lang w:val="ru-RU"/>
              </w:rPr>
            </w:pPr>
          </w:p>
        </w:tc>
      </w:tr>
    </w:tbl>
    <w:p w14:paraId="28B93DEE" w14:textId="6C478D85" w:rsidR="007A5A9D" w:rsidRPr="007A5A9D" w:rsidRDefault="007A5A9D" w:rsidP="007A5A9D">
      <w:pPr>
        <w:tabs>
          <w:tab w:val="left" w:pos="3795"/>
        </w:tabs>
        <w:jc w:val="right"/>
        <w:rPr>
          <w:rFonts w:ascii="Times New Roman" w:hAnsi="Times New Roman" w:cs="Times New Roman"/>
          <w:sz w:val="24"/>
          <w:szCs w:val="24"/>
        </w:rPr>
      </w:pPr>
    </w:p>
    <w:p w14:paraId="44D474C7" w14:textId="77777777" w:rsidR="007A5A9D" w:rsidRPr="007A5A9D" w:rsidRDefault="007A5A9D" w:rsidP="007A5A9D">
      <w:pPr>
        <w:tabs>
          <w:tab w:val="left" w:pos="3795"/>
        </w:tabs>
        <w:jc w:val="right"/>
        <w:rPr>
          <w:rFonts w:ascii="Times New Roman" w:hAnsi="Times New Roman" w:cs="Times New Roman"/>
          <w:sz w:val="24"/>
          <w:szCs w:val="24"/>
        </w:rPr>
      </w:pPr>
      <w:r w:rsidRPr="007A5A9D">
        <w:rPr>
          <w:rFonts w:ascii="Times New Roman" w:hAnsi="Times New Roman" w:cs="Times New Roman"/>
          <w:sz w:val="24"/>
          <w:szCs w:val="24"/>
        </w:rPr>
        <w:t>До реєстр. №3450</w:t>
      </w:r>
    </w:p>
    <w:p w14:paraId="2590DC33" w14:textId="77777777" w:rsidR="007A5A9D" w:rsidRPr="007A5A9D" w:rsidRDefault="007A5A9D" w:rsidP="007A5A9D">
      <w:pPr>
        <w:tabs>
          <w:tab w:val="left" w:pos="3795"/>
        </w:tabs>
        <w:jc w:val="right"/>
        <w:rPr>
          <w:rFonts w:ascii="Times New Roman" w:hAnsi="Times New Roman" w:cs="Times New Roman"/>
          <w:sz w:val="24"/>
          <w:szCs w:val="24"/>
        </w:rPr>
      </w:pPr>
      <w:r w:rsidRPr="007A5A9D">
        <w:rPr>
          <w:rFonts w:ascii="Times New Roman" w:hAnsi="Times New Roman" w:cs="Times New Roman"/>
          <w:sz w:val="24"/>
          <w:szCs w:val="24"/>
        </w:rPr>
        <w:t>(друге читання)</w:t>
      </w:r>
    </w:p>
    <w:p w14:paraId="6BA04CE8" w14:textId="77777777" w:rsidR="007A5A9D" w:rsidRPr="007A5A9D" w:rsidRDefault="007A5A9D" w:rsidP="007A5A9D">
      <w:pPr>
        <w:tabs>
          <w:tab w:val="left" w:pos="3795"/>
        </w:tabs>
        <w:rPr>
          <w:rFonts w:ascii="Times New Roman" w:hAnsi="Times New Roman" w:cs="Times New Roman"/>
          <w:sz w:val="28"/>
          <w:szCs w:val="28"/>
        </w:rPr>
      </w:pPr>
    </w:p>
    <w:p w14:paraId="1EB1B06C" w14:textId="77777777" w:rsidR="007A5A9D" w:rsidRPr="007A5A9D" w:rsidRDefault="007A5A9D" w:rsidP="007A5A9D">
      <w:pPr>
        <w:tabs>
          <w:tab w:val="left" w:pos="3795"/>
        </w:tabs>
        <w:rPr>
          <w:rFonts w:ascii="Times New Roman" w:hAnsi="Times New Roman" w:cs="Times New Roman"/>
          <w:sz w:val="28"/>
          <w:szCs w:val="28"/>
        </w:rPr>
      </w:pPr>
    </w:p>
    <w:p w14:paraId="21C9D483" w14:textId="77777777" w:rsidR="007A5A9D" w:rsidRPr="007A5A9D" w:rsidRDefault="007A5A9D" w:rsidP="007A5A9D">
      <w:pPr>
        <w:tabs>
          <w:tab w:val="left" w:pos="3795"/>
        </w:tabs>
        <w:jc w:val="center"/>
        <w:rPr>
          <w:rFonts w:ascii="Times New Roman" w:hAnsi="Times New Roman" w:cs="Times New Roman"/>
          <w:b/>
          <w:sz w:val="28"/>
          <w:szCs w:val="28"/>
        </w:rPr>
      </w:pPr>
      <w:r w:rsidRPr="007A5A9D">
        <w:rPr>
          <w:rFonts w:ascii="Times New Roman" w:hAnsi="Times New Roman" w:cs="Times New Roman"/>
          <w:b/>
          <w:sz w:val="28"/>
          <w:szCs w:val="28"/>
        </w:rPr>
        <w:t>ЗАУВАЖЕННЯ</w:t>
      </w:r>
    </w:p>
    <w:p w14:paraId="177CD614" w14:textId="77777777" w:rsidR="007A5A9D" w:rsidRDefault="007A5A9D" w:rsidP="007A5A9D">
      <w:pPr>
        <w:tabs>
          <w:tab w:val="left" w:pos="3795"/>
        </w:tabs>
        <w:jc w:val="center"/>
        <w:rPr>
          <w:rFonts w:ascii="Times New Roman" w:hAnsi="Times New Roman" w:cs="Times New Roman"/>
          <w:b/>
          <w:sz w:val="28"/>
          <w:szCs w:val="28"/>
        </w:rPr>
      </w:pPr>
      <w:r w:rsidRPr="007A5A9D">
        <w:rPr>
          <w:rFonts w:ascii="Times New Roman" w:hAnsi="Times New Roman" w:cs="Times New Roman"/>
          <w:b/>
          <w:sz w:val="28"/>
          <w:szCs w:val="28"/>
        </w:rPr>
        <w:t xml:space="preserve">до проекту Закону України «Про внесення змін до Закону України </w:t>
      </w:r>
    </w:p>
    <w:p w14:paraId="0804E51E" w14:textId="77777777" w:rsidR="007A5A9D" w:rsidRDefault="007A5A9D" w:rsidP="007A5A9D">
      <w:pPr>
        <w:tabs>
          <w:tab w:val="left" w:pos="3795"/>
        </w:tabs>
        <w:jc w:val="center"/>
        <w:rPr>
          <w:rFonts w:ascii="Times New Roman" w:hAnsi="Times New Roman" w:cs="Times New Roman"/>
          <w:b/>
          <w:sz w:val="28"/>
          <w:szCs w:val="28"/>
        </w:rPr>
      </w:pPr>
      <w:r>
        <w:rPr>
          <w:rFonts w:ascii="Times New Roman" w:hAnsi="Times New Roman" w:cs="Times New Roman"/>
          <w:b/>
          <w:sz w:val="28"/>
          <w:szCs w:val="28"/>
        </w:rPr>
        <w:t>«</w:t>
      </w:r>
      <w:r w:rsidRPr="007A5A9D">
        <w:rPr>
          <w:rFonts w:ascii="Times New Roman" w:hAnsi="Times New Roman" w:cs="Times New Roman"/>
          <w:b/>
          <w:sz w:val="28"/>
          <w:szCs w:val="28"/>
        </w:rPr>
        <w:t xml:space="preserve">Про запобігання корупції» щодо упорядкування окремих питань </w:t>
      </w:r>
    </w:p>
    <w:p w14:paraId="783F4925" w14:textId="0403273C" w:rsidR="007A5A9D" w:rsidRPr="007A5A9D" w:rsidRDefault="007A5A9D" w:rsidP="007A5A9D">
      <w:pPr>
        <w:tabs>
          <w:tab w:val="left" w:pos="3795"/>
        </w:tabs>
        <w:jc w:val="center"/>
        <w:rPr>
          <w:rFonts w:ascii="Times New Roman" w:hAnsi="Times New Roman" w:cs="Times New Roman"/>
          <w:b/>
          <w:sz w:val="28"/>
          <w:szCs w:val="28"/>
        </w:rPr>
      </w:pPr>
      <w:r w:rsidRPr="007A5A9D">
        <w:rPr>
          <w:rFonts w:ascii="Times New Roman" w:hAnsi="Times New Roman" w:cs="Times New Roman"/>
          <w:b/>
          <w:sz w:val="28"/>
          <w:szCs w:val="28"/>
        </w:rPr>
        <w:t>захисту викривачів»</w:t>
      </w:r>
    </w:p>
    <w:p w14:paraId="2EE60E06" w14:textId="77777777" w:rsidR="007A5A9D" w:rsidRPr="007A5A9D" w:rsidRDefault="007A5A9D" w:rsidP="007A5A9D">
      <w:pPr>
        <w:tabs>
          <w:tab w:val="left" w:pos="3795"/>
        </w:tabs>
        <w:jc w:val="center"/>
        <w:rPr>
          <w:rFonts w:ascii="Times New Roman" w:hAnsi="Times New Roman" w:cs="Times New Roman"/>
          <w:b/>
          <w:sz w:val="28"/>
          <w:szCs w:val="28"/>
        </w:rPr>
      </w:pPr>
      <w:r w:rsidRPr="007A5A9D">
        <w:rPr>
          <w:rFonts w:ascii="Times New Roman" w:hAnsi="Times New Roman" w:cs="Times New Roman"/>
          <w:b/>
          <w:sz w:val="28"/>
          <w:szCs w:val="28"/>
        </w:rPr>
        <w:t>(реєстраційний № 3450)</w:t>
      </w:r>
    </w:p>
    <w:p w14:paraId="31683441" w14:textId="77777777" w:rsidR="007A5A9D" w:rsidRPr="007A5A9D" w:rsidRDefault="007A5A9D" w:rsidP="007A5A9D">
      <w:pPr>
        <w:tabs>
          <w:tab w:val="left" w:pos="3795"/>
        </w:tabs>
        <w:rPr>
          <w:rFonts w:ascii="Times New Roman" w:hAnsi="Times New Roman" w:cs="Times New Roman"/>
          <w:sz w:val="28"/>
          <w:szCs w:val="28"/>
        </w:rPr>
      </w:pPr>
    </w:p>
    <w:p w14:paraId="133BF541"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У Головному юридичному управлінні проаналізовано проект Закону України «Про внесення змін до Закону України «Про запобігання корупції» щодо упорядкування окремих питань захисту викривачів», підготовлений Комітетом з питань антикорупційної політики для розгляду Верховною Радою України в другому читанні.</w:t>
      </w:r>
    </w:p>
    <w:p w14:paraId="71FCD67D"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Як вбачається з пояснювальної записки, метою законопроекту є створення Єдиного порталу повідомлень викривачів та закріплення гарантії правового захисту викривачів виключно через адвокатів системи безоплатної правової допомоги.</w:t>
      </w:r>
    </w:p>
    <w:p w14:paraId="0BBD6409"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У зв’язку з цим пропонувалося </w:t>
      </w:r>
      <w:proofErr w:type="spellStart"/>
      <w:r w:rsidRPr="007A5A9D">
        <w:rPr>
          <w:rFonts w:ascii="Times New Roman" w:hAnsi="Times New Roman" w:cs="Times New Roman"/>
          <w:sz w:val="28"/>
          <w:szCs w:val="28"/>
        </w:rPr>
        <w:t>внести</w:t>
      </w:r>
      <w:proofErr w:type="spellEnd"/>
      <w:r w:rsidRPr="007A5A9D">
        <w:rPr>
          <w:rFonts w:ascii="Times New Roman" w:hAnsi="Times New Roman" w:cs="Times New Roman"/>
          <w:sz w:val="28"/>
          <w:szCs w:val="28"/>
        </w:rPr>
        <w:t xml:space="preserve"> зміни до Закону України «Про запобігання корупції», а також до Цивільного процесуального кодексу України та Кодексу адміністративного судочинства України, які гарантували б реалізацію права викривачів на захист у судах з боку адвокатів системи безоплатної правової допомоги. Проте слід звернути увагу, що при підготовці проекту до другого читання положення щодо внесення змін до Цивільного процесуального кодексу України та Кодексу адміністративного судочинства України було виключено з тексту законопроекту, а відтак, змінено його концепцію, у зв’язку з чим не буде створено відповідного механізму задля досягнення  задекларованої у пояснювальній записці мети цього законопроекту. </w:t>
      </w:r>
    </w:p>
    <w:p w14:paraId="7A0CC3EE" w14:textId="77777777" w:rsid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За результатами аналізу тексту законопроекту вважаємо за необхідне зазначити таке.</w:t>
      </w:r>
    </w:p>
    <w:p w14:paraId="3A72888C" w14:textId="07DE6671"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1. Відповідно до абзацу двадцять третього частини першої статті 1 Закону (в редакції проекту) «регулярні канали повідомлення про можливі факти корупційних або пов’язаних з корупцією правопорушень – способи захищеного </w:t>
      </w:r>
      <w:r w:rsidRPr="007A5A9D">
        <w:rPr>
          <w:rFonts w:ascii="Times New Roman" w:hAnsi="Times New Roman" w:cs="Times New Roman"/>
          <w:sz w:val="28"/>
          <w:szCs w:val="28"/>
        </w:rPr>
        <w:lastRenderedPageBreak/>
        <w:t xml:space="preserve">(в тому числі анонімного) повідомлення інформації викривачем органам прокуратури, Національній поліції, Національному антикорупційному бюро України, Державному бюро розслідувань, Національному агентству з питань запобігання корупції». Тобто, повідомлення інформації викривачем  регулярними каналами повідомлення про можливі факти корупційних або, пов’язаних з корупцією правопорушень, може надійти органам прокуратури, Національної поліції, Національного антикорупційного бюро України, Державного бюро розслідувань,  Національного агентства з питань запобігання корупції. Проте згідно з існуючою редакцією абзацу чотирнадцятого частини першої статті 1 цього Закону  до спеціально уповноважених суб’єктів у сфері протидії корупції, у межах структурних підрозділів яких слід було б забезпечити функціонування відповідних регулярних каналів повідомлення для викривачів, належать: органи прокуратури, Національної поліції, Національне антикорупційне бюро України, Національне агентство з питань запобігання корупції. Відтак, створення та функціонування регулярних каналів повідомлення про ймовірні факти корупційних або пов’язаних з корупцією правопорушень у Державному бюро розслідувань, що не є спеціально уповноваженим суб’єктом у сфері протидії корупції,  призведе до необхідності на законодавчому рівні врегулювати його правовий статус та повноваження  у відповідній сфері, з метою уникнення правової невизначеності щодо процедури отримання та подальшого опрацювання повідомлень про ймовірні факти корупційних або пов’язаних з корупцією правопорушень. </w:t>
      </w:r>
    </w:p>
    <w:p w14:paraId="665B2F67" w14:textId="1D38CF1A"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2. Згідно з пунктом 5</w:t>
      </w:r>
      <w:r w:rsidRPr="0046762A">
        <w:rPr>
          <w:rFonts w:ascii="Times New Roman" w:hAnsi="Times New Roman" w:cs="Times New Roman"/>
          <w:sz w:val="28"/>
          <w:szCs w:val="28"/>
          <w:vertAlign w:val="superscript"/>
        </w:rPr>
        <w:t>2</w:t>
      </w:r>
      <w:r w:rsidRPr="007A5A9D">
        <w:rPr>
          <w:rFonts w:ascii="Times New Roman" w:hAnsi="Times New Roman" w:cs="Times New Roman"/>
          <w:sz w:val="28"/>
          <w:szCs w:val="28"/>
        </w:rPr>
        <w:t xml:space="preserve"> частини першої статті 12 Закону (в редакції проекту)  Національне агентство з питань запобігання корупції має право проводити перевірки функціонування внутрішніх і регулярних каналів повідомлення про можливі факти корупційних або пов’язаних з корупцією правопорушень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Водночас у частині першій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передбачається, що забезпечення функціонування внутрішніх і регулярних каналів повідомлення для викривачів зобов’язані забезпечити органи прокуратури, Національна поліція, Національне антикорупційне бюро України, Державне бюро розслідувань та Національне агентство, тоді як державні органи, органи влади Автономної Республіки Крим, органи місцевого самоврядування, юридичні особи публічного права та юридичні особи, зазначені у частині другій  статті 62 цього Закону, мають забезпечити функціонування виключно внутрішніх каналів повідомлення про можливі факти корупційних або пов’язаних з корупцією правопорушень.</w:t>
      </w:r>
    </w:p>
    <w:p w14:paraId="53367F53"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Разом з тим, необхідно зазначити, при визначенні повноважень Національного агентства з питань запобігання корупції щодо права проведення перевірки функціонування внутрішніх і регулярних каналів повідомлення про </w:t>
      </w:r>
      <w:r w:rsidRPr="007A5A9D">
        <w:rPr>
          <w:rFonts w:ascii="Times New Roman" w:hAnsi="Times New Roman" w:cs="Times New Roman"/>
          <w:sz w:val="28"/>
          <w:szCs w:val="28"/>
        </w:rPr>
        <w:lastRenderedPageBreak/>
        <w:t>можливі факти корупційних або пов’язаних з корупцією правопорушень, поза межами правового регулювання залишилося визначення критеріїв такої перевірки. Проте такий законодавчий підхід, з огляду на різний статус кола суб’єктів щодо яких проводитиметься  перевірка функціонування внутрішніх і регулярних каналів повідомлення про можливі факти корупційних або пов’язаних з корупцією правопорушень,  породжуватиме правову невизначеність.</w:t>
      </w:r>
    </w:p>
    <w:p w14:paraId="05974B87"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3. Відповідно до абзацу першого частини другої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(в редакції проекту) подання повідомлень (у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 здійснюється через відкритий для цілодобового доступу Єдиний портал повідомлень викривачів та спеціальні телефонні лінії.  А згідно з абзацом першим частини третьої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(в редакції проекту) Єдиний портал повідомлень викривачів гарантує дотримання умов конфіденційності та анонімності, а також доступ викривачів до інформації про стан та результати розгляду таких повідомлень, і є офіційним внутрішнім джерелом інформації про осіб, які мають статус викривачів. Такий законодавчий підхід породжуватиме, на нашу думку, правову невизначеність у контексті, чи буде Єдиний портал повідомлень викривачів реєстром осіб, які мають статус викривачів, чи це буде загальний сайт, на який може бути здійснено повідомлення про можливі факти корупційних або пов’язаних з корупцією правопорушень, чи це внутрішній канал повідомлення з огляду на положення абзацу першого частини другої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(в редакції проекту). Адже, відповідно до абзацу першого частини цієї статті  подання  повідомлень (у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 здійснюється через відкритий для цілодобового доступу Єдиний портал повідомлень викривачів та спеціальні телефонні лінії.</w:t>
      </w:r>
    </w:p>
    <w:p w14:paraId="183937DD" w14:textId="6C8AA96D"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Проте згідно з абзацом двадцять першим частини першої статті 1 «внутрішні канали повідомлення про можливі факти корупційних або пов’язаних з корупцією правопорушень, інших порушень цього  Закону – способи захищеного (в тому числі анонімного) повідомлення інформації викривачем керівнику або уповноваженому підрозділу (особі) органу, юридичної особи, у яких викривач працює, проходить службу чи навчання або на замовлення яких виконує роботу, а так само до органу вищого рівня, уповноважена особа якого здійснює контроль за дотриманням антикорупційного законодавства на підвідомчих підприємствах в установах і організаціях». А відтак,  на нашу думку, повідомлення інформації викривачем керівнику або уповноваженому підрозділу (особі) органу, юридичної особи, у яких викривач працює, проходить службу чи навчання або на замовлення яких </w:t>
      </w:r>
      <w:r w:rsidRPr="007A5A9D">
        <w:rPr>
          <w:rFonts w:ascii="Times New Roman" w:hAnsi="Times New Roman" w:cs="Times New Roman"/>
          <w:sz w:val="28"/>
          <w:szCs w:val="28"/>
        </w:rPr>
        <w:lastRenderedPageBreak/>
        <w:t>виконує роботу може здійснюватися безпосередньо, а не через Єдиний портал повідомлень викривачів.</w:t>
      </w:r>
    </w:p>
    <w:p w14:paraId="6620C724"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При цьому,  слід зазначити, що положеннями законопроекту не розкрито змісту «відкритості цілодобового доступу» такого порталу, не визначено основні необхідні умови його функціонування (зокрема, переліку інформації, що буде розміщуватися на Єдиному порталі відкрито (або обмежено в доступі), суб'єктів, що матимуть повний чи частковий доступ до розміщених відомостей).</w:t>
      </w:r>
    </w:p>
    <w:p w14:paraId="12849037"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 Натомість, з огляду на мету створення відповідного порталу та аналізуючи подальший алгоритм дій органів, що реагуватимуть на заявлені на порталі повідомлення, відкритість Єдиного порталу повідомлень викривачів мала б стосуватися забезпечення можливостей для осіб реєстрації на цьому інформаційному ресурсі повідомлень про можливі факти корупційних або пов’язаних з корупцією правопорушень (цілодобово та вільно). При цьому, відповідна інформація мала б використовуватися виключно уповноваженими на це органами (посадовими особами), без оприлюднення відомостей в мережі Інтернет невизначеному колу осіб. </w:t>
      </w:r>
    </w:p>
    <w:p w14:paraId="029D432F"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Проте, за такого формулювання норми абзацу першого частини другої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України «Про запобігання корупції» не узгоджуватимуться з положеннями абзацу третього частини другої цієї ж статті, що гарантують умови конфіденційності та анонімності інформації про викривачів.</w:t>
      </w:r>
    </w:p>
    <w:p w14:paraId="66271433"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Відтак, такий законодавчий підхід не враховує вимог статті 8 Конституції України щодо дії в Україні принципу верховенства права, оскільки суттєво порушує принцип юридичної визначеності закону.</w:t>
      </w:r>
    </w:p>
    <w:p w14:paraId="043ED63B"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Крім того, зауважуємо, що оскільки відповідно до законів збереження інформації, що обробляється повноважними на те органами, здійснюється шляхом адміністрування інформаційно-комунікаційних систем (баз даних, реєстрів тощо) та оприлюднення відповідної інформації шляхом розміщення на офіційних веб-сайтах цих органів або створення окремих інформаційних ресурсів, терміни «портал» та «веб-сайт», як правило, вживаються як спосіб відображення накопиченої інформації в мережі Інтернет чи назви інформаційно- комунікаційної системи. Враховуючи наведене, пропонуємо використовувати термінологію Закону України «Про захист інформації в інформаційно-телекомунікаційних системах».</w:t>
      </w:r>
    </w:p>
    <w:p w14:paraId="0512A401"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Разом з тим, частина друга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(в редакції проекту) містить положення про порядок подання повідомлень (в тому числі анонімних) через внутрішні, регулярні або зовнішні канали зв'язку. При цьому пропонується, крім механізму потрапляння інформації про можливі факти корупційних або пов’язаних з корупцією правопорушень через ці канали, виокремити ще якісь інші способи здійснення відповідних повідомлень (абзац третій частини другої цієї ж статті). Враховуючи те, що Закон передбачає наявність трьох </w:t>
      </w:r>
      <w:r w:rsidRPr="007A5A9D">
        <w:rPr>
          <w:rFonts w:ascii="Times New Roman" w:hAnsi="Times New Roman" w:cs="Times New Roman"/>
          <w:sz w:val="28"/>
          <w:szCs w:val="28"/>
        </w:rPr>
        <w:lastRenderedPageBreak/>
        <w:t>альтернативних каналів, що можуть використовуватися викривачем для повідомлення про ймовірні факти корупційних або пов’язаних з корупцією правопорушень (частина перша статті 53</w:t>
      </w:r>
      <w:r w:rsidRPr="0046762A">
        <w:rPr>
          <w:rFonts w:ascii="Times New Roman" w:hAnsi="Times New Roman" w:cs="Times New Roman"/>
          <w:sz w:val="28"/>
          <w:szCs w:val="28"/>
          <w:vertAlign w:val="superscript"/>
        </w:rPr>
        <w:t>2</w:t>
      </w:r>
      <w:r w:rsidRPr="007A5A9D">
        <w:rPr>
          <w:rFonts w:ascii="Times New Roman" w:hAnsi="Times New Roman" w:cs="Times New Roman"/>
          <w:sz w:val="28"/>
          <w:szCs w:val="28"/>
        </w:rPr>
        <w:t xml:space="preserve"> Закону) та створення Єдиного порталу повідомлень викривачів, окремі положення про можливість направлення повідомлення (в тому числі анонімного) у паперовій, електронній формі чи здійснення повідомлення на особистому прийомі, через спеціальну телефонну лінію, а не через вищезазначені канали зв’язку, виглядають зайвою деталізацією.</w:t>
      </w:r>
    </w:p>
    <w:p w14:paraId="738ACE57"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 xml:space="preserve">При цьому відповідно до пункту 2 розділу ІІ «Прикінцеві та перехідні положення» про початок роботи Єдиного порталу повідомлень викривачів відповідно до цього Закону приймається рішення Національного агентства з питань запобігання корупції. Відтак, термін початку роботи Єдиного порталу повідомлень викривачів законодавцем не визначено і початок його роботи ставиться в залежність від  рішення Національного агентства з питань запобігання корупції. Проте наведений спосіб  настання юридичного факту містить ознаки правової невизначеності, оскільки день введення в дію окремих положень залежить від прийняття рішення Національним агентством з питань запобігання корупції. Таким чином положення розділу ІІ «Прикінцеві та перехідні положення» щодо набрання чинності Законом з дня, наступного за днем його опублікування, потребує відповідного корегування. </w:t>
      </w:r>
    </w:p>
    <w:p w14:paraId="351FD8EA"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4.  Відповідно до абзацу четвертого частини другої статті 53</w:t>
      </w:r>
      <w:r w:rsidRPr="0046762A">
        <w:rPr>
          <w:rFonts w:ascii="Times New Roman" w:hAnsi="Times New Roman" w:cs="Times New Roman"/>
          <w:sz w:val="28"/>
          <w:szCs w:val="28"/>
          <w:vertAlign w:val="superscript"/>
        </w:rPr>
        <w:t>1</w:t>
      </w:r>
      <w:r w:rsidRPr="007A5A9D">
        <w:rPr>
          <w:rFonts w:ascii="Times New Roman" w:hAnsi="Times New Roman" w:cs="Times New Roman"/>
          <w:sz w:val="28"/>
          <w:szCs w:val="28"/>
        </w:rPr>
        <w:t xml:space="preserve"> Закону (в редакції проекту) «при використанні особою зовнішніх каналів здійснення повідомлення про можливі факти корупційних або пов’язаних з корупцією правопорушень, інших порушень цього Закону, внесення інформації до Єдиного порталу повідомлень викривачів здійснюється не пізніше наступного робочого дня з моменту її виявлення уповноваженою особою суб’єкта, до повноважень якого відноситься здійснення розгляду чи розслідування фактів, викладених у повідомленні». При цьому, під зовнішніми каналами повідомлення про можливі факти корупційних або пов’язаних з корупцією правопорушень, інших порушень цього Закону розуміються шляхи повідомлення інформації викривачем через фізичних чи юридичних осіб, у тому числі через засоби масової інформації, журналістів, громадські об’єднання, професійні спілки тощо (абзац двадцять другий частини першої статті 1 Закону). Однак аналіз зазначених законодавчих положень не дає змоги з’ясувати, яким чином здійснюватиметься моніторинг  повідомлень про можливі факти корупційних або пов’язаних з корупцією правопорушень, що повідомляються через засоби масової інформації, а також який саме суб’єкт буде уповноважений здійснювати розгляд фактів, викладених викривачем у повідомленні, що надійшли через зовнішні канали, якщо, скажімо, інформація стосується порушення Закону, вчиненого різними особами, або про вказаний факт повідомляється одразу кількома різними засобами масової інформації. За такого законодавчого підходу, на нашу думку, законопроект не містить </w:t>
      </w:r>
      <w:r w:rsidRPr="007A5A9D">
        <w:rPr>
          <w:rFonts w:ascii="Times New Roman" w:hAnsi="Times New Roman" w:cs="Times New Roman"/>
          <w:sz w:val="28"/>
          <w:szCs w:val="28"/>
        </w:rPr>
        <w:lastRenderedPageBreak/>
        <w:t xml:space="preserve">достатніх і завершених правових механізмів реалізації його положень, як того вимагає конституційний принцип правової держави, та не враховує рішення Конституційного Суду України від 30.05.2001 №7рп/2001 щодо повноти законодавчого регулювання суспільних відносин, його системності та комплексності. А відтак, навряд чи можна визнати ефективним запропонований порядок використання викривачем вказаних каналів щодо здійснення повідомлення про можливі факти корупційних або пов’язаних з корупцією правопорушень. </w:t>
      </w:r>
    </w:p>
    <w:p w14:paraId="74D33E27" w14:textId="00F24133"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5. Згідно з абзацом третім частини третьої статті 53</w:t>
      </w:r>
      <w:r w:rsidRPr="0046762A">
        <w:rPr>
          <w:rFonts w:ascii="Times New Roman" w:hAnsi="Times New Roman" w:cs="Times New Roman"/>
          <w:sz w:val="28"/>
          <w:szCs w:val="28"/>
          <w:vertAlign w:val="superscript"/>
        </w:rPr>
        <w:t>2</w:t>
      </w:r>
      <w:r w:rsidRPr="007A5A9D">
        <w:rPr>
          <w:rFonts w:ascii="Times New Roman" w:hAnsi="Times New Roman" w:cs="Times New Roman"/>
          <w:sz w:val="28"/>
          <w:szCs w:val="28"/>
        </w:rPr>
        <w:t xml:space="preserve"> Закону (в редакції проекту)  «у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особа, яка його здійснила, із одночасним роз’ясненням щодо компетенції органу або юридичної особи, уповноважених на проведення розгляду чи розслідування фактів, викладених у повідомленні». Проте по-перше, необхідно розуміти про які канали повідомлення йдеться у даному випадку з огляду на положення абзацу першого цієї ж частини. По-друге, на наш погляд, за результатами попереднього розгляду повідомлення відповідна особа може, зокрема, передати матеріали до органу досудового розслідування у разі встановлення ознак кримінального правопорушення або до інших уповноважених органів у порядку, передбаченому Кримінальним процесуальним кодексом, чи повідомити викривача щодо компетенції органів або юридичних осіб, уповноважених на проведення перевірки або розслідування відповідної інформації. Крім того, слід зазначити, що положення про припинення розгляду повідомлення у разі, якщо під час його попереднього розгляду встановлено, що воно не належить до компетенції органу або юридичної особи,  не враховує положення абзацу сьомого частини третьої статті 53</w:t>
      </w:r>
      <w:r w:rsidRPr="00630E11">
        <w:rPr>
          <w:rFonts w:ascii="Times New Roman" w:hAnsi="Times New Roman" w:cs="Times New Roman"/>
          <w:sz w:val="28"/>
          <w:szCs w:val="28"/>
          <w:vertAlign w:val="superscript"/>
        </w:rPr>
        <w:t>2</w:t>
      </w:r>
      <w:r w:rsidRPr="007A5A9D">
        <w:rPr>
          <w:rFonts w:ascii="Times New Roman" w:hAnsi="Times New Roman" w:cs="Times New Roman"/>
          <w:sz w:val="28"/>
          <w:szCs w:val="28"/>
        </w:rPr>
        <w:t xml:space="preserve"> Закону (в редакції проекту), відповідно до якого у разі якщо у ході проведення попереднього розгляду виявляються ознаки корупційного правопорушення чи правопорушення, пов’язаного з корупцією,  матеріали повинні передаватися відповідному спеціально уповноваженому суб’єкту у сфері протидії корупції або Державному бюро розслідувань. Подібний законодавчий підхід, на нашу думку, породжуватиме правову невизначеність. </w:t>
      </w:r>
    </w:p>
    <w:p w14:paraId="76E25799" w14:textId="77777777" w:rsidR="007A5A9D" w:rsidRPr="007A5A9D" w:rsidRDefault="007A5A9D" w:rsidP="007A5A9D">
      <w:pPr>
        <w:tabs>
          <w:tab w:val="left" w:pos="3795"/>
        </w:tabs>
        <w:spacing w:before="120"/>
        <w:ind w:firstLine="851"/>
        <w:jc w:val="both"/>
        <w:rPr>
          <w:rFonts w:ascii="Times New Roman" w:hAnsi="Times New Roman" w:cs="Times New Roman"/>
          <w:sz w:val="28"/>
          <w:szCs w:val="28"/>
        </w:rPr>
      </w:pPr>
      <w:r w:rsidRPr="007A5A9D">
        <w:rPr>
          <w:rFonts w:ascii="Times New Roman" w:hAnsi="Times New Roman" w:cs="Times New Roman"/>
          <w:sz w:val="28"/>
          <w:szCs w:val="28"/>
        </w:rPr>
        <w:t>Узагальнюючий висновок: законопроект може бути прийнятий у другому читанні з урахуванням зауважень Головного юридичного управління.</w:t>
      </w:r>
    </w:p>
    <w:p w14:paraId="644791EC" w14:textId="77777777" w:rsidR="007A5A9D" w:rsidRPr="007A5A9D" w:rsidRDefault="007A5A9D" w:rsidP="007A5A9D">
      <w:pPr>
        <w:tabs>
          <w:tab w:val="left" w:pos="3795"/>
        </w:tabs>
        <w:spacing w:before="120"/>
        <w:rPr>
          <w:rFonts w:ascii="Times New Roman" w:hAnsi="Times New Roman" w:cs="Times New Roman"/>
          <w:sz w:val="28"/>
          <w:szCs w:val="28"/>
        </w:rPr>
      </w:pPr>
    </w:p>
    <w:p w14:paraId="6A83AE38" w14:textId="0269DDF7" w:rsidR="007A5A9D" w:rsidRPr="007A5A9D" w:rsidRDefault="007A5A9D" w:rsidP="007A5A9D">
      <w:pPr>
        <w:tabs>
          <w:tab w:val="left" w:pos="3795"/>
        </w:tabs>
        <w:rPr>
          <w:rFonts w:ascii="Times New Roman" w:hAnsi="Times New Roman" w:cs="Times New Roman"/>
          <w:b/>
          <w:sz w:val="28"/>
          <w:szCs w:val="28"/>
        </w:rPr>
      </w:pPr>
      <w:r>
        <w:rPr>
          <w:rFonts w:ascii="Times New Roman" w:hAnsi="Times New Roman" w:cs="Times New Roman"/>
          <w:b/>
          <w:sz w:val="28"/>
          <w:szCs w:val="28"/>
        </w:rPr>
        <w:t xml:space="preserve">              </w:t>
      </w:r>
      <w:r w:rsidRPr="007A5A9D">
        <w:rPr>
          <w:rFonts w:ascii="Times New Roman" w:hAnsi="Times New Roman" w:cs="Times New Roman"/>
          <w:b/>
          <w:sz w:val="28"/>
          <w:szCs w:val="28"/>
        </w:rPr>
        <w:t xml:space="preserve">Перший заступник </w:t>
      </w:r>
    </w:p>
    <w:p w14:paraId="100D12FE" w14:textId="04017B60" w:rsidR="007A5A9D" w:rsidRPr="00717039" w:rsidRDefault="007A5A9D" w:rsidP="007A5A9D">
      <w:pPr>
        <w:tabs>
          <w:tab w:val="left" w:pos="3795"/>
        </w:tabs>
        <w:rPr>
          <w:rFonts w:ascii="Times New Roman" w:hAnsi="Times New Roman" w:cs="Times New Roman"/>
          <w:sz w:val="28"/>
          <w:szCs w:val="28"/>
        </w:rPr>
      </w:pPr>
      <w:r w:rsidRPr="007A5A9D">
        <w:rPr>
          <w:rFonts w:ascii="Times New Roman" w:hAnsi="Times New Roman" w:cs="Times New Roman"/>
          <w:b/>
          <w:sz w:val="28"/>
          <w:szCs w:val="28"/>
        </w:rPr>
        <w:t xml:space="preserve">керівника Головного управління        </w:t>
      </w:r>
      <w:r>
        <w:rPr>
          <w:rFonts w:ascii="Times New Roman" w:hAnsi="Times New Roman" w:cs="Times New Roman"/>
          <w:b/>
          <w:sz w:val="28"/>
          <w:szCs w:val="28"/>
        </w:rPr>
        <w:t xml:space="preserve">    </w:t>
      </w:r>
      <w:r w:rsidRPr="007A5A9D">
        <w:rPr>
          <w:rFonts w:ascii="Times New Roman" w:hAnsi="Times New Roman" w:cs="Times New Roman"/>
          <w:b/>
          <w:sz w:val="28"/>
          <w:szCs w:val="28"/>
        </w:rPr>
        <w:t xml:space="preserve">                                     А. НИЖНИК</w:t>
      </w:r>
    </w:p>
    <w:sectPr w:rsidR="007A5A9D" w:rsidRPr="00717039" w:rsidSect="007A5A9D">
      <w:footerReference w:type="default" r:id="rId9"/>
      <w:headerReference w:type="first" r:id="rId10"/>
      <w:pgSz w:w="11906" w:h="16838"/>
      <w:pgMar w:top="1440" w:right="991"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19B3F" w14:textId="77777777" w:rsidR="007819E1" w:rsidRDefault="007819E1" w:rsidP="00573DBD">
      <w:r>
        <w:separator/>
      </w:r>
    </w:p>
  </w:endnote>
  <w:endnote w:type="continuationSeparator" w:id="0">
    <w:p w14:paraId="3B240D3A" w14:textId="77777777" w:rsidR="007819E1" w:rsidRDefault="007819E1" w:rsidP="0057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EndPr/>
    <w:sdtContent>
      <w:p w14:paraId="2CB1C073" w14:textId="4CB0796C" w:rsidR="00573DBD" w:rsidRDefault="00573DBD">
        <w:pPr>
          <w:pStyle w:val="a7"/>
          <w:jc w:val="right"/>
        </w:pPr>
        <w:r>
          <w:fldChar w:fldCharType="begin"/>
        </w:r>
        <w:r>
          <w:instrText>PAGE   \* MERGEFORMAT</w:instrText>
        </w:r>
        <w:r>
          <w:fldChar w:fldCharType="separate"/>
        </w:r>
        <w:r w:rsidR="002901F2">
          <w:rPr>
            <w:noProof/>
          </w:rPr>
          <w:t>6</w:t>
        </w:r>
        <w:r>
          <w:fldChar w:fldCharType="end"/>
        </w:r>
      </w:p>
    </w:sdtContent>
  </w:sdt>
  <w:p w14:paraId="6C097116" w14:textId="77777777" w:rsidR="00573DBD" w:rsidRDefault="00573D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7A748" w14:textId="77777777" w:rsidR="007819E1" w:rsidRDefault="007819E1" w:rsidP="00573DBD">
      <w:r>
        <w:separator/>
      </w:r>
    </w:p>
  </w:footnote>
  <w:footnote w:type="continuationSeparator" w:id="0">
    <w:p w14:paraId="42482E8D" w14:textId="77777777" w:rsidR="007819E1" w:rsidRDefault="007819E1" w:rsidP="00573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666054"/>
      <w:docPartObj>
        <w:docPartGallery w:val="Page Numbers (Top of Page)"/>
        <w:docPartUnique/>
      </w:docPartObj>
    </w:sdtPr>
    <w:sdtEndPr/>
    <w:sdtContent>
      <w:p w14:paraId="0A15D3B9" w14:textId="014F3D27" w:rsidR="007A5A9D" w:rsidRDefault="007A5A9D">
        <w:pPr>
          <w:pStyle w:val="a4"/>
          <w:jc w:val="center"/>
        </w:pPr>
        <w:r>
          <w:fldChar w:fldCharType="begin"/>
        </w:r>
        <w:r>
          <w:instrText>PAGE   \* MERGEFORMAT</w:instrText>
        </w:r>
        <w:r>
          <w:fldChar w:fldCharType="separate"/>
        </w:r>
        <w:r w:rsidR="002901F2">
          <w:rPr>
            <w:noProof/>
          </w:rPr>
          <w:t>1</w:t>
        </w:r>
        <w:r>
          <w:fldChar w:fldCharType="end"/>
        </w:r>
      </w:p>
    </w:sdtContent>
  </w:sdt>
  <w:p w14:paraId="54DE1A15" w14:textId="77777777" w:rsidR="007A5A9D" w:rsidRDefault="007A5A9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060F3"/>
    <w:multiLevelType w:val="hybridMultilevel"/>
    <w:tmpl w:val="21201AEE"/>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8B72CC4"/>
    <w:multiLevelType w:val="hybridMultilevel"/>
    <w:tmpl w:val="253E33CC"/>
    <w:lvl w:ilvl="0" w:tplc="FFFFFFFF">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53A335D"/>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DCE"/>
    <w:rsid w:val="00001C82"/>
    <w:rsid w:val="0001444A"/>
    <w:rsid w:val="0002100E"/>
    <w:rsid w:val="0002535A"/>
    <w:rsid w:val="00040C1A"/>
    <w:rsid w:val="000418CA"/>
    <w:rsid w:val="00042824"/>
    <w:rsid w:val="00042B18"/>
    <w:rsid w:val="000645D9"/>
    <w:rsid w:val="00077BF8"/>
    <w:rsid w:val="00084EEA"/>
    <w:rsid w:val="000A1DCB"/>
    <w:rsid w:val="000A47BC"/>
    <w:rsid w:val="000A7BFB"/>
    <w:rsid w:val="000D41E3"/>
    <w:rsid w:val="000D652B"/>
    <w:rsid w:val="000E43C5"/>
    <w:rsid w:val="000E712F"/>
    <w:rsid w:val="000F31DD"/>
    <w:rsid w:val="000F348F"/>
    <w:rsid w:val="001038D0"/>
    <w:rsid w:val="00126493"/>
    <w:rsid w:val="001304D8"/>
    <w:rsid w:val="00152BB9"/>
    <w:rsid w:val="00152F9E"/>
    <w:rsid w:val="001738B1"/>
    <w:rsid w:val="001A159C"/>
    <w:rsid w:val="001A36C0"/>
    <w:rsid w:val="001B0B6B"/>
    <w:rsid w:val="001B12F8"/>
    <w:rsid w:val="001B1C98"/>
    <w:rsid w:val="001C1E8C"/>
    <w:rsid w:val="001C62B8"/>
    <w:rsid w:val="001D60C8"/>
    <w:rsid w:val="001F0608"/>
    <w:rsid w:val="00205172"/>
    <w:rsid w:val="002057CA"/>
    <w:rsid w:val="00212E60"/>
    <w:rsid w:val="00214FE7"/>
    <w:rsid w:val="00220273"/>
    <w:rsid w:val="00221233"/>
    <w:rsid w:val="002247A3"/>
    <w:rsid w:val="0023359F"/>
    <w:rsid w:val="0023679B"/>
    <w:rsid w:val="00240D40"/>
    <w:rsid w:val="00240F34"/>
    <w:rsid w:val="00257A09"/>
    <w:rsid w:val="00261403"/>
    <w:rsid w:val="00282073"/>
    <w:rsid w:val="002871A5"/>
    <w:rsid w:val="002901F2"/>
    <w:rsid w:val="002931C5"/>
    <w:rsid w:val="002B36B8"/>
    <w:rsid w:val="002B3E5E"/>
    <w:rsid w:val="002C585A"/>
    <w:rsid w:val="002E5AE7"/>
    <w:rsid w:val="00300A6C"/>
    <w:rsid w:val="0030478A"/>
    <w:rsid w:val="00304C6A"/>
    <w:rsid w:val="00307FEB"/>
    <w:rsid w:val="00320111"/>
    <w:rsid w:val="00325BCC"/>
    <w:rsid w:val="00342F81"/>
    <w:rsid w:val="003573AB"/>
    <w:rsid w:val="00362AC2"/>
    <w:rsid w:val="00363C92"/>
    <w:rsid w:val="0037225C"/>
    <w:rsid w:val="00375CEA"/>
    <w:rsid w:val="00391136"/>
    <w:rsid w:val="00391F18"/>
    <w:rsid w:val="003B6F37"/>
    <w:rsid w:val="003C07BD"/>
    <w:rsid w:val="003C0B32"/>
    <w:rsid w:val="003C5222"/>
    <w:rsid w:val="003C78FD"/>
    <w:rsid w:val="003D3606"/>
    <w:rsid w:val="003D5805"/>
    <w:rsid w:val="003D750A"/>
    <w:rsid w:val="003F5387"/>
    <w:rsid w:val="0040045A"/>
    <w:rsid w:val="00403F74"/>
    <w:rsid w:val="004061C2"/>
    <w:rsid w:val="00422E63"/>
    <w:rsid w:val="00425CCB"/>
    <w:rsid w:val="00434655"/>
    <w:rsid w:val="0043777C"/>
    <w:rsid w:val="00443E89"/>
    <w:rsid w:val="00452D54"/>
    <w:rsid w:val="00454FF6"/>
    <w:rsid w:val="00457697"/>
    <w:rsid w:val="004619EE"/>
    <w:rsid w:val="0046762A"/>
    <w:rsid w:val="004719B0"/>
    <w:rsid w:val="00475128"/>
    <w:rsid w:val="004753D8"/>
    <w:rsid w:val="0049029C"/>
    <w:rsid w:val="00492EE8"/>
    <w:rsid w:val="00496C5F"/>
    <w:rsid w:val="004B1AC5"/>
    <w:rsid w:val="004B3F5E"/>
    <w:rsid w:val="004B54B9"/>
    <w:rsid w:val="004E1CFB"/>
    <w:rsid w:val="004E5C9B"/>
    <w:rsid w:val="005034FF"/>
    <w:rsid w:val="005111AC"/>
    <w:rsid w:val="00512B2B"/>
    <w:rsid w:val="005133DA"/>
    <w:rsid w:val="00520303"/>
    <w:rsid w:val="00526E4D"/>
    <w:rsid w:val="00543BF2"/>
    <w:rsid w:val="00561B91"/>
    <w:rsid w:val="005665DE"/>
    <w:rsid w:val="00567F07"/>
    <w:rsid w:val="00573DBD"/>
    <w:rsid w:val="00592AB2"/>
    <w:rsid w:val="005D1F62"/>
    <w:rsid w:val="005D2393"/>
    <w:rsid w:val="005F09EA"/>
    <w:rsid w:val="005F47E1"/>
    <w:rsid w:val="00603F04"/>
    <w:rsid w:val="00604EF0"/>
    <w:rsid w:val="006066BC"/>
    <w:rsid w:val="00630E11"/>
    <w:rsid w:val="00641FF2"/>
    <w:rsid w:val="00651C43"/>
    <w:rsid w:val="00652D8D"/>
    <w:rsid w:val="006639ED"/>
    <w:rsid w:val="0068243A"/>
    <w:rsid w:val="00683113"/>
    <w:rsid w:val="00685F51"/>
    <w:rsid w:val="00686F1B"/>
    <w:rsid w:val="0068735F"/>
    <w:rsid w:val="006C0E4E"/>
    <w:rsid w:val="006C360E"/>
    <w:rsid w:val="006C4666"/>
    <w:rsid w:val="006C7F6F"/>
    <w:rsid w:val="006D1DFA"/>
    <w:rsid w:val="006F54AC"/>
    <w:rsid w:val="006F610D"/>
    <w:rsid w:val="00701BD6"/>
    <w:rsid w:val="00705511"/>
    <w:rsid w:val="00713269"/>
    <w:rsid w:val="00717039"/>
    <w:rsid w:val="00723514"/>
    <w:rsid w:val="0072493A"/>
    <w:rsid w:val="00731B34"/>
    <w:rsid w:val="0073331B"/>
    <w:rsid w:val="0075666E"/>
    <w:rsid w:val="007670DD"/>
    <w:rsid w:val="007674BB"/>
    <w:rsid w:val="007819E1"/>
    <w:rsid w:val="007846BC"/>
    <w:rsid w:val="00791C28"/>
    <w:rsid w:val="007A5A9D"/>
    <w:rsid w:val="007C2C66"/>
    <w:rsid w:val="007C697D"/>
    <w:rsid w:val="007D1FAB"/>
    <w:rsid w:val="007D62BD"/>
    <w:rsid w:val="007F0F6E"/>
    <w:rsid w:val="00803CF2"/>
    <w:rsid w:val="008164FA"/>
    <w:rsid w:val="00817455"/>
    <w:rsid w:val="0083065C"/>
    <w:rsid w:val="008346CA"/>
    <w:rsid w:val="00840D31"/>
    <w:rsid w:val="00865B6D"/>
    <w:rsid w:val="00867138"/>
    <w:rsid w:val="00884CBF"/>
    <w:rsid w:val="008A3C86"/>
    <w:rsid w:val="008B1B3D"/>
    <w:rsid w:val="008C5F61"/>
    <w:rsid w:val="008C6AAE"/>
    <w:rsid w:val="008D68F3"/>
    <w:rsid w:val="008D7179"/>
    <w:rsid w:val="008D7C48"/>
    <w:rsid w:val="008F1602"/>
    <w:rsid w:val="008F37F7"/>
    <w:rsid w:val="008F3EB0"/>
    <w:rsid w:val="00904CFC"/>
    <w:rsid w:val="00914E2D"/>
    <w:rsid w:val="0091535F"/>
    <w:rsid w:val="009412B3"/>
    <w:rsid w:val="009415CD"/>
    <w:rsid w:val="00942565"/>
    <w:rsid w:val="009560E9"/>
    <w:rsid w:val="009578E3"/>
    <w:rsid w:val="00957E88"/>
    <w:rsid w:val="009612D7"/>
    <w:rsid w:val="0096290F"/>
    <w:rsid w:val="0096489F"/>
    <w:rsid w:val="00965318"/>
    <w:rsid w:val="0099196F"/>
    <w:rsid w:val="00993E20"/>
    <w:rsid w:val="009A2DBB"/>
    <w:rsid w:val="009A5EB6"/>
    <w:rsid w:val="009B7B92"/>
    <w:rsid w:val="009E61D2"/>
    <w:rsid w:val="009F0DE3"/>
    <w:rsid w:val="009F16AC"/>
    <w:rsid w:val="009F2C2E"/>
    <w:rsid w:val="009F77AA"/>
    <w:rsid w:val="00A00BBA"/>
    <w:rsid w:val="00A061E0"/>
    <w:rsid w:val="00A10835"/>
    <w:rsid w:val="00A1486D"/>
    <w:rsid w:val="00A32658"/>
    <w:rsid w:val="00A40E6C"/>
    <w:rsid w:val="00A4322C"/>
    <w:rsid w:val="00A436C7"/>
    <w:rsid w:val="00A447E5"/>
    <w:rsid w:val="00A77B83"/>
    <w:rsid w:val="00A82795"/>
    <w:rsid w:val="00AA2E34"/>
    <w:rsid w:val="00AA4E9A"/>
    <w:rsid w:val="00AB5236"/>
    <w:rsid w:val="00AB6367"/>
    <w:rsid w:val="00AC3D0D"/>
    <w:rsid w:val="00AF29EF"/>
    <w:rsid w:val="00AF4ADA"/>
    <w:rsid w:val="00B06C75"/>
    <w:rsid w:val="00B10D5E"/>
    <w:rsid w:val="00B16A5E"/>
    <w:rsid w:val="00B16A9F"/>
    <w:rsid w:val="00B207FD"/>
    <w:rsid w:val="00B217B2"/>
    <w:rsid w:val="00B22DCE"/>
    <w:rsid w:val="00B23AFD"/>
    <w:rsid w:val="00B3664B"/>
    <w:rsid w:val="00B47B7A"/>
    <w:rsid w:val="00B63D9C"/>
    <w:rsid w:val="00B65929"/>
    <w:rsid w:val="00B705CB"/>
    <w:rsid w:val="00B72884"/>
    <w:rsid w:val="00B87B0D"/>
    <w:rsid w:val="00B90237"/>
    <w:rsid w:val="00BB4498"/>
    <w:rsid w:val="00BC48D2"/>
    <w:rsid w:val="00BC7967"/>
    <w:rsid w:val="00BE6E5A"/>
    <w:rsid w:val="00BF41B7"/>
    <w:rsid w:val="00C10C0E"/>
    <w:rsid w:val="00C12757"/>
    <w:rsid w:val="00C205EA"/>
    <w:rsid w:val="00C3120F"/>
    <w:rsid w:val="00C32516"/>
    <w:rsid w:val="00C33853"/>
    <w:rsid w:val="00C54BD5"/>
    <w:rsid w:val="00C74D1D"/>
    <w:rsid w:val="00CA5E76"/>
    <w:rsid w:val="00CB006E"/>
    <w:rsid w:val="00CE5AAB"/>
    <w:rsid w:val="00CE7E2A"/>
    <w:rsid w:val="00CF765A"/>
    <w:rsid w:val="00D010DE"/>
    <w:rsid w:val="00D016F9"/>
    <w:rsid w:val="00D05E09"/>
    <w:rsid w:val="00D30DB4"/>
    <w:rsid w:val="00D36BBD"/>
    <w:rsid w:val="00D460E6"/>
    <w:rsid w:val="00D6028E"/>
    <w:rsid w:val="00D63B5A"/>
    <w:rsid w:val="00D733FA"/>
    <w:rsid w:val="00D907F1"/>
    <w:rsid w:val="00D95C03"/>
    <w:rsid w:val="00DA424C"/>
    <w:rsid w:val="00DA4DD3"/>
    <w:rsid w:val="00DA68F7"/>
    <w:rsid w:val="00DA6AE3"/>
    <w:rsid w:val="00DB18E8"/>
    <w:rsid w:val="00DB5A26"/>
    <w:rsid w:val="00DE2058"/>
    <w:rsid w:val="00DF1BA7"/>
    <w:rsid w:val="00DF533D"/>
    <w:rsid w:val="00DF6F48"/>
    <w:rsid w:val="00E23F5D"/>
    <w:rsid w:val="00E34298"/>
    <w:rsid w:val="00E40099"/>
    <w:rsid w:val="00E42718"/>
    <w:rsid w:val="00E53AEE"/>
    <w:rsid w:val="00E53FB0"/>
    <w:rsid w:val="00E60E0F"/>
    <w:rsid w:val="00E63C19"/>
    <w:rsid w:val="00E67572"/>
    <w:rsid w:val="00E72731"/>
    <w:rsid w:val="00E82497"/>
    <w:rsid w:val="00E9106A"/>
    <w:rsid w:val="00E910E0"/>
    <w:rsid w:val="00E930DD"/>
    <w:rsid w:val="00EA704D"/>
    <w:rsid w:val="00EC4F57"/>
    <w:rsid w:val="00EE07BE"/>
    <w:rsid w:val="00EE3A9E"/>
    <w:rsid w:val="00EE4E8A"/>
    <w:rsid w:val="00EF2F71"/>
    <w:rsid w:val="00EF3DAD"/>
    <w:rsid w:val="00EF51ED"/>
    <w:rsid w:val="00F03466"/>
    <w:rsid w:val="00F10B86"/>
    <w:rsid w:val="00F1681F"/>
    <w:rsid w:val="00F3128C"/>
    <w:rsid w:val="00F405BA"/>
    <w:rsid w:val="00F47628"/>
    <w:rsid w:val="00F5493B"/>
    <w:rsid w:val="00F56A8A"/>
    <w:rsid w:val="00F7690A"/>
    <w:rsid w:val="00F77650"/>
    <w:rsid w:val="00F82C05"/>
    <w:rsid w:val="00F84E60"/>
    <w:rsid w:val="00F93A24"/>
    <w:rsid w:val="00FA2E47"/>
    <w:rsid w:val="00FB39D8"/>
    <w:rsid w:val="00FB4F22"/>
    <w:rsid w:val="00FB7CA9"/>
    <w:rsid w:val="00FC2007"/>
    <w:rsid w:val="00FC6221"/>
    <w:rsid w:val="00FC6A26"/>
    <w:rsid w:val="00FC6A5F"/>
    <w:rsid w:val="00FD28A6"/>
    <w:rsid w:val="00FE0A0C"/>
    <w:rsid w:val="00FE62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4FDD2"/>
  <w15:chartTrackingRefBased/>
  <w15:docId w15:val="{7329351B-0121-C34C-8D18-1CA3F7F1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2516"/>
    <w:pPr>
      <w:ind w:left="720"/>
      <w:contextualSpacing/>
    </w:pPr>
  </w:style>
  <w:style w:type="paragraph" w:styleId="a4">
    <w:name w:val="header"/>
    <w:basedOn w:val="a"/>
    <w:link w:val="a5"/>
    <w:uiPriority w:val="99"/>
    <w:rsid w:val="00EE3A9E"/>
    <w:pPr>
      <w:tabs>
        <w:tab w:val="center" w:pos="4677"/>
        <w:tab w:val="right" w:pos="9355"/>
      </w:tabs>
    </w:pPr>
    <w:rPr>
      <w:rFonts w:ascii="Calibri" w:eastAsia="Calibri" w:hAnsi="Calibri" w:cs="Times New Roman"/>
      <w:lang w:eastAsia="en-US"/>
    </w:rPr>
  </w:style>
  <w:style w:type="character" w:customStyle="1" w:styleId="a5">
    <w:name w:val="Верхній колонтитул Знак"/>
    <w:basedOn w:val="a0"/>
    <w:link w:val="a4"/>
    <w:uiPriority w:val="99"/>
    <w:rsid w:val="00EE3A9E"/>
    <w:rPr>
      <w:rFonts w:ascii="Calibri" w:eastAsia="Calibri" w:hAnsi="Calibri" w:cs="Times New Roman"/>
      <w:lang w:val="uk-UA" w:eastAsia="en-US"/>
    </w:rPr>
  </w:style>
  <w:style w:type="table" w:styleId="a6">
    <w:name w:val="Table Grid"/>
    <w:basedOn w:val="a1"/>
    <w:uiPriority w:val="99"/>
    <w:rsid w:val="00EE3A9E"/>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573DBD"/>
    <w:pPr>
      <w:tabs>
        <w:tab w:val="center" w:pos="4819"/>
        <w:tab w:val="right" w:pos="9639"/>
      </w:tabs>
    </w:pPr>
  </w:style>
  <w:style w:type="character" w:customStyle="1" w:styleId="a8">
    <w:name w:val="Нижній колонтитул Знак"/>
    <w:basedOn w:val="a0"/>
    <w:link w:val="a7"/>
    <w:uiPriority w:val="99"/>
    <w:rsid w:val="00573DBD"/>
  </w:style>
  <w:style w:type="paragraph" w:styleId="a9">
    <w:name w:val="Balloon Text"/>
    <w:basedOn w:val="a"/>
    <w:link w:val="aa"/>
    <w:uiPriority w:val="99"/>
    <w:semiHidden/>
    <w:unhideWhenUsed/>
    <w:rsid w:val="00362AC2"/>
    <w:rPr>
      <w:rFonts w:ascii="Segoe UI" w:hAnsi="Segoe UI" w:cs="Segoe UI"/>
      <w:sz w:val="18"/>
      <w:szCs w:val="18"/>
    </w:rPr>
  </w:style>
  <w:style w:type="character" w:customStyle="1" w:styleId="aa">
    <w:name w:val="Текст у виносці Знак"/>
    <w:basedOn w:val="a0"/>
    <w:link w:val="a9"/>
    <w:uiPriority w:val="99"/>
    <w:semiHidden/>
    <w:rsid w:val="00362A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572EE-71F0-4F7C-9EE5-E5E946FEF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10082</Words>
  <Characters>5747</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sorokarada@gmail.com</dc:creator>
  <cp:keywords/>
  <dc:description/>
  <cp:lastModifiedBy>Гонтар Алла Іванівна</cp:lastModifiedBy>
  <cp:revision>2</cp:revision>
  <cp:lastPrinted>2020-09-30T08:45:00Z</cp:lastPrinted>
  <dcterms:created xsi:type="dcterms:W3CDTF">2021-01-26T11:14:00Z</dcterms:created>
  <dcterms:modified xsi:type="dcterms:W3CDTF">2021-01-26T11:14:00Z</dcterms:modified>
</cp:coreProperties>
</file>