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621C0A" w14:textId="77777777" w:rsidR="00491FBB" w:rsidRPr="005A7284" w:rsidRDefault="00491FBB" w:rsidP="00832E3B">
      <w:pPr>
        <w:shd w:val="clear" w:color="auto" w:fill="FFFFFF"/>
        <w:spacing w:after="0"/>
        <w:jc w:val="center"/>
        <w:rPr>
          <w:rFonts w:ascii="Times New Roman" w:eastAsia="Times New Roman" w:hAnsi="Times New Roman" w:cs="Times New Roman"/>
          <w:b/>
          <w:sz w:val="28"/>
          <w:szCs w:val="28"/>
        </w:rPr>
      </w:pPr>
      <w:bookmarkStart w:id="0" w:name="_GoBack"/>
      <w:bookmarkEnd w:id="0"/>
      <w:r w:rsidRPr="005A7284">
        <w:rPr>
          <w:rFonts w:ascii="Times New Roman" w:eastAsia="Times New Roman" w:hAnsi="Times New Roman" w:cs="Times New Roman"/>
          <w:b/>
          <w:sz w:val="28"/>
          <w:szCs w:val="28"/>
        </w:rPr>
        <w:t>ПОРІВНЯЛЬНА ТАБЛИЦЯ</w:t>
      </w:r>
    </w:p>
    <w:p w14:paraId="7EB2A3E9" w14:textId="40BEE930" w:rsidR="00417CDF" w:rsidRDefault="00832E3B" w:rsidP="00832E3B">
      <w:pPr>
        <w:widowControl w:val="0"/>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прое</w:t>
      </w:r>
      <w:r w:rsidR="00491FBB" w:rsidRPr="005A7284">
        <w:rPr>
          <w:rFonts w:ascii="Times New Roman" w:eastAsia="Times New Roman" w:hAnsi="Times New Roman" w:cs="Times New Roman"/>
          <w:b/>
          <w:sz w:val="28"/>
          <w:szCs w:val="28"/>
        </w:rPr>
        <w:t>кту Закону України</w:t>
      </w:r>
      <w:bookmarkStart w:id="1" w:name="_f9zsrg7yqbas" w:colFirst="0" w:colLast="0"/>
      <w:bookmarkEnd w:id="1"/>
      <w:r w:rsidR="00DD412B" w:rsidRPr="005A7284">
        <w:rPr>
          <w:rFonts w:ascii="Times New Roman" w:eastAsia="Times New Roman" w:hAnsi="Times New Roman" w:cs="Times New Roman"/>
          <w:b/>
          <w:sz w:val="28"/>
          <w:szCs w:val="28"/>
        </w:rPr>
        <w:t xml:space="preserve"> </w:t>
      </w:r>
      <w:r w:rsidR="00417CDF" w:rsidRPr="005A7284">
        <w:rPr>
          <w:rFonts w:ascii="Times New Roman" w:eastAsia="Times New Roman" w:hAnsi="Times New Roman" w:cs="Times New Roman"/>
          <w:b/>
          <w:sz w:val="28"/>
          <w:szCs w:val="28"/>
          <w:lang w:val="ru-RU"/>
        </w:rPr>
        <w:t>Про внесення зм</w:t>
      </w:r>
      <w:r w:rsidR="00417CDF" w:rsidRPr="005A7284">
        <w:rPr>
          <w:rFonts w:ascii="Times New Roman" w:eastAsia="Times New Roman" w:hAnsi="Times New Roman" w:cs="Times New Roman"/>
          <w:b/>
          <w:sz w:val="28"/>
          <w:szCs w:val="28"/>
        </w:rPr>
        <w:t>ін до Податкового кодексу України та деяких інших законів України щодо заходів стимулювання економіки України</w:t>
      </w:r>
    </w:p>
    <w:p w14:paraId="60CCE18E" w14:textId="77777777" w:rsidR="00421E75" w:rsidRDefault="00421E75" w:rsidP="00832E3B">
      <w:pPr>
        <w:widowControl w:val="0"/>
        <w:spacing w:after="0"/>
        <w:jc w:val="center"/>
        <w:rPr>
          <w:rFonts w:ascii="Times New Roman" w:eastAsia="Times New Roman" w:hAnsi="Times New Roman" w:cs="Times New Roman"/>
          <w:b/>
          <w:sz w:val="28"/>
          <w:szCs w:val="28"/>
        </w:rPr>
      </w:pPr>
    </w:p>
    <w:p w14:paraId="2EF5F3C8" w14:textId="77777777" w:rsidR="00421E75" w:rsidRPr="005A7284" w:rsidRDefault="00421E75" w:rsidP="00832E3B">
      <w:pPr>
        <w:widowControl w:val="0"/>
        <w:spacing w:after="0"/>
        <w:jc w:val="center"/>
        <w:rPr>
          <w:rFonts w:ascii="Times New Roman" w:eastAsia="Arial" w:hAnsi="Times New Roman" w:cs="Times New Roman"/>
          <w:sz w:val="28"/>
          <w:szCs w:val="28"/>
        </w:rPr>
      </w:pPr>
    </w:p>
    <w:tbl>
      <w:tblPr>
        <w:tblStyle w:val="20"/>
        <w:tblW w:w="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80"/>
        <w:gridCol w:w="7280"/>
      </w:tblGrid>
      <w:tr w:rsidR="00421E75" w14:paraId="65DE072F" w14:textId="77777777" w:rsidTr="00421E75">
        <w:tc>
          <w:tcPr>
            <w:tcW w:w="7280" w:type="dxa"/>
            <w:tcBorders>
              <w:top w:val="single" w:sz="4" w:space="0" w:color="000000"/>
              <w:left w:val="single" w:sz="4" w:space="0" w:color="000000"/>
              <w:bottom w:val="single" w:sz="4" w:space="0" w:color="000000"/>
              <w:right w:val="single" w:sz="4" w:space="0" w:color="000000"/>
            </w:tcBorders>
            <w:hideMark/>
          </w:tcPr>
          <w:p w14:paraId="51F0259D" w14:textId="77777777" w:rsidR="00421E75" w:rsidRDefault="00421E75" w:rsidP="00421E75">
            <w:pPr>
              <w:shd w:val="clear" w:color="auto" w:fill="FFFFFF"/>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Зміст положення (норми)</w:t>
            </w:r>
          </w:p>
          <w:p w14:paraId="04DFCCC8" w14:textId="77777777" w:rsidR="00421E75" w:rsidRDefault="00421E75" w:rsidP="00421E75">
            <w:pPr>
              <w:shd w:val="clear" w:color="auto" w:fill="FFFFFF"/>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чинного акта законодавства</w:t>
            </w:r>
          </w:p>
        </w:tc>
        <w:tc>
          <w:tcPr>
            <w:tcW w:w="7280" w:type="dxa"/>
            <w:tcBorders>
              <w:top w:val="single" w:sz="4" w:space="0" w:color="000000"/>
              <w:left w:val="single" w:sz="4" w:space="0" w:color="000000"/>
              <w:bottom w:val="single" w:sz="4" w:space="0" w:color="000000"/>
              <w:right w:val="single" w:sz="4" w:space="0" w:color="000000"/>
            </w:tcBorders>
            <w:hideMark/>
          </w:tcPr>
          <w:p w14:paraId="18BFD8D8" w14:textId="77777777" w:rsidR="00421E75" w:rsidRDefault="00421E75" w:rsidP="00421E75">
            <w:pPr>
              <w:shd w:val="clear" w:color="auto" w:fill="FFFFFF"/>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Зміст відповідного положення (норми)</w:t>
            </w:r>
          </w:p>
          <w:p w14:paraId="12EE9530" w14:textId="77777777" w:rsidR="00421E75" w:rsidRDefault="00421E75" w:rsidP="00421E75">
            <w:pPr>
              <w:shd w:val="clear" w:color="auto" w:fill="FFFFFF"/>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проєкту акта законодавства</w:t>
            </w:r>
          </w:p>
        </w:tc>
      </w:tr>
      <w:tr w:rsidR="00421E75" w14:paraId="09C7FBBF" w14:textId="77777777" w:rsidTr="00421E75">
        <w:tc>
          <w:tcPr>
            <w:tcW w:w="14560" w:type="dxa"/>
            <w:gridSpan w:val="2"/>
            <w:tcBorders>
              <w:top w:val="single" w:sz="4" w:space="0" w:color="000000"/>
              <w:left w:val="single" w:sz="4" w:space="0" w:color="000000"/>
              <w:bottom w:val="single" w:sz="4" w:space="0" w:color="000000"/>
              <w:right w:val="single" w:sz="4" w:space="0" w:color="000000"/>
            </w:tcBorders>
            <w:hideMark/>
          </w:tcPr>
          <w:p w14:paraId="11C6917C" w14:textId="77777777" w:rsidR="00421E75" w:rsidRDefault="00421E75" w:rsidP="00421E75">
            <w:pPr>
              <w:shd w:val="clear" w:color="auto" w:fill="FFFFFF"/>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Податковий кодекс України</w:t>
            </w:r>
          </w:p>
        </w:tc>
      </w:tr>
      <w:tr w:rsidR="00421E75" w14:paraId="31E69603" w14:textId="77777777" w:rsidTr="00421E75">
        <w:tc>
          <w:tcPr>
            <w:tcW w:w="14560" w:type="dxa"/>
            <w:gridSpan w:val="2"/>
            <w:tcBorders>
              <w:top w:val="single" w:sz="4" w:space="0" w:color="000000"/>
              <w:left w:val="single" w:sz="4" w:space="0" w:color="000000"/>
              <w:bottom w:val="single" w:sz="4" w:space="0" w:color="000000"/>
              <w:right w:val="single" w:sz="4" w:space="0" w:color="000000"/>
            </w:tcBorders>
            <w:hideMark/>
          </w:tcPr>
          <w:p w14:paraId="58117C9E" w14:textId="77777777" w:rsidR="00421E75" w:rsidRDefault="00421E75" w:rsidP="00421E75">
            <w:pPr>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РОЗДІЛ I. ЗАГАЛЬНІ ПОЛОЖЕННЯ</w:t>
            </w:r>
          </w:p>
        </w:tc>
      </w:tr>
      <w:tr w:rsidR="00421E75" w14:paraId="24045B72" w14:textId="77777777" w:rsidTr="00421E75">
        <w:tc>
          <w:tcPr>
            <w:tcW w:w="7280" w:type="dxa"/>
            <w:tcBorders>
              <w:top w:val="single" w:sz="4" w:space="0" w:color="000000"/>
              <w:left w:val="single" w:sz="4" w:space="0" w:color="000000"/>
              <w:bottom w:val="single" w:sz="4" w:space="0" w:color="000000"/>
              <w:right w:val="single" w:sz="4" w:space="0" w:color="000000"/>
            </w:tcBorders>
            <w:hideMark/>
          </w:tcPr>
          <w:p w14:paraId="7615B80B" w14:textId="77777777" w:rsidR="00421E75" w:rsidRDefault="00421E75" w:rsidP="00421E75">
            <w:pPr>
              <w:jc w:val="both"/>
              <w:rPr>
                <w:rStyle w:val="rvts9"/>
              </w:rPr>
            </w:pPr>
            <w:r>
              <w:rPr>
                <w:rStyle w:val="rvts9"/>
                <w:rFonts w:ascii="Times New Roman" w:hAnsi="Times New Roman" w:cs="Times New Roman"/>
                <w:b/>
                <w:bCs/>
                <w:color w:val="000000"/>
                <w:sz w:val="28"/>
                <w:szCs w:val="28"/>
              </w:rPr>
              <w:t xml:space="preserve">Стаття 14 </w:t>
            </w:r>
            <w:r>
              <w:rPr>
                <w:rFonts w:ascii="Times New Roman" w:hAnsi="Times New Roman" w:cs="Times New Roman"/>
                <w:b/>
                <w:color w:val="000000"/>
                <w:sz w:val="28"/>
                <w:szCs w:val="28"/>
                <w:shd w:val="clear" w:color="auto" w:fill="FFFFFF"/>
              </w:rPr>
              <w:t>Визначення понять</w:t>
            </w:r>
          </w:p>
        </w:tc>
        <w:tc>
          <w:tcPr>
            <w:tcW w:w="7280" w:type="dxa"/>
            <w:tcBorders>
              <w:top w:val="single" w:sz="4" w:space="0" w:color="000000"/>
              <w:left w:val="single" w:sz="4" w:space="0" w:color="000000"/>
              <w:bottom w:val="single" w:sz="4" w:space="0" w:color="000000"/>
              <w:right w:val="single" w:sz="4" w:space="0" w:color="000000"/>
            </w:tcBorders>
            <w:hideMark/>
          </w:tcPr>
          <w:p w14:paraId="3A427EB9" w14:textId="77777777" w:rsidR="00421E75" w:rsidRDefault="00421E75" w:rsidP="00421E75">
            <w:pPr>
              <w:pStyle w:val="rvps2"/>
              <w:shd w:val="clear" w:color="auto" w:fill="FFFFFF"/>
              <w:spacing w:before="0" w:beforeAutospacing="0" w:after="0" w:afterAutospacing="0"/>
              <w:ind w:firstLine="450"/>
              <w:jc w:val="both"/>
              <w:rPr>
                <w:rStyle w:val="rvts9"/>
                <w:b/>
                <w:bCs/>
                <w:color w:val="000000"/>
                <w:sz w:val="28"/>
                <w:szCs w:val="28"/>
                <w:lang w:eastAsia="ru-RU"/>
              </w:rPr>
            </w:pPr>
            <w:r>
              <w:rPr>
                <w:rStyle w:val="rvts9"/>
                <w:b/>
                <w:bCs/>
                <w:color w:val="000000"/>
                <w:sz w:val="28"/>
                <w:szCs w:val="28"/>
                <w:lang w:eastAsia="ru-RU"/>
              </w:rPr>
              <w:t xml:space="preserve">Стаття 14 </w:t>
            </w:r>
            <w:r>
              <w:rPr>
                <w:b/>
                <w:color w:val="000000"/>
                <w:sz w:val="28"/>
                <w:szCs w:val="28"/>
                <w:shd w:val="clear" w:color="auto" w:fill="FFFFFF"/>
                <w:lang w:eastAsia="ru-RU"/>
              </w:rPr>
              <w:t>Визначення понять</w:t>
            </w:r>
          </w:p>
        </w:tc>
      </w:tr>
      <w:tr w:rsidR="00421E75" w14:paraId="62C32E34" w14:textId="77777777" w:rsidTr="00421E75">
        <w:tc>
          <w:tcPr>
            <w:tcW w:w="7280" w:type="dxa"/>
            <w:tcBorders>
              <w:top w:val="single" w:sz="4" w:space="0" w:color="000000"/>
              <w:left w:val="single" w:sz="4" w:space="0" w:color="000000"/>
              <w:bottom w:val="single" w:sz="4" w:space="0" w:color="000000"/>
              <w:right w:val="single" w:sz="4" w:space="0" w:color="000000"/>
            </w:tcBorders>
          </w:tcPr>
          <w:p w14:paraId="5634EEE4" w14:textId="77777777" w:rsidR="00421E75" w:rsidRDefault="00421E75" w:rsidP="00421E75">
            <w:pPr>
              <w:jc w:val="both"/>
              <w:rPr>
                <w:rFonts w:ascii="Times New Roman" w:eastAsia="Times New Roman" w:hAnsi="Times New Roman" w:cs="Times New Roman"/>
              </w:rPr>
            </w:pPr>
            <w:r>
              <w:rPr>
                <w:rFonts w:ascii="Times New Roman" w:eastAsia="Times New Roman" w:hAnsi="Times New Roman" w:cs="Times New Roman"/>
                <w:color w:val="000000"/>
                <w:sz w:val="28"/>
                <w:szCs w:val="28"/>
              </w:rPr>
              <w:t>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 </w:t>
            </w:r>
          </w:p>
          <w:p w14:paraId="47BD8FCC" w14:textId="77777777" w:rsidR="00421E75" w:rsidRDefault="00421E75" w:rsidP="00421E75">
            <w:pPr>
              <w:jc w:val="both"/>
              <w:rPr>
                <w:rFonts w:ascii="Times New Roman" w:eastAsia="Times New Roman" w:hAnsi="Times New Roman" w:cs="Times New Roman"/>
                <w:color w:val="000000"/>
                <w:sz w:val="28"/>
                <w:szCs w:val="28"/>
              </w:rPr>
            </w:pPr>
          </w:p>
          <w:p w14:paraId="4E425F53"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З метою застосування терміна "постачання товарів" електрична та теплова енергія, газ, пар, вода, повітря, охолоджене чи кондиційоване, вважаються товаром. </w:t>
            </w:r>
          </w:p>
          <w:p w14:paraId="634FC14D" w14:textId="77777777" w:rsidR="00421E75" w:rsidRDefault="00421E75" w:rsidP="00421E75">
            <w:pPr>
              <w:jc w:val="both"/>
              <w:rPr>
                <w:rFonts w:ascii="Times New Roman" w:eastAsia="Times New Roman" w:hAnsi="Times New Roman" w:cs="Times New Roman"/>
                <w:color w:val="000000"/>
                <w:sz w:val="28"/>
                <w:szCs w:val="28"/>
              </w:rPr>
            </w:pPr>
          </w:p>
          <w:p w14:paraId="05B79220"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Постачанням товарів також вважаються: </w:t>
            </w:r>
          </w:p>
          <w:p w14:paraId="6E6D7F5C"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а) фактична передача матеріальних активів іншій особі на підставі договору про фінансовий лізинг (повернення матеріальних активів згідно з договором про фінансовий лізинг) чи іншої домовленості, відповідно до якої оплата відстрочена, але право власності на матеріальні активи передається не пізніше дати здійснення останнього платежу; </w:t>
            </w:r>
          </w:p>
          <w:p w14:paraId="79BBCCED"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lastRenderedPageBreak/>
              <w:t>б) передача права власності на матеріальні активи за рішенням органу державної влади або органу місцевого самоврядування чи відповідно до законодавства; </w:t>
            </w:r>
          </w:p>
          <w:p w14:paraId="34B19E81"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в) будь-яка із зазначених дій платника податку щодо матеріальних активів, якщо платник податку мав право на віднесення сум податку до податкового кредиту у разі придбання зазначеного майна чи його частини (безоплатна передача майна іншій особі; передача майна у межах балансу платника податку, що використовується у господарській діяльності платника податку для його подальшого використання з метою, не пов'язаною із господарською діяльністю такого платника податку; передача у межах балансу платника податку майна, що планувалося для використання в оподатковуваних операціях, для його використання в операціях, що звільняються від оподаткування або не підлягають оподаткуванню); </w:t>
            </w:r>
          </w:p>
          <w:p w14:paraId="1D1A7ED3"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г) передача (внесення) товарів (у тому числі необоротних активів) як вклад у спільну діяльність без утворення юридичної особи, а також їх повернення; </w:t>
            </w:r>
          </w:p>
          <w:p w14:paraId="1C8034D4"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ґ) виключено;</w:t>
            </w:r>
          </w:p>
          <w:p w14:paraId="7D776A20"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д) ліквідація платником податку за власним бажанням необоротних активів, які перебувають у такого платника; </w:t>
            </w:r>
          </w:p>
          <w:p w14:paraId="692F47E8"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е) передача товарів згідно з договором, за яким сплачується комісія (винагорода) за продаж чи купівлю. </w:t>
            </w:r>
          </w:p>
          <w:p w14:paraId="55E679E7" w14:textId="77777777" w:rsidR="00421E75" w:rsidRDefault="00421E75" w:rsidP="00421E75">
            <w:pPr>
              <w:jc w:val="both"/>
              <w:rPr>
                <w:rFonts w:ascii="Times New Roman" w:eastAsia="Times New Roman" w:hAnsi="Times New Roman" w:cs="Times New Roman"/>
                <w:color w:val="000000"/>
                <w:sz w:val="28"/>
                <w:szCs w:val="28"/>
              </w:rPr>
            </w:pPr>
          </w:p>
          <w:p w14:paraId="05DF7EF8"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Не є постачанням товарів випадки, коли основні виробничі засоби або невиробничі засоби ліквідуються у зв'язку з їх знищенням або зруйнуванням внаслідок дії обставин </w:t>
            </w:r>
            <w:r>
              <w:rPr>
                <w:rFonts w:ascii="Times New Roman" w:eastAsia="Times New Roman" w:hAnsi="Times New Roman" w:cs="Times New Roman"/>
                <w:color w:val="000000"/>
                <w:sz w:val="28"/>
                <w:szCs w:val="28"/>
              </w:rPr>
              <w:lastRenderedPageBreak/>
              <w:t>непереборної сили, а також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необоротний актив не може використовуватися за первісним призначенням; </w:t>
            </w:r>
          </w:p>
          <w:p w14:paraId="6A16A0B8" w14:textId="77777777" w:rsidR="00421E75" w:rsidRDefault="00421E75" w:rsidP="00421E75">
            <w:pPr>
              <w:jc w:val="both"/>
              <w:rPr>
                <w:rFonts w:ascii="Times New Roman" w:eastAsia="Times New Roman" w:hAnsi="Times New Roman" w:cs="Times New Roman"/>
                <w:b/>
                <w:sz w:val="28"/>
                <w:szCs w:val="28"/>
              </w:rPr>
            </w:pPr>
          </w:p>
        </w:tc>
        <w:tc>
          <w:tcPr>
            <w:tcW w:w="7280" w:type="dxa"/>
            <w:tcBorders>
              <w:top w:val="single" w:sz="4" w:space="0" w:color="000000"/>
              <w:left w:val="single" w:sz="4" w:space="0" w:color="000000"/>
              <w:bottom w:val="single" w:sz="4" w:space="0" w:color="000000"/>
              <w:right w:val="single" w:sz="4" w:space="0" w:color="000000"/>
            </w:tcBorders>
          </w:tcPr>
          <w:p w14:paraId="0120AEA1"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lastRenderedPageBreak/>
              <w:t>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 </w:t>
            </w:r>
          </w:p>
          <w:p w14:paraId="5DD80CA9" w14:textId="77777777" w:rsidR="00421E75" w:rsidRDefault="00421E75" w:rsidP="00421E75">
            <w:pPr>
              <w:jc w:val="both"/>
              <w:rPr>
                <w:rFonts w:ascii="Times New Roman" w:eastAsia="Times New Roman" w:hAnsi="Times New Roman" w:cs="Times New Roman"/>
                <w:color w:val="000000"/>
                <w:sz w:val="28"/>
                <w:szCs w:val="28"/>
              </w:rPr>
            </w:pPr>
          </w:p>
          <w:p w14:paraId="446A95BF"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З метою застосування терміна "постачання товарів" електрична та теплова енергія, газ, пар, вода, повітря, охолоджене чи кондиційоване, вважаються товаром. </w:t>
            </w:r>
          </w:p>
          <w:p w14:paraId="47FFAA56" w14:textId="77777777" w:rsidR="00421E75" w:rsidRDefault="00421E75" w:rsidP="00421E75">
            <w:pPr>
              <w:jc w:val="both"/>
              <w:rPr>
                <w:rFonts w:ascii="Times New Roman" w:eastAsia="Times New Roman" w:hAnsi="Times New Roman" w:cs="Times New Roman"/>
                <w:color w:val="000000"/>
                <w:sz w:val="28"/>
                <w:szCs w:val="28"/>
              </w:rPr>
            </w:pPr>
          </w:p>
          <w:p w14:paraId="363678F0"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Постачанням товарів також вважаються: </w:t>
            </w:r>
          </w:p>
          <w:p w14:paraId="62CA64E7"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а) фактична передача матеріальних активів іншій особі на підставі договору про фінансовий лізинг (повернення матеріальних активів згідно з договором про фінансовий лізинг) чи іншої домовленості, відповідно до якої оплата відстрочена, але право власності на матеріальні активи передається не пізніше дати здійснення останнього платежу; </w:t>
            </w:r>
          </w:p>
          <w:p w14:paraId="098DEA55"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lastRenderedPageBreak/>
              <w:t>б) передача права власності на матеріальні активи за рішенням органу державної влади або органу місцевого самоврядування чи відповідно до законодавства; </w:t>
            </w:r>
          </w:p>
          <w:p w14:paraId="24636E63"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в) будь-яка із зазначених дій платника податку щодо матеріальних активів, якщо платник податку мав право на віднесення сум податку до податкового кредиту у разі придбання зазначеного майна чи його частини (безоплатна передача майна іншій особі; передача майна у межах балансу платника податку, що використовується у господарській діяльності платника податку для його подальшого використання з метою, не пов'язаною із господарською діяльністю такого платника податку; передача у межах балансу платника податку майна, що планувалося для використання в оподатковуваних операціях, для його використання в операціях, що звільняються від оподаткування або не підлягають оподаткуванню); </w:t>
            </w:r>
          </w:p>
          <w:p w14:paraId="158E8596"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г) передача (внесення) товарів (у тому числі необоротних активів) як вклад у спільну діяльність без утворення юридичної особи, а також їх повернення; </w:t>
            </w:r>
          </w:p>
          <w:p w14:paraId="17A7991F"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ґ) виключено;</w:t>
            </w:r>
          </w:p>
          <w:p w14:paraId="13A9F4A2"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д) ліквідація платником податку за власним бажанням необоротних активів, які перебувають у такого платника; </w:t>
            </w:r>
          </w:p>
          <w:p w14:paraId="7A1AB16E"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е) передача товарів згідно з договором, за яким сплачується комісія (винагорода) за продаж чи купівлю. </w:t>
            </w:r>
          </w:p>
          <w:p w14:paraId="6D15CD35" w14:textId="77777777" w:rsidR="00421E75" w:rsidRDefault="00421E75" w:rsidP="00421E75">
            <w:pPr>
              <w:jc w:val="both"/>
              <w:rPr>
                <w:rFonts w:ascii="Times New Roman" w:eastAsia="Times New Roman" w:hAnsi="Times New Roman" w:cs="Times New Roman"/>
                <w:color w:val="000000"/>
                <w:sz w:val="28"/>
                <w:szCs w:val="28"/>
              </w:rPr>
            </w:pPr>
          </w:p>
          <w:p w14:paraId="786E5B05"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Не є постачанням товарів випадки, коли основні виробничі або невиробничі засоби</w:t>
            </w:r>
            <w:r>
              <w:rPr>
                <w:rFonts w:ascii="Times New Roman" w:eastAsia="Times New Roman" w:hAnsi="Times New Roman" w:cs="Times New Roman"/>
                <w:b/>
                <w:color w:val="000000"/>
                <w:sz w:val="28"/>
                <w:szCs w:val="28"/>
              </w:rPr>
              <w:t xml:space="preserve">,  сільськогосподарські рослини, насадження, тварини платника податку </w:t>
            </w:r>
            <w:r>
              <w:rPr>
                <w:rFonts w:ascii="Times New Roman" w:eastAsia="Times New Roman" w:hAnsi="Times New Roman" w:cs="Times New Roman"/>
                <w:color w:val="000000"/>
                <w:sz w:val="28"/>
                <w:szCs w:val="28"/>
              </w:rPr>
              <w:t xml:space="preserve">ліквідуються у </w:t>
            </w:r>
            <w:r>
              <w:rPr>
                <w:rFonts w:ascii="Times New Roman" w:eastAsia="Times New Roman" w:hAnsi="Times New Roman" w:cs="Times New Roman"/>
                <w:color w:val="000000"/>
                <w:sz w:val="28"/>
                <w:szCs w:val="28"/>
              </w:rPr>
              <w:lastRenderedPageBreak/>
              <w:t>зв'язку з їх знищенням або, зруйнуванням,</w:t>
            </w:r>
            <w:r>
              <w:rPr>
                <w:rFonts w:ascii="Times New Roman" w:eastAsia="Times New Roman" w:hAnsi="Times New Roman" w:cs="Times New Roman"/>
                <w:b/>
                <w:color w:val="000000"/>
                <w:sz w:val="28"/>
                <w:szCs w:val="28"/>
              </w:rPr>
              <w:t xml:space="preserve"> загибеллю, падежем, забоєм</w:t>
            </w:r>
            <w:r>
              <w:rPr>
                <w:rFonts w:ascii="Times New Roman" w:eastAsia="Times New Roman" w:hAnsi="Times New Roman" w:cs="Times New Roman"/>
                <w:color w:val="000000"/>
                <w:sz w:val="28"/>
                <w:szCs w:val="28"/>
              </w:rPr>
              <w:t xml:space="preserve">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вони не можуть використовуватися за первісним призначенням.</w:t>
            </w:r>
          </w:p>
          <w:p w14:paraId="3CA6B6E4" w14:textId="77777777" w:rsidR="00421E75" w:rsidRDefault="00421E75" w:rsidP="00421E75">
            <w:pPr>
              <w:jc w:val="both"/>
              <w:rPr>
                <w:rFonts w:ascii="Times New Roman" w:eastAsia="Times New Roman" w:hAnsi="Times New Roman" w:cs="Times New Roman"/>
                <w:b/>
                <w:sz w:val="28"/>
                <w:szCs w:val="28"/>
              </w:rPr>
            </w:pPr>
          </w:p>
        </w:tc>
      </w:tr>
      <w:tr w:rsidR="00421E75" w14:paraId="49EBC03E" w14:textId="77777777" w:rsidTr="00421E75">
        <w:tc>
          <w:tcPr>
            <w:tcW w:w="7280" w:type="dxa"/>
            <w:tcBorders>
              <w:top w:val="single" w:sz="4" w:space="0" w:color="000000"/>
              <w:left w:val="single" w:sz="4" w:space="0" w:color="000000"/>
              <w:bottom w:val="single" w:sz="4" w:space="0" w:color="000000"/>
              <w:right w:val="single" w:sz="4" w:space="0" w:color="000000"/>
            </w:tcBorders>
            <w:hideMark/>
          </w:tcPr>
          <w:p w14:paraId="74D077E0" w14:textId="77777777" w:rsidR="00421E75" w:rsidRDefault="00421E75" w:rsidP="00421E75">
            <w:pP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Стаття 189. Особливості визначення бази оподаткування в разі постачання товарів/послуг в окремих випадках</w:t>
            </w:r>
          </w:p>
        </w:tc>
        <w:tc>
          <w:tcPr>
            <w:tcW w:w="7280" w:type="dxa"/>
            <w:tcBorders>
              <w:top w:val="single" w:sz="4" w:space="0" w:color="000000"/>
              <w:left w:val="single" w:sz="4" w:space="0" w:color="000000"/>
              <w:bottom w:val="single" w:sz="4" w:space="0" w:color="000000"/>
              <w:right w:val="single" w:sz="4" w:space="0" w:color="000000"/>
            </w:tcBorders>
            <w:hideMark/>
          </w:tcPr>
          <w:p w14:paraId="7C93B74B" w14:textId="77777777" w:rsidR="00421E75" w:rsidRDefault="00421E75" w:rsidP="00421E75">
            <w:pP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Стаття 189. Особливості визначення бази оподаткування в разі постачання товарів/послуг в окремих випадках</w:t>
            </w:r>
          </w:p>
        </w:tc>
      </w:tr>
      <w:tr w:rsidR="00421E75" w14:paraId="56D95258" w14:textId="77777777" w:rsidTr="00421E75">
        <w:tc>
          <w:tcPr>
            <w:tcW w:w="7280" w:type="dxa"/>
            <w:tcBorders>
              <w:top w:val="single" w:sz="4" w:space="0" w:color="000000"/>
              <w:left w:val="single" w:sz="4" w:space="0" w:color="000000"/>
              <w:bottom w:val="single" w:sz="4" w:space="0" w:color="000000"/>
              <w:right w:val="single" w:sz="4" w:space="0" w:color="000000"/>
            </w:tcBorders>
          </w:tcPr>
          <w:p w14:paraId="743AD812" w14:textId="77777777" w:rsidR="00421E75" w:rsidRDefault="00421E75" w:rsidP="00421E75">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189.9. У разі якщо основні виробничі або невиробничі засоби ліквідуються за самостійним рішенням платника податку, така ліквідація для цілей оподаткування розглядається як постачання </w:t>
            </w:r>
            <w:r>
              <w:rPr>
                <w:rFonts w:ascii="Times New Roman" w:eastAsia="Times New Roman" w:hAnsi="Times New Roman" w:cs="Times New Roman"/>
                <w:b/>
                <w:color w:val="000000"/>
                <w:sz w:val="28"/>
                <w:szCs w:val="28"/>
              </w:rPr>
              <w:t>таких</w:t>
            </w:r>
            <w:r>
              <w:rPr>
                <w:rFonts w:ascii="Times New Roman" w:eastAsia="Times New Roman" w:hAnsi="Times New Roman" w:cs="Times New Roman"/>
                <w:color w:val="000000"/>
                <w:sz w:val="28"/>
                <w:szCs w:val="28"/>
              </w:rPr>
              <w:t xml:space="preserve"> основних виробничих або невиробничих засобів за звичайними цінами, але не нижче балансової вартості на момент ліквідації.</w:t>
            </w:r>
          </w:p>
          <w:p w14:paraId="10802AAB" w14:textId="77777777" w:rsidR="00421E75" w:rsidRDefault="00421E75" w:rsidP="00421E75">
            <w:pPr>
              <w:jc w:val="both"/>
              <w:rPr>
                <w:rFonts w:ascii="Times New Roman" w:eastAsia="Times New Roman" w:hAnsi="Times New Roman" w:cs="Times New Roman"/>
                <w:color w:val="000000"/>
                <w:sz w:val="28"/>
                <w:szCs w:val="28"/>
              </w:rPr>
            </w:pPr>
          </w:p>
          <w:p w14:paraId="1FF1ACFA" w14:textId="77777777" w:rsidR="00421E75" w:rsidRDefault="00421E75" w:rsidP="00421E75">
            <w:pPr>
              <w:jc w:val="both"/>
              <w:rPr>
                <w:rFonts w:ascii="Times New Roman" w:eastAsia="Times New Roman" w:hAnsi="Times New Roman" w:cs="Times New Roman"/>
                <w:color w:val="000000"/>
                <w:sz w:val="28"/>
                <w:szCs w:val="28"/>
              </w:rPr>
            </w:pPr>
          </w:p>
          <w:p w14:paraId="1585B7E8" w14:textId="77777777" w:rsidR="00421E75" w:rsidRDefault="00421E75" w:rsidP="00421E75">
            <w:pPr>
              <w:jc w:val="both"/>
              <w:rPr>
                <w:rFonts w:ascii="Times New Roman" w:eastAsia="Times New Roman" w:hAnsi="Times New Roman" w:cs="Times New Roman"/>
                <w:color w:val="000000"/>
                <w:sz w:val="28"/>
                <w:szCs w:val="28"/>
              </w:rPr>
            </w:pPr>
          </w:p>
          <w:p w14:paraId="45ED04E4" w14:textId="77777777" w:rsidR="00421E75" w:rsidRDefault="00421E75" w:rsidP="00421E75">
            <w:pPr>
              <w:jc w:val="both"/>
              <w:rPr>
                <w:rFonts w:ascii="Times New Roman" w:eastAsia="Times New Roman" w:hAnsi="Times New Roman" w:cs="Times New Roman"/>
                <w:color w:val="000000"/>
                <w:sz w:val="28"/>
                <w:szCs w:val="28"/>
              </w:rPr>
            </w:pPr>
          </w:p>
          <w:p w14:paraId="30E16EDA" w14:textId="77777777" w:rsidR="00421E75" w:rsidRDefault="00421E75" w:rsidP="00421E75">
            <w:pPr>
              <w:jc w:val="both"/>
              <w:rPr>
                <w:rFonts w:ascii="Times New Roman" w:eastAsia="Times New Roman" w:hAnsi="Times New Roman" w:cs="Times New Roman"/>
                <w:sz w:val="28"/>
                <w:szCs w:val="28"/>
              </w:rPr>
            </w:pPr>
          </w:p>
          <w:p w14:paraId="53667ABC" w14:textId="77777777" w:rsidR="00421E75" w:rsidRDefault="00421E75" w:rsidP="00421E75">
            <w:pPr>
              <w:jc w:val="both"/>
              <w:rPr>
                <w:rFonts w:ascii="Times New Roman" w:eastAsia="Times New Roman" w:hAnsi="Times New Roman" w:cs="Times New Roman"/>
                <w:sz w:val="28"/>
                <w:szCs w:val="28"/>
              </w:rPr>
            </w:pPr>
          </w:p>
          <w:p w14:paraId="1D7F5A76" w14:textId="77777777" w:rsidR="00421E75" w:rsidRDefault="00421E75" w:rsidP="00421E75">
            <w:pPr>
              <w:jc w:val="both"/>
              <w:rPr>
                <w:rFonts w:ascii="Times New Roman" w:eastAsia="Times New Roman" w:hAnsi="Times New Roman" w:cs="Times New Roman"/>
                <w:sz w:val="28"/>
                <w:szCs w:val="28"/>
              </w:rPr>
            </w:pPr>
          </w:p>
          <w:p w14:paraId="39BE2461" w14:textId="77777777" w:rsidR="00421E75" w:rsidRDefault="00421E75" w:rsidP="00421E75">
            <w:pPr>
              <w:jc w:val="both"/>
              <w:rPr>
                <w:rFonts w:ascii="Times New Roman" w:eastAsia="Times New Roman" w:hAnsi="Times New Roman" w:cs="Times New Roman"/>
                <w:sz w:val="28"/>
                <w:szCs w:val="28"/>
              </w:rPr>
            </w:pPr>
          </w:p>
          <w:p w14:paraId="4E8669F7" w14:textId="77777777" w:rsidR="00421E75" w:rsidRDefault="00421E75" w:rsidP="00421E75">
            <w:pPr>
              <w:jc w:val="both"/>
              <w:rPr>
                <w:rFonts w:ascii="Times New Roman" w:eastAsia="Times New Roman" w:hAnsi="Times New Roman" w:cs="Times New Roman"/>
                <w:sz w:val="28"/>
                <w:szCs w:val="28"/>
              </w:rPr>
            </w:pPr>
          </w:p>
          <w:p w14:paraId="159C0293" w14:textId="77777777" w:rsidR="00421E75" w:rsidRDefault="00421E75" w:rsidP="00421E75">
            <w:pPr>
              <w:jc w:val="both"/>
              <w:rPr>
                <w:rFonts w:ascii="Times New Roman" w:eastAsia="Times New Roman" w:hAnsi="Times New Roman" w:cs="Times New Roman"/>
                <w:color w:val="000000"/>
                <w:sz w:val="28"/>
                <w:szCs w:val="28"/>
              </w:rPr>
            </w:pPr>
          </w:p>
          <w:p w14:paraId="1D1B6CB7" w14:textId="77777777" w:rsidR="00421E75" w:rsidRDefault="00421E75" w:rsidP="00421E75">
            <w:pPr>
              <w:jc w:val="both"/>
              <w:rPr>
                <w:rFonts w:ascii="Times New Roman" w:eastAsia="Times New Roman" w:hAnsi="Times New Roman" w:cs="Times New Roman"/>
                <w:color w:val="000000"/>
                <w:sz w:val="28"/>
                <w:szCs w:val="28"/>
              </w:rPr>
            </w:pPr>
          </w:p>
          <w:p w14:paraId="40265B82"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Норма цього пункту не поширюється на випадки, коли основні виробничі або невиробничі засоби ліквідуються у зв'язку з їх знищенням або зруйнуванням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основних виробничих або невиробничих засобів, що підтверджується відповідно до законодавства або коли платник податку подає контролюючому органу відповідний документ про знищення, розібрання або перетворення основних виробничих або невиробничих засобів у інший спосіб, внаслідок чого вони не можуть використовуватися за первісним призначенням.</w:t>
            </w:r>
          </w:p>
          <w:p w14:paraId="1A915874" w14:textId="77777777" w:rsidR="00421E75" w:rsidRDefault="00421E75" w:rsidP="00421E75">
            <w:pPr>
              <w:jc w:val="both"/>
              <w:rPr>
                <w:rFonts w:ascii="Times New Roman" w:eastAsia="Times New Roman" w:hAnsi="Times New Roman" w:cs="Times New Roman"/>
                <w:b/>
                <w:color w:val="000000"/>
                <w:sz w:val="28"/>
                <w:szCs w:val="28"/>
              </w:rPr>
            </w:pPr>
          </w:p>
        </w:tc>
        <w:tc>
          <w:tcPr>
            <w:tcW w:w="7280" w:type="dxa"/>
            <w:tcBorders>
              <w:top w:val="single" w:sz="4" w:space="0" w:color="000000"/>
              <w:left w:val="single" w:sz="4" w:space="0" w:color="000000"/>
              <w:bottom w:val="single" w:sz="4" w:space="0" w:color="000000"/>
              <w:right w:val="single" w:sz="4" w:space="0" w:color="000000"/>
            </w:tcBorders>
          </w:tcPr>
          <w:p w14:paraId="54FB25E4" w14:textId="77777777" w:rsidR="00421E75" w:rsidRDefault="00421E75" w:rsidP="00421E75">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189.9. У разі якщо основні виробничі або невиробничі засоби, </w:t>
            </w:r>
            <w:r>
              <w:rPr>
                <w:rFonts w:ascii="Times New Roman" w:eastAsia="Times New Roman" w:hAnsi="Times New Roman" w:cs="Times New Roman"/>
                <w:b/>
                <w:color w:val="000000"/>
                <w:sz w:val="28"/>
                <w:szCs w:val="28"/>
              </w:rPr>
              <w:t xml:space="preserve">сільськогосподарські рослини, насадження, тварини платника податку платника </w:t>
            </w:r>
            <w:r>
              <w:rPr>
                <w:rFonts w:ascii="Times New Roman" w:eastAsia="Times New Roman" w:hAnsi="Times New Roman" w:cs="Times New Roman"/>
                <w:color w:val="000000"/>
                <w:sz w:val="28"/>
                <w:szCs w:val="28"/>
              </w:rPr>
              <w:t>ліквідуються за самостійним рішенням платника податку, така ліквідація для цілей оподаткування розглядається як постачання:</w:t>
            </w:r>
          </w:p>
          <w:p w14:paraId="41E98E2B" w14:textId="77777777" w:rsidR="00421E75" w:rsidRDefault="00421E75" w:rsidP="00421E75">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для основних виробничих або невиробничих засобів за звичайними цінами, але не нижче балансової вартості на момент їх ліквідації;</w:t>
            </w:r>
          </w:p>
          <w:p w14:paraId="37FFE881" w14:textId="77777777" w:rsidR="00421E75" w:rsidRDefault="00421E75" w:rsidP="00421E75">
            <w:pP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для сільськогосподарських рослин, насаджень, тварин, - за цінами придбання товарів/послуг, що придбані з податком на додану вартість та використані для виробництва (вирощування) таких</w:t>
            </w:r>
            <w:r>
              <w:rPr>
                <w:rFonts w:ascii="Times New Roman" w:eastAsia="Times New Roman" w:hAnsi="Times New Roman" w:cs="Times New Roman"/>
                <w:sz w:val="28"/>
                <w:szCs w:val="28"/>
              </w:rPr>
              <w:t xml:space="preserve"> </w:t>
            </w:r>
            <w:r>
              <w:rPr>
                <w:rFonts w:ascii="Times New Roman" w:eastAsia="Times New Roman" w:hAnsi="Times New Roman" w:cs="Times New Roman"/>
                <w:b/>
                <w:color w:val="000000"/>
                <w:sz w:val="28"/>
                <w:szCs w:val="28"/>
              </w:rPr>
              <w:t>сільськогосподарських рослин, насаджень, тварин, та які не були включені до вартості інших товарів послуг, операції з постачання якої підлягають оподаткуванню.</w:t>
            </w:r>
          </w:p>
          <w:p w14:paraId="6F877161" w14:textId="77777777" w:rsidR="00421E75" w:rsidRDefault="00421E75" w:rsidP="00421E75">
            <w:pPr>
              <w:jc w:val="both"/>
              <w:rPr>
                <w:rFonts w:ascii="Times New Roman" w:eastAsia="Times New Roman" w:hAnsi="Times New Roman" w:cs="Times New Roman"/>
                <w:b/>
                <w:color w:val="000000"/>
                <w:sz w:val="28"/>
                <w:szCs w:val="28"/>
              </w:rPr>
            </w:pPr>
          </w:p>
          <w:p w14:paraId="3A15923F" w14:textId="77777777" w:rsidR="00421E75" w:rsidRDefault="00421E75" w:rsidP="00421E75">
            <w:pPr>
              <w:jc w:val="both"/>
              <w:rPr>
                <w:rFonts w:ascii="Times New Roman" w:eastAsia="Times New Roman" w:hAnsi="Times New Roman" w:cs="Times New Roman"/>
                <w:b/>
                <w:color w:val="000000"/>
                <w:sz w:val="28"/>
                <w:szCs w:val="28"/>
              </w:rPr>
            </w:pPr>
          </w:p>
          <w:p w14:paraId="6898460A" w14:textId="77777777" w:rsidR="00421E75" w:rsidRDefault="00421E75" w:rsidP="00421E75">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Норма цього пункту не поширюється на випадки, коли основні виробничі або невиробничі засоби, </w:t>
            </w:r>
            <w:r>
              <w:rPr>
                <w:rFonts w:ascii="Times New Roman" w:eastAsia="Times New Roman" w:hAnsi="Times New Roman" w:cs="Times New Roman"/>
                <w:b/>
                <w:color w:val="000000"/>
                <w:sz w:val="28"/>
                <w:szCs w:val="28"/>
              </w:rPr>
              <w:t xml:space="preserve">сільськогосподарські рослини, насадження, тварини платника податку, </w:t>
            </w:r>
            <w:r>
              <w:rPr>
                <w:rFonts w:ascii="Times New Roman" w:eastAsia="Times New Roman" w:hAnsi="Times New Roman" w:cs="Times New Roman"/>
                <w:color w:val="000000"/>
                <w:sz w:val="28"/>
                <w:szCs w:val="28"/>
              </w:rPr>
              <w:t xml:space="preserve">ліквідуються у зв'язку з їх знищенням або зруйнуванням, </w:t>
            </w:r>
            <w:r>
              <w:rPr>
                <w:rFonts w:ascii="Times New Roman" w:eastAsia="Times New Roman" w:hAnsi="Times New Roman" w:cs="Times New Roman"/>
                <w:b/>
                <w:color w:val="000000"/>
                <w:sz w:val="28"/>
                <w:szCs w:val="28"/>
              </w:rPr>
              <w:t>загибеллю, падежем, забоєм</w:t>
            </w:r>
            <w:r>
              <w:rPr>
                <w:rFonts w:ascii="Times New Roman" w:eastAsia="Times New Roman" w:hAnsi="Times New Roman" w:cs="Times New Roman"/>
                <w:color w:val="000000"/>
                <w:sz w:val="28"/>
                <w:szCs w:val="28"/>
              </w:rPr>
              <w:t xml:space="preserve"> внаслідок дії обставин непереборної сили, в інших випадках, коли така ліквідація здійснюється без згоди платника податку, у тому числі в разі</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викрадення основних виробничих або невиробничих засобів, що підтверджується відповідно до законодавства або коли платник податку подає контролюючому органу відповідний документ про знищення, розібрання або перетворення основних виробничих, невиробничих засобів, у інший спосіб, внаслідок чого вони не можуть використовуватися за первісним призначенням.</w:t>
            </w:r>
          </w:p>
          <w:p w14:paraId="34C3CE97" w14:textId="77777777" w:rsidR="00421E75" w:rsidRDefault="00421E75" w:rsidP="00421E75">
            <w:pPr>
              <w:jc w:val="both"/>
              <w:rPr>
                <w:rFonts w:ascii="Times New Roman" w:eastAsia="Times New Roman" w:hAnsi="Times New Roman" w:cs="Times New Roman"/>
                <w:b/>
                <w:color w:val="000000"/>
                <w:sz w:val="28"/>
                <w:szCs w:val="28"/>
              </w:rPr>
            </w:pPr>
          </w:p>
        </w:tc>
      </w:tr>
      <w:tr w:rsidR="00421E75" w14:paraId="72BBC389" w14:textId="77777777" w:rsidTr="00421E75">
        <w:tc>
          <w:tcPr>
            <w:tcW w:w="7280" w:type="dxa"/>
            <w:tcBorders>
              <w:top w:val="single" w:sz="4" w:space="0" w:color="000000"/>
              <w:left w:val="single" w:sz="4" w:space="0" w:color="000000"/>
              <w:bottom w:val="single" w:sz="4" w:space="0" w:color="000000"/>
              <w:right w:val="single" w:sz="4" w:space="0" w:color="000000"/>
            </w:tcBorders>
            <w:hideMark/>
          </w:tcPr>
          <w:p w14:paraId="6A38CB7D" w14:textId="77777777" w:rsidR="00421E75" w:rsidRDefault="00421E75" w:rsidP="00421E75">
            <w:pPr>
              <w:jc w:val="both"/>
              <w:rPr>
                <w:rFonts w:ascii="Times New Roman" w:eastAsia="Times New Roman" w:hAnsi="Times New Roman" w:cs="Times New Roman"/>
                <w:color w:val="000000"/>
                <w:sz w:val="28"/>
                <w:szCs w:val="28"/>
              </w:rPr>
            </w:pPr>
            <w:r>
              <w:rPr>
                <w:rStyle w:val="rvts9"/>
                <w:rFonts w:ascii="Times New Roman" w:hAnsi="Times New Roman" w:cs="Times New Roman"/>
                <w:b/>
                <w:bCs/>
                <w:color w:val="333333"/>
                <w:sz w:val="28"/>
                <w:szCs w:val="28"/>
              </w:rPr>
              <w:lastRenderedPageBreak/>
              <w:t>Стаття 200.</w:t>
            </w:r>
            <w:r>
              <w:rPr>
                <w:rStyle w:val="apple-converted-space"/>
                <w:rFonts w:ascii="Times New Roman" w:hAnsi="Times New Roman" w:cs="Times New Roman"/>
                <w:b/>
                <w:color w:val="333333"/>
                <w:sz w:val="28"/>
                <w:szCs w:val="28"/>
                <w:shd w:val="clear" w:color="auto" w:fill="FFFFFF"/>
              </w:rPr>
              <w:t> </w:t>
            </w:r>
            <w:r>
              <w:rPr>
                <w:rFonts w:ascii="Times New Roman" w:hAnsi="Times New Roman" w:cs="Times New Roman"/>
                <w:b/>
                <w:color w:val="333333"/>
                <w:sz w:val="28"/>
                <w:szCs w:val="28"/>
                <w:shd w:val="clear" w:color="auto" w:fill="FFFFFF"/>
              </w:rPr>
              <w:t>Порядок визначення суми податку, що підлягає сплаті (перерахуванню) до Державного бюджету України або відшкодуванню з Державного бюджету України (бюджетному відшкодуванню), та строки проведення розрахунків</w:t>
            </w:r>
          </w:p>
        </w:tc>
        <w:tc>
          <w:tcPr>
            <w:tcW w:w="7280" w:type="dxa"/>
            <w:tcBorders>
              <w:top w:val="single" w:sz="4" w:space="0" w:color="000000"/>
              <w:left w:val="single" w:sz="4" w:space="0" w:color="000000"/>
              <w:bottom w:val="single" w:sz="4" w:space="0" w:color="000000"/>
              <w:right w:val="single" w:sz="4" w:space="0" w:color="000000"/>
            </w:tcBorders>
            <w:hideMark/>
          </w:tcPr>
          <w:p w14:paraId="1FE36C3A" w14:textId="77777777" w:rsidR="00421E75" w:rsidRDefault="00421E75" w:rsidP="00421E75">
            <w:pPr>
              <w:jc w:val="both"/>
              <w:rPr>
                <w:rFonts w:ascii="Times New Roman" w:eastAsia="Times New Roman" w:hAnsi="Times New Roman" w:cs="Times New Roman"/>
                <w:color w:val="000000"/>
                <w:sz w:val="28"/>
                <w:szCs w:val="28"/>
              </w:rPr>
            </w:pPr>
            <w:r>
              <w:rPr>
                <w:rStyle w:val="rvts9"/>
                <w:rFonts w:ascii="Times New Roman" w:hAnsi="Times New Roman" w:cs="Times New Roman"/>
                <w:b/>
                <w:bCs/>
                <w:color w:val="333333"/>
                <w:sz w:val="28"/>
                <w:szCs w:val="28"/>
              </w:rPr>
              <w:t>Стаття 200.</w:t>
            </w:r>
            <w:r>
              <w:rPr>
                <w:rStyle w:val="apple-converted-space"/>
                <w:rFonts w:ascii="Times New Roman" w:hAnsi="Times New Roman" w:cs="Times New Roman"/>
                <w:b/>
                <w:color w:val="333333"/>
                <w:sz w:val="28"/>
                <w:szCs w:val="28"/>
                <w:shd w:val="clear" w:color="auto" w:fill="FFFFFF"/>
              </w:rPr>
              <w:t> </w:t>
            </w:r>
            <w:r>
              <w:rPr>
                <w:rFonts w:ascii="Times New Roman" w:hAnsi="Times New Roman" w:cs="Times New Roman"/>
                <w:b/>
                <w:color w:val="333333"/>
                <w:sz w:val="28"/>
                <w:szCs w:val="28"/>
                <w:shd w:val="clear" w:color="auto" w:fill="FFFFFF"/>
              </w:rPr>
              <w:t>Порядок визначення суми податку, що підлягає сплаті (перерахуванню) до Державного бюджету України або відшкодуванню з Державного бюджету України (бюджетному відшкодуванню), та строки проведення розрахунків</w:t>
            </w:r>
          </w:p>
        </w:tc>
      </w:tr>
      <w:tr w:rsidR="00421E75" w14:paraId="3CDE8F3A" w14:textId="77777777" w:rsidTr="00421E75">
        <w:tc>
          <w:tcPr>
            <w:tcW w:w="7280" w:type="dxa"/>
            <w:tcBorders>
              <w:top w:val="single" w:sz="4" w:space="0" w:color="000000"/>
              <w:left w:val="single" w:sz="4" w:space="0" w:color="000000"/>
              <w:bottom w:val="single" w:sz="4" w:space="0" w:color="000000"/>
              <w:right w:val="single" w:sz="4" w:space="0" w:color="000000"/>
            </w:tcBorders>
            <w:hideMark/>
          </w:tcPr>
          <w:p w14:paraId="28495023" w14:textId="77777777" w:rsidR="00421E75" w:rsidRDefault="00421E75" w:rsidP="00421E75">
            <w:pPr>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w:t>
            </w:r>
          </w:p>
          <w:p w14:paraId="1F9421D0" w14:textId="77777777" w:rsidR="00421E75" w:rsidRDefault="00421E75" w:rsidP="00421E75">
            <w:pPr>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200.4. </w:t>
            </w:r>
            <w:r>
              <w:rPr>
                <w:rFonts w:ascii="Times New Roman" w:hAnsi="Times New Roman" w:cs="Times New Roman"/>
                <w:sz w:val="28"/>
                <w:szCs w:val="28"/>
              </w:rPr>
              <w:t>При від’ємному значенні суми, розрахованої згідно з пунктом 200.1 цієї статті, така сума:</w:t>
            </w:r>
          </w:p>
          <w:p w14:paraId="10E1ECE6" w14:textId="77777777" w:rsidR="00421E75" w:rsidRDefault="00421E75" w:rsidP="00421E75">
            <w:pPr>
              <w:jc w:val="both"/>
              <w:rPr>
                <w:rFonts w:ascii="Times New Roman" w:hAnsi="Times New Roman" w:cs="Times New Roman"/>
                <w:sz w:val="28"/>
                <w:szCs w:val="28"/>
              </w:rPr>
            </w:pPr>
            <w:r>
              <w:rPr>
                <w:rFonts w:ascii="Times New Roman" w:hAnsi="Times New Roman" w:cs="Times New Roman"/>
                <w:sz w:val="28"/>
                <w:szCs w:val="28"/>
              </w:rPr>
              <w:t xml:space="preserve">а) враховується у зменшення суми податкового боргу з податку, що виник за попередні звітні (податкові) періоди (у тому числі розстроченого або відстроченого відповідно до цього Кодексу) в частині, що не перевищує суму, </w:t>
            </w:r>
            <w:r>
              <w:rPr>
                <w:rFonts w:ascii="Times New Roman" w:hAnsi="Times New Roman" w:cs="Times New Roman"/>
                <w:sz w:val="28"/>
                <w:szCs w:val="28"/>
              </w:rPr>
              <w:lastRenderedPageBreak/>
              <w:t>обчислену відповідно до пункту 200-1.3 статті 200-1 цього Кодексу на момент отримання контролюючим органом податкової декларації, а в разі відсутності податкового боргу -</w:t>
            </w:r>
          </w:p>
          <w:p w14:paraId="464A0035" w14:textId="77777777" w:rsidR="00421E75" w:rsidRDefault="00421E75" w:rsidP="00421E75">
            <w:pPr>
              <w:jc w:val="both"/>
              <w:rPr>
                <w:rFonts w:ascii="Times New Roman" w:hAnsi="Times New Roman" w:cs="Times New Roman"/>
                <w:sz w:val="28"/>
                <w:szCs w:val="28"/>
              </w:rPr>
            </w:pPr>
            <w:r>
              <w:rPr>
                <w:rFonts w:ascii="Times New Roman" w:hAnsi="Times New Roman" w:cs="Times New Roman"/>
                <w:sz w:val="28"/>
                <w:szCs w:val="28"/>
              </w:rPr>
              <w:t xml:space="preserve">б) або підлягає бюджетному відшкодуванню за заявою платника у сумі податку, фактично сплаченій отримувачем товарів/послуг у попередніх та звітному податкових періодах постачальникам таких товарів/послуг або до Державного бюджету України, в частині, що не перевищує суму, обчислену відповідно до пункту 200-1.3 статті 200-1 цього Кодексу на момент отримання контролюючим органом податкової декларації, на поточний рахунок платника податку та/або у рахунок сплати грошових зобов’язань або погашення податкового боргу такого платника податку </w:t>
            </w:r>
            <w:r>
              <w:rPr>
                <w:rFonts w:ascii="Times New Roman" w:hAnsi="Times New Roman" w:cs="Times New Roman"/>
                <w:b/>
                <w:sz w:val="28"/>
                <w:szCs w:val="28"/>
              </w:rPr>
              <w:t>з інших платежів, що сплачуються до державного бюджету</w:t>
            </w:r>
            <w:r>
              <w:rPr>
                <w:rFonts w:ascii="Times New Roman" w:hAnsi="Times New Roman" w:cs="Times New Roman"/>
                <w:sz w:val="28"/>
                <w:szCs w:val="28"/>
              </w:rPr>
              <w:t xml:space="preserve">; </w:t>
            </w:r>
          </w:p>
          <w:p w14:paraId="1FF6C420" w14:textId="77777777" w:rsidR="00421E75" w:rsidRDefault="00421E75" w:rsidP="00421E75">
            <w:pPr>
              <w:jc w:val="both"/>
              <w:rPr>
                <w:rFonts w:ascii="Times New Roman" w:eastAsia="Times New Roman" w:hAnsi="Times New Roman" w:cs="Times New Roman"/>
                <w:color w:val="000000"/>
                <w:sz w:val="28"/>
                <w:szCs w:val="28"/>
              </w:rPr>
            </w:pPr>
            <w:r>
              <w:rPr>
                <w:rFonts w:ascii="Times New Roman" w:hAnsi="Times New Roman" w:cs="Times New Roman"/>
                <w:sz w:val="28"/>
                <w:szCs w:val="28"/>
              </w:rPr>
              <w:t>в) та/або зараховується до складу податкового кредиту наступного звітного (податкового) періоду.</w:t>
            </w:r>
          </w:p>
        </w:tc>
        <w:tc>
          <w:tcPr>
            <w:tcW w:w="7280" w:type="dxa"/>
            <w:tcBorders>
              <w:top w:val="single" w:sz="4" w:space="0" w:color="000000"/>
              <w:left w:val="single" w:sz="4" w:space="0" w:color="000000"/>
              <w:bottom w:val="single" w:sz="4" w:space="0" w:color="000000"/>
              <w:right w:val="single" w:sz="4" w:space="0" w:color="000000"/>
            </w:tcBorders>
            <w:hideMark/>
          </w:tcPr>
          <w:p w14:paraId="58CED56B" w14:textId="77777777" w:rsidR="00421E75" w:rsidRDefault="00421E75" w:rsidP="00421E75">
            <w:pPr>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w:t>
            </w:r>
          </w:p>
          <w:p w14:paraId="11DE42E4" w14:textId="77777777" w:rsidR="00421E75" w:rsidRDefault="00421E75" w:rsidP="00421E75">
            <w:pPr>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200.4. </w:t>
            </w:r>
            <w:r>
              <w:rPr>
                <w:rFonts w:ascii="Times New Roman" w:hAnsi="Times New Roman" w:cs="Times New Roman"/>
                <w:sz w:val="28"/>
                <w:szCs w:val="28"/>
              </w:rPr>
              <w:t>При від’ємному значенні суми, розрахованої згідно з пунктом 200.1 цієї статті, така сума:</w:t>
            </w:r>
          </w:p>
          <w:p w14:paraId="16B8D037" w14:textId="77777777" w:rsidR="00421E75" w:rsidRDefault="00421E75" w:rsidP="00421E75">
            <w:pPr>
              <w:jc w:val="both"/>
              <w:rPr>
                <w:rFonts w:ascii="Times New Roman" w:hAnsi="Times New Roman" w:cs="Times New Roman"/>
                <w:sz w:val="28"/>
                <w:szCs w:val="28"/>
              </w:rPr>
            </w:pPr>
            <w:r>
              <w:rPr>
                <w:rFonts w:ascii="Times New Roman" w:hAnsi="Times New Roman" w:cs="Times New Roman"/>
                <w:sz w:val="28"/>
                <w:szCs w:val="28"/>
              </w:rPr>
              <w:t xml:space="preserve">а) враховується у зменшення суми податкового боргу з податку, що виник за попередні звітні (податкові) періоди (у тому числі розстроченого або відстроченого відповідно до цього Кодексу) в частині, що не перевищує суму, </w:t>
            </w:r>
            <w:r>
              <w:rPr>
                <w:rFonts w:ascii="Times New Roman" w:hAnsi="Times New Roman" w:cs="Times New Roman"/>
                <w:sz w:val="28"/>
                <w:szCs w:val="28"/>
              </w:rPr>
              <w:lastRenderedPageBreak/>
              <w:t>обчислену відповідно до пункту 200-1.3 статті 200-1 цього Кодексу на момент отримання контролюючим органом податкової декларації, а в разі відсутності податкового боргу -</w:t>
            </w:r>
          </w:p>
          <w:p w14:paraId="4B1887FA" w14:textId="77777777" w:rsidR="00421E75" w:rsidRDefault="00421E75" w:rsidP="00421E75">
            <w:pPr>
              <w:jc w:val="both"/>
              <w:rPr>
                <w:rFonts w:ascii="Times New Roman" w:hAnsi="Times New Roman" w:cs="Times New Roman"/>
                <w:sz w:val="28"/>
                <w:szCs w:val="28"/>
              </w:rPr>
            </w:pPr>
            <w:r>
              <w:rPr>
                <w:rFonts w:ascii="Times New Roman" w:hAnsi="Times New Roman" w:cs="Times New Roman"/>
                <w:sz w:val="28"/>
                <w:szCs w:val="28"/>
              </w:rPr>
              <w:t xml:space="preserve">б) або підлягає бюджетному відшкодуванню за заявою платника у сумі податку, фактично сплаченій отримувачем товарів/послуг у попередніх та звітному податкових періодах постачальникам таких товарів/послуг або до Державного бюджету України, в частині, що не перевищує суму, обчислену відповідно до пункту 200-1.3 статті 200-1 цього Кодексу на момент отримання контролюючим органом податкової декларації, на поточний рахунок платника податку та/або у рахунок сплати грошових зобов’язань або погашення податкового боргу такого платника податку </w:t>
            </w:r>
            <w:r>
              <w:rPr>
                <w:rFonts w:ascii="Times New Roman" w:hAnsi="Times New Roman" w:cs="Times New Roman"/>
                <w:b/>
                <w:sz w:val="28"/>
                <w:szCs w:val="28"/>
              </w:rPr>
              <w:t>з інших загальнодержавних податків відповідно до положень статті 9 цього Кодексу</w:t>
            </w:r>
            <w:r>
              <w:rPr>
                <w:rFonts w:ascii="Times New Roman" w:hAnsi="Times New Roman" w:cs="Times New Roman"/>
                <w:sz w:val="28"/>
                <w:szCs w:val="28"/>
              </w:rPr>
              <w:t xml:space="preserve">; </w:t>
            </w:r>
          </w:p>
          <w:p w14:paraId="07254BEE" w14:textId="77777777" w:rsidR="00421E75" w:rsidRDefault="00421E75" w:rsidP="00421E75">
            <w:pPr>
              <w:jc w:val="both"/>
              <w:rPr>
                <w:rFonts w:ascii="Times New Roman" w:eastAsia="Times New Roman" w:hAnsi="Times New Roman" w:cs="Times New Roman"/>
                <w:color w:val="000000"/>
                <w:sz w:val="28"/>
                <w:szCs w:val="28"/>
              </w:rPr>
            </w:pPr>
            <w:r>
              <w:rPr>
                <w:rFonts w:ascii="Times New Roman" w:hAnsi="Times New Roman" w:cs="Times New Roman"/>
                <w:sz w:val="28"/>
                <w:szCs w:val="28"/>
              </w:rPr>
              <w:t>в) та/або зараховується до складу податкового кредиту наступного звітного (податкового) періоду.</w:t>
            </w:r>
          </w:p>
        </w:tc>
      </w:tr>
      <w:tr w:rsidR="00421E75" w14:paraId="2F64772F" w14:textId="77777777" w:rsidTr="00421E75">
        <w:tc>
          <w:tcPr>
            <w:tcW w:w="7280" w:type="dxa"/>
            <w:tcBorders>
              <w:top w:val="single" w:sz="4" w:space="0" w:color="000000"/>
              <w:left w:val="single" w:sz="4" w:space="0" w:color="000000"/>
              <w:bottom w:val="single" w:sz="4" w:space="0" w:color="000000"/>
              <w:right w:val="single" w:sz="4" w:space="0" w:color="000000"/>
            </w:tcBorders>
            <w:hideMark/>
          </w:tcPr>
          <w:p w14:paraId="41296C87" w14:textId="77777777" w:rsidR="00421E75" w:rsidRDefault="00421E75" w:rsidP="00421E75">
            <w:pPr>
              <w:tabs>
                <w:tab w:val="left" w:pos="1270"/>
              </w:tabs>
              <w:ind w:firstLine="284"/>
              <w:jc w:val="both"/>
              <w:rPr>
                <w:rFonts w:ascii="Times New Roman" w:hAnsi="Times New Roman" w:cs="Times New Roman"/>
                <w:b/>
                <w:sz w:val="28"/>
                <w:szCs w:val="28"/>
              </w:rPr>
            </w:pPr>
            <w:r>
              <w:rPr>
                <w:rFonts w:ascii="Times New Roman" w:hAnsi="Times New Roman" w:cs="Times New Roman"/>
                <w:b/>
                <w:sz w:val="28"/>
                <w:szCs w:val="28"/>
              </w:rPr>
              <w:lastRenderedPageBreak/>
              <w:t>Стаття 226. Виготовлення, зберігання, продаж марок акцизного податку та маркування алкогольних напоїв і тютюнових виробів</w:t>
            </w:r>
          </w:p>
        </w:tc>
        <w:tc>
          <w:tcPr>
            <w:tcW w:w="7280" w:type="dxa"/>
            <w:tcBorders>
              <w:top w:val="single" w:sz="4" w:space="0" w:color="000000"/>
              <w:left w:val="single" w:sz="4" w:space="0" w:color="000000"/>
              <w:bottom w:val="single" w:sz="4" w:space="0" w:color="000000"/>
              <w:right w:val="single" w:sz="4" w:space="0" w:color="000000"/>
            </w:tcBorders>
            <w:hideMark/>
          </w:tcPr>
          <w:p w14:paraId="6D354351" w14:textId="77777777" w:rsidR="00421E75" w:rsidRDefault="00421E75" w:rsidP="00421E75">
            <w:pPr>
              <w:tabs>
                <w:tab w:val="left" w:pos="1270"/>
              </w:tabs>
              <w:ind w:firstLine="284"/>
              <w:jc w:val="both"/>
              <w:rPr>
                <w:rFonts w:ascii="Times New Roman" w:hAnsi="Times New Roman" w:cs="Times New Roman"/>
                <w:b/>
                <w:sz w:val="28"/>
                <w:szCs w:val="28"/>
              </w:rPr>
            </w:pPr>
            <w:r>
              <w:rPr>
                <w:rFonts w:ascii="Times New Roman" w:hAnsi="Times New Roman" w:cs="Times New Roman"/>
                <w:b/>
                <w:sz w:val="28"/>
                <w:szCs w:val="28"/>
              </w:rPr>
              <w:t>Стаття 226. Виготовлення, зберігання, продаж марок акцизного податку та маркування алкогольних напоїв і тютюнових виробів</w:t>
            </w:r>
          </w:p>
        </w:tc>
      </w:tr>
      <w:tr w:rsidR="00421E75" w14:paraId="71D11529" w14:textId="77777777" w:rsidTr="00421E75">
        <w:tc>
          <w:tcPr>
            <w:tcW w:w="7280" w:type="dxa"/>
            <w:tcBorders>
              <w:top w:val="single" w:sz="4" w:space="0" w:color="000000"/>
              <w:left w:val="single" w:sz="4" w:space="0" w:color="000000"/>
              <w:bottom w:val="single" w:sz="4" w:space="0" w:color="000000"/>
              <w:right w:val="single" w:sz="4" w:space="0" w:color="000000"/>
            </w:tcBorders>
          </w:tcPr>
          <w:p w14:paraId="3C3D0A2F" w14:textId="77777777" w:rsidR="00421E75" w:rsidRDefault="00421E75" w:rsidP="00421E75">
            <w:pPr>
              <w:tabs>
                <w:tab w:val="left" w:pos="1270"/>
              </w:tabs>
              <w:ind w:firstLine="284"/>
              <w:jc w:val="both"/>
              <w:rPr>
                <w:rStyle w:val="rvts0"/>
              </w:rPr>
            </w:pPr>
            <w:r>
              <w:rPr>
                <w:rStyle w:val="rvts0"/>
                <w:rFonts w:ascii="Times New Roman" w:hAnsi="Times New Roman" w:cs="Times New Roman"/>
                <w:sz w:val="28"/>
                <w:szCs w:val="28"/>
              </w:rPr>
              <w:t>226.10. Не підлягають маркуванню:</w:t>
            </w:r>
          </w:p>
          <w:p w14:paraId="0CBC8B30" w14:textId="77777777" w:rsidR="00421E75" w:rsidRDefault="00421E75" w:rsidP="00421E75">
            <w:pPr>
              <w:tabs>
                <w:tab w:val="left" w:pos="1270"/>
              </w:tabs>
              <w:ind w:firstLine="284"/>
              <w:jc w:val="both"/>
              <w:rPr>
                <w:rStyle w:val="rvts0"/>
                <w:rFonts w:ascii="Times New Roman" w:hAnsi="Times New Roman" w:cs="Times New Roman"/>
                <w:sz w:val="28"/>
                <w:szCs w:val="28"/>
              </w:rPr>
            </w:pPr>
            <w:r>
              <w:rPr>
                <w:rStyle w:val="rvts0"/>
                <w:rFonts w:ascii="Times New Roman" w:hAnsi="Times New Roman" w:cs="Times New Roman"/>
                <w:sz w:val="28"/>
                <w:szCs w:val="28"/>
              </w:rPr>
              <w:t xml:space="preserve">алкогольні напої і тютюнові вироби, які постачаються для реалізації магазинам безмитної торгівлі безпосередньо вітчизняними виробниками такої продукції за прямими договорами, укладеними між вітчизняними виробниками алкогольних напоїв і тютюнових виробів і власниками магазинів безмитної торгівлі. При цьому переміщення алкогольних напоїв і тютюнових виробів, що </w:t>
            </w:r>
            <w:r>
              <w:rPr>
                <w:rStyle w:val="rvts0"/>
                <w:rFonts w:ascii="Times New Roman" w:hAnsi="Times New Roman" w:cs="Times New Roman"/>
                <w:sz w:val="28"/>
                <w:szCs w:val="28"/>
              </w:rPr>
              <w:lastRenderedPageBreak/>
              <w:t>спрямовуються виробниками до магазинів безмитної торгівлі, здійснюється під митним контролем із застосуванням заходів гарантування доставки;</w:t>
            </w:r>
          </w:p>
          <w:p w14:paraId="3834694F" w14:textId="77777777" w:rsidR="00421E75" w:rsidRDefault="00421E75" w:rsidP="00421E75">
            <w:pPr>
              <w:tabs>
                <w:tab w:val="left" w:pos="1270"/>
              </w:tabs>
              <w:ind w:firstLine="284"/>
              <w:jc w:val="both"/>
              <w:rPr>
                <w:rStyle w:val="rvts0"/>
                <w:rFonts w:ascii="Times New Roman" w:hAnsi="Times New Roman" w:cs="Times New Roman"/>
                <w:sz w:val="28"/>
                <w:szCs w:val="28"/>
              </w:rPr>
            </w:pPr>
          </w:p>
          <w:p w14:paraId="4DB8D05E" w14:textId="77777777" w:rsidR="00421E75" w:rsidRDefault="00421E75" w:rsidP="00421E75">
            <w:pPr>
              <w:tabs>
                <w:tab w:val="left" w:pos="1270"/>
              </w:tabs>
              <w:ind w:firstLine="284"/>
              <w:jc w:val="both"/>
              <w:rPr>
                <w:rStyle w:val="rvts0"/>
                <w:rFonts w:ascii="Times New Roman" w:hAnsi="Times New Roman" w:cs="Times New Roman"/>
                <w:sz w:val="28"/>
                <w:szCs w:val="28"/>
              </w:rPr>
            </w:pPr>
            <w:r>
              <w:rPr>
                <w:rStyle w:val="rvts0"/>
                <w:rFonts w:ascii="Times New Roman" w:hAnsi="Times New Roman" w:cs="Times New Roman"/>
                <w:sz w:val="28"/>
                <w:szCs w:val="28"/>
              </w:rPr>
              <w:t>алкогольні напої і тютюнові вироби, які ввозяться в Україну і розміщуються у митному режимі магазину безмитної торгівлі;</w:t>
            </w:r>
          </w:p>
          <w:p w14:paraId="461E89BA" w14:textId="77777777" w:rsidR="00421E75" w:rsidRDefault="00421E75" w:rsidP="00421E75">
            <w:pPr>
              <w:tabs>
                <w:tab w:val="left" w:pos="1270"/>
              </w:tabs>
              <w:ind w:firstLine="284"/>
              <w:jc w:val="both"/>
              <w:rPr>
                <w:rStyle w:val="rvts0"/>
                <w:rFonts w:ascii="Times New Roman" w:hAnsi="Times New Roman" w:cs="Times New Roman"/>
                <w:sz w:val="28"/>
                <w:szCs w:val="28"/>
              </w:rPr>
            </w:pPr>
          </w:p>
          <w:p w14:paraId="1C968DC6" w14:textId="77777777" w:rsidR="00421E75" w:rsidRDefault="00421E75" w:rsidP="00421E75">
            <w:pPr>
              <w:tabs>
                <w:tab w:val="left" w:pos="1270"/>
              </w:tabs>
              <w:ind w:firstLine="284"/>
              <w:jc w:val="both"/>
              <w:rPr>
                <w:rStyle w:val="rvts0"/>
                <w:rFonts w:ascii="Times New Roman" w:hAnsi="Times New Roman" w:cs="Times New Roman"/>
                <w:sz w:val="28"/>
                <w:szCs w:val="28"/>
              </w:rPr>
            </w:pPr>
            <w:r>
              <w:rPr>
                <w:rStyle w:val="rvts0"/>
                <w:rFonts w:ascii="Times New Roman" w:hAnsi="Times New Roman" w:cs="Times New Roman"/>
                <w:sz w:val="28"/>
                <w:szCs w:val="28"/>
              </w:rPr>
              <w:t>еталонні (моніторингові) чи тестові зразки тютюнових виробів, які не призначені для продажу вроздріб і ввозяться на митну територію України акредитованими державними випробувальними лабораторіями та/або суб'єктами господарювання, які мають ліцензії на право виробництва відповідної продукції, для проведення досліджень чи випробувань (калібрування лабораторного обладнання, проведення дегустацій, вивчення фізико-хімічних показників, дизайну).</w:t>
            </w:r>
          </w:p>
          <w:p w14:paraId="56C9994E" w14:textId="77777777" w:rsidR="00421E75" w:rsidRDefault="00421E75" w:rsidP="00421E75">
            <w:pPr>
              <w:tabs>
                <w:tab w:val="left" w:pos="1270"/>
              </w:tabs>
              <w:ind w:firstLine="284"/>
              <w:jc w:val="both"/>
              <w:rPr>
                <w:rStyle w:val="rvts0"/>
                <w:rFonts w:ascii="Times New Roman" w:hAnsi="Times New Roman" w:cs="Times New Roman"/>
                <w:sz w:val="28"/>
                <w:szCs w:val="28"/>
              </w:rPr>
            </w:pPr>
          </w:p>
        </w:tc>
        <w:tc>
          <w:tcPr>
            <w:tcW w:w="7280" w:type="dxa"/>
            <w:tcBorders>
              <w:top w:val="single" w:sz="4" w:space="0" w:color="000000"/>
              <w:left w:val="single" w:sz="4" w:space="0" w:color="000000"/>
              <w:bottom w:val="single" w:sz="4" w:space="0" w:color="000000"/>
              <w:right w:val="single" w:sz="4" w:space="0" w:color="000000"/>
            </w:tcBorders>
          </w:tcPr>
          <w:p w14:paraId="0F0B1DE8" w14:textId="77777777" w:rsidR="00421E75" w:rsidRDefault="00421E75" w:rsidP="00421E75">
            <w:pPr>
              <w:tabs>
                <w:tab w:val="left" w:pos="1270"/>
              </w:tabs>
              <w:ind w:firstLine="284"/>
              <w:jc w:val="both"/>
              <w:rPr>
                <w:rStyle w:val="rvts0"/>
                <w:rFonts w:ascii="Times New Roman" w:hAnsi="Times New Roman" w:cs="Times New Roman"/>
                <w:sz w:val="28"/>
                <w:szCs w:val="28"/>
              </w:rPr>
            </w:pPr>
            <w:r>
              <w:rPr>
                <w:rStyle w:val="rvts0"/>
                <w:rFonts w:ascii="Times New Roman" w:hAnsi="Times New Roman" w:cs="Times New Roman"/>
                <w:sz w:val="28"/>
                <w:szCs w:val="28"/>
              </w:rPr>
              <w:lastRenderedPageBreak/>
              <w:t>226.10. Не підлягають маркуванню:</w:t>
            </w:r>
          </w:p>
          <w:p w14:paraId="3886F538" w14:textId="77777777" w:rsidR="00421E75" w:rsidRDefault="00421E75" w:rsidP="00421E75">
            <w:pPr>
              <w:tabs>
                <w:tab w:val="left" w:pos="1270"/>
              </w:tabs>
              <w:ind w:firstLine="284"/>
              <w:jc w:val="both"/>
              <w:rPr>
                <w:rStyle w:val="rvts0"/>
                <w:rFonts w:ascii="Times New Roman" w:hAnsi="Times New Roman" w:cs="Times New Roman"/>
                <w:sz w:val="28"/>
                <w:szCs w:val="28"/>
              </w:rPr>
            </w:pPr>
            <w:r>
              <w:rPr>
                <w:rStyle w:val="rvts0"/>
                <w:rFonts w:ascii="Times New Roman" w:hAnsi="Times New Roman" w:cs="Times New Roman"/>
                <w:sz w:val="28"/>
                <w:szCs w:val="28"/>
              </w:rPr>
              <w:t xml:space="preserve">алкогольні напої і тютюнові вироби, які постачаються для реалізації магазинам безмитної торгівлі безпосередньо вітчизняними виробниками такої продукції за прямими договорами, укладеними між вітчизняними виробниками алкогольних напоїв і тютюнових виробів і власниками магазинів безмитної торгівлі. При цьому переміщення алкогольних напоїв і тютюнових виробів, що </w:t>
            </w:r>
            <w:r>
              <w:rPr>
                <w:rStyle w:val="rvts0"/>
                <w:rFonts w:ascii="Times New Roman" w:hAnsi="Times New Roman" w:cs="Times New Roman"/>
                <w:sz w:val="28"/>
                <w:szCs w:val="28"/>
              </w:rPr>
              <w:lastRenderedPageBreak/>
              <w:t>спрямовуються виробниками до магазинів безмитної торгівлі, здійснюється під митним контролем із застосуванням заходів гарантування доставки;</w:t>
            </w:r>
          </w:p>
          <w:p w14:paraId="2C7A3811" w14:textId="77777777" w:rsidR="00421E75" w:rsidRDefault="00421E75" w:rsidP="00421E75">
            <w:pPr>
              <w:tabs>
                <w:tab w:val="left" w:pos="1270"/>
              </w:tabs>
              <w:ind w:firstLine="284"/>
              <w:jc w:val="both"/>
              <w:rPr>
                <w:rStyle w:val="rvts0"/>
                <w:rFonts w:ascii="Times New Roman" w:hAnsi="Times New Roman" w:cs="Times New Roman"/>
                <w:sz w:val="28"/>
                <w:szCs w:val="28"/>
              </w:rPr>
            </w:pPr>
          </w:p>
          <w:p w14:paraId="67C5AC08" w14:textId="77777777" w:rsidR="00421E75" w:rsidRDefault="00421E75" w:rsidP="00421E75">
            <w:pPr>
              <w:tabs>
                <w:tab w:val="left" w:pos="1270"/>
              </w:tabs>
              <w:ind w:firstLine="284"/>
              <w:jc w:val="both"/>
              <w:rPr>
                <w:rStyle w:val="rvts0"/>
                <w:rFonts w:ascii="Times New Roman" w:hAnsi="Times New Roman" w:cs="Times New Roman"/>
                <w:sz w:val="28"/>
                <w:szCs w:val="28"/>
              </w:rPr>
            </w:pPr>
            <w:r>
              <w:rPr>
                <w:rStyle w:val="rvts0"/>
                <w:rFonts w:ascii="Times New Roman" w:hAnsi="Times New Roman" w:cs="Times New Roman"/>
                <w:sz w:val="28"/>
                <w:szCs w:val="28"/>
              </w:rPr>
              <w:t>алкогольні напої і тютюнові вироби, які ввозяться в Україну і розміщуються у митному режимі магазину безмитної торгівлі;</w:t>
            </w:r>
          </w:p>
          <w:p w14:paraId="2565902A" w14:textId="77777777" w:rsidR="00421E75" w:rsidRDefault="00421E75" w:rsidP="00421E75">
            <w:pPr>
              <w:tabs>
                <w:tab w:val="left" w:pos="1270"/>
              </w:tabs>
              <w:ind w:firstLine="284"/>
              <w:jc w:val="both"/>
              <w:rPr>
                <w:rStyle w:val="rvts0"/>
                <w:rFonts w:ascii="Times New Roman" w:hAnsi="Times New Roman" w:cs="Times New Roman"/>
                <w:sz w:val="28"/>
                <w:szCs w:val="28"/>
              </w:rPr>
            </w:pPr>
          </w:p>
          <w:p w14:paraId="44586C41" w14:textId="77777777" w:rsidR="00421E75" w:rsidRDefault="00421E75" w:rsidP="00421E75">
            <w:pPr>
              <w:tabs>
                <w:tab w:val="left" w:pos="1270"/>
              </w:tabs>
              <w:ind w:firstLine="284"/>
              <w:jc w:val="both"/>
              <w:rPr>
                <w:rStyle w:val="rvts0"/>
                <w:rFonts w:ascii="Times New Roman" w:hAnsi="Times New Roman" w:cs="Times New Roman"/>
                <w:sz w:val="28"/>
                <w:szCs w:val="28"/>
              </w:rPr>
            </w:pPr>
            <w:r>
              <w:rPr>
                <w:rStyle w:val="rvts0"/>
                <w:rFonts w:ascii="Times New Roman" w:hAnsi="Times New Roman" w:cs="Times New Roman"/>
                <w:sz w:val="28"/>
                <w:szCs w:val="28"/>
              </w:rPr>
              <w:t>еталонні (моніторингові) чи тестові зразки тютюнових виробів, які не призначені для продажу вроздріб і ввозяться на митну територію України акредитованими державними випробувальними лабораторіями та/або суб'єктами господарювання, які мають ліцензії на право виробництва відповідної продукції, для проведення досліджень чи випробувань (калібрування лабораторного обладнання, проведення дегустацій, вивчення фізико-хімічних показників, дизайну).</w:t>
            </w:r>
          </w:p>
          <w:p w14:paraId="0F3DE105" w14:textId="77777777" w:rsidR="00421E75" w:rsidRDefault="00421E75" w:rsidP="00421E75">
            <w:pPr>
              <w:ind w:firstLine="734"/>
              <w:jc w:val="both"/>
              <w:rPr>
                <w:b/>
                <w:bCs/>
              </w:rPr>
            </w:pPr>
            <w:r>
              <w:rPr>
                <w:rFonts w:ascii="Times New Roman" w:hAnsi="Times New Roman" w:cs="Times New Roman"/>
                <w:b/>
                <w:bCs/>
                <w:sz w:val="28"/>
                <w:szCs w:val="28"/>
              </w:rPr>
              <w:t>тестові зразки алкогольних напоїв, які не призначені для продажу вроздріб і ввозяться на митну територію України суб'єктами господарювання, які мають ліцензії на право оптової торгівлі відповідної продукції, для проведення досліджень чи випробувань (калібрування лабораторного обладнання, проведення дегустацій, вивчення фізико-хімічних показників, дизайну), але не більше 3 шт кожного виробу;</w:t>
            </w:r>
          </w:p>
          <w:p w14:paraId="53EE2367" w14:textId="77777777" w:rsidR="00421E75" w:rsidRDefault="00421E75" w:rsidP="00421E75">
            <w:pPr>
              <w:ind w:firstLine="734"/>
              <w:jc w:val="both"/>
              <w:rPr>
                <w:rStyle w:val="rvts0"/>
              </w:rPr>
            </w:pPr>
            <w:r>
              <w:rPr>
                <w:rFonts w:ascii="Times New Roman" w:hAnsi="Times New Roman" w:cs="Times New Roman"/>
                <w:b/>
                <w:bCs/>
                <w:sz w:val="28"/>
                <w:szCs w:val="28"/>
              </w:rPr>
              <w:t xml:space="preserve">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об’ємних одиниць етилового </w:t>
            </w:r>
            <w:r>
              <w:rPr>
                <w:rFonts w:ascii="Times New Roman" w:hAnsi="Times New Roman" w:cs="Times New Roman"/>
                <w:b/>
                <w:bCs/>
                <w:sz w:val="28"/>
                <w:szCs w:val="28"/>
              </w:rPr>
              <w:lastRenderedPageBreak/>
              <w:t>спирту, за умови що етиловий спирт, який міститься у готовому продукті, має повністю ферментне (ендогенне) походження.</w:t>
            </w:r>
          </w:p>
        </w:tc>
      </w:tr>
      <w:tr w:rsidR="00421E75" w14:paraId="3E0A1568" w14:textId="77777777" w:rsidTr="00421E75">
        <w:tc>
          <w:tcPr>
            <w:tcW w:w="7280" w:type="dxa"/>
            <w:tcBorders>
              <w:top w:val="single" w:sz="4" w:space="0" w:color="000000"/>
              <w:left w:val="single" w:sz="4" w:space="0" w:color="000000"/>
              <w:bottom w:val="single" w:sz="4" w:space="0" w:color="000000"/>
              <w:right w:val="single" w:sz="4" w:space="0" w:color="000000"/>
            </w:tcBorders>
            <w:hideMark/>
          </w:tcPr>
          <w:p w14:paraId="7D25B190" w14:textId="77777777" w:rsidR="00421E75" w:rsidRDefault="00421E75" w:rsidP="00421E75">
            <w:pPr>
              <w:pStyle w:val="rvps2"/>
              <w:shd w:val="clear" w:color="auto" w:fill="FFFFFF"/>
              <w:spacing w:before="0" w:beforeAutospacing="0" w:after="0" w:afterAutospacing="0"/>
              <w:jc w:val="both"/>
              <w:rPr>
                <w:rStyle w:val="rvts0"/>
                <w:sz w:val="28"/>
                <w:szCs w:val="28"/>
                <w:lang w:eastAsia="ru-RU"/>
              </w:rPr>
            </w:pPr>
            <w:r>
              <w:rPr>
                <w:sz w:val="28"/>
                <w:szCs w:val="28"/>
                <w:lang w:eastAsia="ru-RU"/>
              </w:rPr>
              <w:lastRenderedPageBreak/>
              <w:t>Стаття 291. Загальні положення</w:t>
            </w:r>
          </w:p>
        </w:tc>
        <w:tc>
          <w:tcPr>
            <w:tcW w:w="7280" w:type="dxa"/>
            <w:tcBorders>
              <w:top w:val="single" w:sz="4" w:space="0" w:color="000000"/>
              <w:left w:val="single" w:sz="4" w:space="0" w:color="000000"/>
              <w:bottom w:val="single" w:sz="4" w:space="0" w:color="000000"/>
              <w:right w:val="single" w:sz="4" w:space="0" w:color="000000"/>
            </w:tcBorders>
            <w:hideMark/>
          </w:tcPr>
          <w:p w14:paraId="2A19E244" w14:textId="77777777" w:rsidR="00421E75" w:rsidRDefault="00421E75" w:rsidP="00421E75">
            <w:pPr>
              <w:pStyle w:val="rvps2"/>
              <w:shd w:val="clear" w:color="auto" w:fill="FFFFFF"/>
              <w:spacing w:before="0" w:beforeAutospacing="0" w:after="0" w:afterAutospacing="0"/>
              <w:jc w:val="both"/>
              <w:rPr>
                <w:rStyle w:val="rvts0"/>
                <w:b/>
                <w:sz w:val="28"/>
                <w:szCs w:val="28"/>
                <w:lang w:eastAsia="ru-RU"/>
              </w:rPr>
            </w:pPr>
            <w:r>
              <w:rPr>
                <w:b/>
                <w:sz w:val="28"/>
                <w:szCs w:val="28"/>
                <w:lang w:eastAsia="ru-RU"/>
              </w:rPr>
              <w:t>Стаття 291. Загальні положення</w:t>
            </w:r>
          </w:p>
        </w:tc>
      </w:tr>
      <w:tr w:rsidR="00421E75" w14:paraId="1516BC0C" w14:textId="77777777" w:rsidTr="00421E75">
        <w:tc>
          <w:tcPr>
            <w:tcW w:w="7280" w:type="dxa"/>
            <w:tcBorders>
              <w:top w:val="single" w:sz="4" w:space="0" w:color="000000"/>
              <w:left w:val="single" w:sz="4" w:space="0" w:color="000000"/>
              <w:bottom w:val="single" w:sz="4" w:space="0" w:color="000000"/>
              <w:right w:val="single" w:sz="4" w:space="0" w:color="000000"/>
            </w:tcBorders>
          </w:tcPr>
          <w:p w14:paraId="23E4144B" w14:textId="77777777" w:rsidR="00421E75" w:rsidRDefault="00421E75" w:rsidP="00421E75">
            <w:pPr>
              <w:pStyle w:val="rvps2"/>
              <w:shd w:val="clear" w:color="auto" w:fill="FFFFFF"/>
              <w:spacing w:before="0" w:beforeAutospacing="0" w:after="0" w:afterAutospacing="0"/>
              <w:jc w:val="both"/>
            </w:pPr>
          </w:p>
          <w:p w14:paraId="7FEB4F18" w14:textId="77777777" w:rsidR="00421E75" w:rsidRDefault="00421E75" w:rsidP="00421E75">
            <w:pPr>
              <w:pStyle w:val="rvps2"/>
              <w:shd w:val="clear" w:color="auto" w:fill="FFFFFF"/>
              <w:spacing w:before="0" w:beforeAutospacing="0" w:after="0" w:afterAutospacing="0"/>
              <w:jc w:val="both"/>
              <w:rPr>
                <w:sz w:val="28"/>
                <w:szCs w:val="28"/>
                <w:lang w:eastAsia="ru-RU"/>
              </w:rPr>
            </w:pPr>
            <w:r>
              <w:rPr>
                <w:color w:val="333333"/>
                <w:sz w:val="28"/>
                <w:szCs w:val="28"/>
                <w:shd w:val="clear" w:color="auto" w:fill="FFFFFF"/>
                <w:lang w:eastAsia="ru-RU"/>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14:paraId="0146415C" w14:textId="77777777" w:rsidR="00421E75" w:rsidRDefault="00421E75" w:rsidP="00421E75">
            <w:pPr>
              <w:pStyle w:val="rvps2"/>
              <w:shd w:val="clear" w:color="auto" w:fill="FFFFFF"/>
              <w:spacing w:before="0" w:beforeAutospacing="0" w:after="0" w:afterAutospacing="0"/>
              <w:jc w:val="both"/>
              <w:rPr>
                <w:sz w:val="28"/>
                <w:szCs w:val="28"/>
                <w:lang w:eastAsia="ru-RU"/>
              </w:rPr>
            </w:pPr>
            <w:r>
              <w:rPr>
                <w:sz w:val="28"/>
                <w:szCs w:val="28"/>
                <w:lang w:eastAsia="ru-RU"/>
              </w:rPr>
              <w:t>…..</w:t>
            </w:r>
          </w:p>
          <w:p w14:paraId="7F4620CA"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4) четверта група - сільськогосподарські товаровиробники:</w:t>
            </w:r>
          </w:p>
          <w:p w14:paraId="4064D254"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bookmarkStart w:id="2" w:name="n15148"/>
            <w:bookmarkEnd w:id="2"/>
            <w:r>
              <w:rPr>
                <w:rFonts w:ascii="Times New Roman" w:eastAsia="Times New Roman" w:hAnsi="Times New Roman" w:cs="Times New Roman"/>
                <w:color w:val="333333"/>
                <w:sz w:val="28"/>
                <w:szCs w:val="28"/>
                <w:lang w:eastAsia="uk-UA"/>
              </w:rPr>
              <w:t>а) юридичні особи незалежно від організаційно-правової форми, у яких частка сільськогосподарського товаровиробництва за попередній податковий (звітний) рік дорівнює або перевищує 75 відсотків;</w:t>
            </w:r>
          </w:p>
          <w:p w14:paraId="76E5C9F0"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bookmarkStart w:id="3" w:name="n15149"/>
            <w:bookmarkEnd w:id="3"/>
            <w:r>
              <w:rPr>
                <w:rFonts w:ascii="Times New Roman" w:eastAsia="Times New Roman" w:hAnsi="Times New Roman" w:cs="Times New Roman"/>
                <w:color w:val="333333"/>
                <w:sz w:val="28"/>
                <w:szCs w:val="28"/>
                <w:lang w:eastAsia="uk-UA"/>
              </w:rPr>
              <w:t>б) фізичні особи - підприємці, які провадять діяльність виключно в межах фермерського господарства, зареєстрованого відповідно до </w:t>
            </w:r>
            <w:hyperlink r:id="rId10" w:tgtFrame="_blank" w:history="1">
              <w:r>
                <w:rPr>
                  <w:rStyle w:val="aa"/>
                  <w:rFonts w:ascii="Times New Roman" w:eastAsia="Times New Roman" w:hAnsi="Times New Roman" w:cs="Times New Roman"/>
                  <w:color w:val="000099"/>
                  <w:sz w:val="28"/>
                  <w:szCs w:val="28"/>
                  <w:lang w:eastAsia="uk-UA"/>
                </w:rPr>
                <w:t>Закону України</w:t>
              </w:r>
            </w:hyperlink>
            <w:r>
              <w:rPr>
                <w:rFonts w:ascii="Times New Roman" w:eastAsia="Times New Roman" w:hAnsi="Times New Roman" w:cs="Times New Roman"/>
                <w:color w:val="333333"/>
                <w:sz w:val="28"/>
                <w:szCs w:val="28"/>
                <w:lang w:eastAsia="uk-UA"/>
              </w:rPr>
              <w:t> "Про фермерське господарство", за умови виконання сукупності таких вимог:</w:t>
            </w:r>
          </w:p>
          <w:p w14:paraId="6880EBD4"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bookmarkStart w:id="4" w:name="n15150"/>
            <w:bookmarkEnd w:id="4"/>
            <w:r>
              <w:rPr>
                <w:rFonts w:ascii="Times New Roman" w:eastAsia="Times New Roman" w:hAnsi="Times New Roman" w:cs="Times New Roman"/>
                <w:color w:val="333333"/>
                <w:sz w:val="28"/>
                <w:szCs w:val="28"/>
                <w:lang w:eastAsia="uk-UA"/>
              </w:rPr>
              <w:t>здійснюють виключно вирощування, відгодовування сільськогосподарської продукції, збирання, вилов, переробку такої власновирощеної або відгодованої продукції та її продаж;</w:t>
            </w:r>
          </w:p>
          <w:p w14:paraId="34E416BB"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bookmarkStart w:id="5" w:name="n15151"/>
            <w:bookmarkEnd w:id="5"/>
            <w:r>
              <w:rPr>
                <w:rFonts w:ascii="Times New Roman" w:eastAsia="Times New Roman" w:hAnsi="Times New Roman" w:cs="Times New Roman"/>
                <w:color w:val="333333"/>
                <w:sz w:val="28"/>
                <w:szCs w:val="28"/>
                <w:lang w:eastAsia="uk-UA"/>
              </w:rPr>
              <w:t>провадять господарську діяльність (крім постачання) за місцем податкової адреси;</w:t>
            </w:r>
          </w:p>
          <w:p w14:paraId="2D48E14C"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p>
          <w:p w14:paraId="5FF7E086" w14:textId="77777777" w:rsidR="00421E75" w:rsidRDefault="00421E75" w:rsidP="00421E75">
            <w:pPr>
              <w:shd w:val="clear" w:color="auto" w:fill="FFFFFF"/>
              <w:ind w:firstLine="450"/>
              <w:jc w:val="both"/>
              <w:rPr>
                <w:rFonts w:ascii="Times New Roman" w:eastAsia="Times New Roman" w:hAnsi="Times New Roman" w:cs="Times New Roman"/>
                <w:b/>
                <w:color w:val="333333"/>
                <w:sz w:val="28"/>
                <w:szCs w:val="28"/>
                <w:lang w:eastAsia="uk-UA"/>
              </w:rPr>
            </w:pPr>
            <w:bookmarkStart w:id="6" w:name="n15152"/>
            <w:bookmarkEnd w:id="6"/>
            <w:r>
              <w:rPr>
                <w:rFonts w:ascii="Times New Roman" w:eastAsia="Times New Roman" w:hAnsi="Times New Roman" w:cs="Times New Roman"/>
                <w:b/>
                <w:color w:val="333333"/>
                <w:sz w:val="28"/>
                <w:szCs w:val="28"/>
                <w:lang w:eastAsia="uk-UA"/>
              </w:rPr>
              <w:t>не використовують працю найманих осіб;</w:t>
            </w:r>
          </w:p>
          <w:p w14:paraId="436D4C32"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bookmarkStart w:id="7" w:name="n15153"/>
            <w:bookmarkEnd w:id="7"/>
          </w:p>
          <w:p w14:paraId="5310F9FF"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lastRenderedPageBreak/>
              <w:t>членами фермерського господарства такої фізичної особи є лише члени її сім’ї у визначенні </w:t>
            </w:r>
            <w:hyperlink r:id="rId11" w:anchor="n27" w:tgtFrame="_blank" w:history="1">
              <w:r>
                <w:rPr>
                  <w:rStyle w:val="aa"/>
                  <w:rFonts w:ascii="Times New Roman" w:eastAsia="Times New Roman" w:hAnsi="Times New Roman" w:cs="Times New Roman"/>
                  <w:color w:val="000099"/>
                  <w:sz w:val="28"/>
                  <w:szCs w:val="28"/>
                  <w:lang w:eastAsia="uk-UA"/>
                </w:rPr>
                <w:t>частини другої</w:t>
              </w:r>
            </w:hyperlink>
            <w:r>
              <w:rPr>
                <w:rFonts w:ascii="Times New Roman" w:eastAsia="Times New Roman" w:hAnsi="Times New Roman" w:cs="Times New Roman"/>
                <w:color w:val="333333"/>
                <w:sz w:val="28"/>
                <w:szCs w:val="28"/>
                <w:lang w:eastAsia="uk-UA"/>
              </w:rPr>
              <w:t> статті 3 Сімейного кодексу України;</w:t>
            </w:r>
          </w:p>
          <w:p w14:paraId="4D5391B0" w14:textId="77777777" w:rsidR="00421E75" w:rsidRDefault="00421E75" w:rsidP="00421E75">
            <w:pPr>
              <w:shd w:val="clear" w:color="auto" w:fill="FFFFFF"/>
              <w:ind w:firstLine="450"/>
              <w:jc w:val="both"/>
              <w:rPr>
                <w:rFonts w:ascii="Times New Roman" w:eastAsia="Times New Roman" w:hAnsi="Times New Roman" w:cs="Times New Roman"/>
                <w:b/>
                <w:color w:val="333333"/>
                <w:sz w:val="28"/>
                <w:szCs w:val="28"/>
                <w:lang w:eastAsia="uk-UA"/>
              </w:rPr>
            </w:pPr>
            <w:bookmarkStart w:id="8" w:name="n15154"/>
            <w:bookmarkEnd w:id="8"/>
            <w:r>
              <w:rPr>
                <w:rFonts w:ascii="Times New Roman" w:eastAsia="Times New Roman" w:hAnsi="Times New Roman" w:cs="Times New Roman"/>
                <w:color w:val="333333"/>
                <w:sz w:val="28"/>
                <w:szCs w:val="28"/>
                <w:lang w:eastAsia="uk-UA"/>
              </w:rPr>
              <w:t xml:space="preserve">площа сільськогосподарських угідь та/або земель водного фонду у власності та/або користуванні членів фермерського господарства становить </w:t>
            </w:r>
            <w:r>
              <w:rPr>
                <w:rFonts w:ascii="Times New Roman" w:eastAsia="Times New Roman" w:hAnsi="Times New Roman" w:cs="Times New Roman"/>
                <w:b/>
                <w:color w:val="333333"/>
                <w:sz w:val="28"/>
                <w:szCs w:val="28"/>
                <w:lang w:eastAsia="uk-UA"/>
              </w:rPr>
              <w:t>не менше двох гектарів, але не більше 20 гектарів.</w:t>
            </w:r>
          </w:p>
          <w:p w14:paraId="1A08F5EA" w14:textId="77777777" w:rsidR="00421E75" w:rsidRDefault="00421E75" w:rsidP="00421E75">
            <w:pPr>
              <w:pStyle w:val="rvps2"/>
              <w:shd w:val="clear" w:color="auto" w:fill="FFFFFF"/>
              <w:spacing w:before="0" w:beforeAutospacing="0" w:after="0" w:afterAutospacing="0"/>
              <w:jc w:val="both"/>
              <w:rPr>
                <w:sz w:val="28"/>
                <w:szCs w:val="28"/>
                <w:lang w:eastAsia="ru-RU"/>
              </w:rPr>
            </w:pPr>
          </w:p>
          <w:p w14:paraId="64CED7D7" w14:textId="77777777" w:rsidR="00421E75" w:rsidRDefault="00421E75" w:rsidP="00421E75">
            <w:pPr>
              <w:pStyle w:val="rvps2"/>
              <w:shd w:val="clear" w:color="auto" w:fill="FFFFFF"/>
              <w:spacing w:before="0" w:beforeAutospacing="0" w:after="0" w:afterAutospacing="0"/>
              <w:jc w:val="both"/>
              <w:rPr>
                <w:sz w:val="28"/>
                <w:szCs w:val="28"/>
                <w:lang w:eastAsia="ru-RU"/>
              </w:rPr>
            </w:pPr>
          </w:p>
        </w:tc>
        <w:tc>
          <w:tcPr>
            <w:tcW w:w="7280" w:type="dxa"/>
            <w:tcBorders>
              <w:top w:val="single" w:sz="4" w:space="0" w:color="000000"/>
              <w:left w:val="single" w:sz="4" w:space="0" w:color="000000"/>
              <w:bottom w:val="single" w:sz="4" w:space="0" w:color="000000"/>
              <w:right w:val="single" w:sz="4" w:space="0" w:color="000000"/>
            </w:tcBorders>
          </w:tcPr>
          <w:p w14:paraId="6E3B3808" w14:textId="77777777" w:rsidR="00421E75" w:rsidRDefault="00421E75" w:rsidP="00421E75">
            <w:pPr>
              <w:pStyle w:val="rvps2"/>
              <w:shd w:val="clear" w:color="auto" w:fill="FFFFFF"/>
              <w:spacing w:before="0" w:beforeAutospacing="0" w:after="0" w:afterAutospacing="0"/>
              <w:jc w:val="both"/>
              <w:rPr>
                <w:sz w:val="28"/>
                <w:szCs w:val="28"/>
                <w:lang w:eastAsia="ru-RU"/>
              </w:rPr>
            </w:pPr>
          </w:p>
          <w:p w14:paraId="70E17E71" w14:textId="77777777" w:rsidR="00421E75" w:rsidRDefault="00421E75" w:rsidP="00421E75">
            <w:pPr>
              <w:pStyle w:val="rvps2"/>
              <w:shd w:val="clear" w:color="auto" w:fill="FFFFFF"/>
              <w:spacing w:before="0" w:beforeAutospacing="0" w:after="0" w:afterAutospacing="0"/>
              <w:jc w:val="both"/>
              <w:rPr>
                <w:sz w:val="28"/>
                <w:szCs w:val="28"/>
                <w:lang w:eastAsia="ru-RU"/>
              </w:rPr>
            </w:pPr>
            <w:r>
              <w:rPr>
                <w:color w:val="333333"/>
                <w:sz w:val="28"/>
                <w:szCs w:val="28"/>
                <w:shd w:val="clear" w:color="auto" w:fill="FFFFFF"/>
                <w:lang w:eastAsia="ru-RU"/>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14:paraId="15BCB8DA" w14:textId="77777777" w:rsidR="00421E75" w:rsidRDefault="00421E75" w:rsidP="00421E75">
            <w:pPr>
              <w:pStyle w:val="rvps2"/>
              <w:shd w:val="clear" w:color="auto" w:fill="FFFFFF"/>
              <w:spacing w:before="0" w:beforeAutospacing="0" w:after="0" w:afterAutospacing="0"/>
              <w:jc w:val="both"/>
              <w:rPr>
                <w:sz w:val="28"/>
                <w:szCs w:val="28"/>
                <w:lang w:eastAsia="ru-RU"/>
              </w:rPr>
            </w:pPr>
            <w:r>
              <w:rPr>
                <w:sz w:val="28"/>
                <w:szCs w:val="28"/>
                <w:lang w:eastAsia="ru-RU"/>
              </w:rPr>
              <w:t>…..</w:t>
            </w:r>
          </w:p>
          <w:p w14:paraId="040C4A28"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4) четверта група - сільськогосподарські товаровиробники:</w:t>
            </w:r>
          </w:p>
          <w:p w14:paraId="66859488"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а) юридичні особи незалежно від організаційно-правової форми, у яких частка сільськогосподарського товаровиробництва за попередній податковий (звітний) рік дорівнює або перевищує 75 відсотків;</w:t>
            </w:r>
          </w:p>
          <w:p w14:paraId="2DA0017F"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б) фізичні особи - підприємці, які провадять діяльність виключно в межах фермерського господарства, зареєстрованого відповідно до </w:t>
            </w:r>
            <w:hyperlink r:id="rId12" w:tgtFrame="_blank" w:history="1">
              <w:r>
                <w:rPr>
                  <w:rStyle w:val="aa"/>
                  <w:rFonts w:ascii="Times New Roman" w:eastAsia="Times New Roman" w:hAnsi="Times New Roman" w:cs="Times New Roman"/>
                  <w:color w:val="000099"/>
                  <w:sz w:val="28"/>
                  <w:szCs w:val="28"/>
                  <w:lang w:eastAsia="uk-UA"/>
                </w:rPr>
                <w:t>Закону України</w:t>
              </w:r>
            </w:hyperlink>
            <w:r>
              <w:rPr>
                <w:rFonts w:ascii="Times New Roman" w:eastAsia="Times New Roman" w:hAnsi="Times New Roman" w:cs="Times New Roman"/>
                <w:color w:val="333333"/>
                <w:sz w:val="28"/>
                <w:szCs w:val="28"/>
                <w:lang w:eastAsia="uk-UA"/>
              </w:rPr>
              <w:t> "Про фермерське господарство", за умови виконання сукупності таких вимог:</w:t>
            </w:r>
          </w:p>
          <w:p w14:paraId="6E6621AD"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здійснюють виключно вирощування, відгодовування сільськогосподарської продукції, збирання, вилов, переробку такої власновирощеної або відгодованої продукції та її продаж;</w:t>
            </w:r>
          </w:p>
          <w:p w14:paraId="5F26E10F"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провадять господарську діяльність (крім постачання) за місцем податкової адреси;</w:t>
            </w:r>
          </w:p>
          <w:p w14:paraId="7194D5FC" w14:textId="77777777" w:rsidR="00421E75" w:rsidRDefault="00421E75" w:rsidP="00421E75">
            <w:pPr>
              <w:pStyle w:val="rvps2"/>
              <w:shd w:val="clear" w:color="auto" w:fill="FFFFFF"/>
              <w:spacing w:before="0" w:beforeAutospacing="0" w:after="0" w:afterAutospacing="0"/>
              <w:jc w:val="both"/>
              <w:rPr>
                <w:color w:val="333333"/>
                <w:sz w:val="28"/>
                <w:szCs w:val="28"/>
                <w:lang w:eastAsia="ru-RU"/>
              </w:rPr>
            </w:pPr>
            <w:r>
              <w:rPr>
                <w:b/>
                <w:sz w:val="28"/>
                <w:szCs w:val="28"/>
                <w:lang w:eastAsia="ru-RU"/>
              </w:rPr>
              <w:t>не використовують працю найманих осіб, крім випадків, визначених Законом України «Про фермерське господарство»</w:t>
            </w:r>
            <w:r>
              <w:rPr>
                <w:color w:val="333333"/>
                <w:sz w:val="28"/>
                <w:szCs w:val="28"/>
                <w:lang w:eastAsia="ru-RU"/>
              </w:rPr>
              <w:t>;</w:t>
            </w:r>
          </w:p>
          <w:p w14:paraId="75E22712"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lastRenderedPageBreak/>
              <w:t>членами фермерського господарства такої фізичної особи є лише члени її сім’ї у визначенні </w:t>
            </w:r>
            <w:hyperlink r:id="rId13" w:anchor="n27" w:tgtFrame="_blank" w:history="1">
              <w:r>
                <w:rPr>
                  <w:rStyle w:val="aa"/>
                  <w:rFonts w:ascii="Times New Roman" w:eastAsia="Times New Roman" w:hAnsi="Times New Roman" w:cs="Times New Roman"/>
                  <w:color w:val="000099"/>
                  <w:sz w:val="28"/>
                  <w:szCs w:val="28"/>
                  <w:lang w:eastAsia="uk-UA"/>
                </w:rPr>
                <w:t>частини другої</w:t>
              </w:r>
            </w:hyperlink>
            <w:r>
              <w:rPr>
                <w:rFonts w:ascii="Times New Roman" w:eastAsia="Times New Roman" w:hAnsi="Times New Roman" w:cs="Times New Roman"/>
                <w:color w:val="333333"/>
                <w:sz w:val="28"/>
                <w:szCs w:val="28"/>
                <w:lang w:eastAsia="uk-UA"/>
              </w:rPr>
              <w:t> статті 3 Сімейного кодексу України;</w:t>
            </w:r>
          </w:p>
          <w:p w14:paraId="0001C791" w14:textId="77777777" w:rsidR="00421E75" w:rsidRDefault="00421E75" w:rsidP="00421E75">
            <w:pPr>
              <w:shd w:val="clear" w:color="auto" w:fill="FFFFFF"/>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 xml:space="preserve">площа сільськогосподарських угідь та/або земель водного фонду у власності та/або користуванні членів фермерського господарства становить </w:t>
            </w:r>
            <w:r>
              <w:rPr>
                <w:rFonts w:ascii="Times New Roman" w:hAnsi="Times New Roman" w:cs="Times New Roman"/>
                <w:b/>
                <w:sz w:val="28"/>
                <w:szCs w:val="28"/>
              </w:rPr>
              <w:t xml:space="preserve">не менше 1,05 гектара, </w:t>
            </w:r>
            <w:r>
              <w:rPr>
                <w:rFonts w:ascii="Times New Roman" w:hAnsi="Times New Roman" w:cs="Times New Roman"/>
                <w:sz w:val="28"/>
                <w:szCs w:val="28"/>
              </w:rPr>
              <w:t xml:space="preserve">але не більше 20 гектарів </w:t>
            </w:r>
            <w:r>
              <w:rPr>
                <w:rFonts w:ascii="Times New Roman" w:hAnsi="Times New Roman" w:cs="Times New Roman"/>
                <w:b/>
                <w:sz w:val="28"/>
                <w:szCs w:val="28"/>
              </w:rPr>
              <w:t>сукупно</w:t>
            </w:r>
            <w:r>
              <w:rPr>
                <w:rFonts w:ascii="Times New Roman" w:eastAsia="Times New Roman" w:hAnsi="Times New Roman" w:cs="Times New Roman"/>
                <w:color w:val="333333"/>
                <w:sz w:val="28"/>
                <w:szCs w:val="28"/>
                <w:lang w:eastAsia="uk-UA"/>
              </w:rPr>
              <w:t>.</w:t>
            </w:r>
          </w:p>
          <w:p w14:paraId="5F51BA0D" w14:textId="77777777" w:rsidR="00421E75" w:rsidRDefault="00421E75" w:rsidP="00421E75">
            <w:pPr>
              <w:pStyle w:val="rvps2"/>
              <w:shd w:val="clear" w:color="auto" w:fill="FFFFFF"/>
              <w:spacing w:before="0" w:beforeAutospacing="0" w:after="0" w:afterAutospacing="0"/>
              <w:jc w:val="both"/>
              <w:rPr>
                <w:sz w:val="28"/>
                <w:szCs w:val="28"/>
                <w:lang w:eastAsia="ru-RU"/>
              </w:rPr>
            </w:pPr>
          </w:p>
          <w:p w14:paraId="5D5B5D4A" w14:textId="77777777" w:rsidR="00421E75" w:rsidRDefault="00421E75" w:rsidP="00421E75">
            <w:pPr>
              <w:pStyle w:val="rvps2"/>
              <w:shd w:val="clear" w:color="auto" w:fill="FFFFFF"/>
              <w:spacing w:before="0" w:beforeAutospacing="0" w:after="0" w:afterAutospacing="0"/>
              <w:jc w:val="both"/>
              <w:rPr>
                <w:b/>
                <w:sz w:val="28"/>
                <w:szCs w:val="28"/>
                <w:lang w:eastAsia="ru-RU"/>
              </w:rPr>
            </w:pPr>
          </w:p>
        </w:tc>
      </w:tr>
      <w:tr w:rsidR="00421E75" w14:paraId="3457C6BD" w14:textId="77777777" w:rsidTr="00421E75">
        <w:tc>
          <w:tcPr>
            <w:tcW w:w="14560" w:type="dxa"/>
            <w:gridSpan w:val="2"/>
            <w:tcBorders>
              <w:top w:val="single" w:sz="4" w:space="0" w:color="000000"/>
              <w:left w:val="single" w:sz="4" w:space="0" w:color="000000"/>
              <w:bottom w:val="single" w:sz="4" w:space="0" w:color="000000"/>
              <w:right w:val="single" w:sz="4" w:space="0" w:color="000000"/>
            </w:tcBorders>
            <w:hideMark/>
          </w:tcPr>
          <w:p w14:paraId="2438DBDF" w14:textId="77777777" w:rsidR="00421E75" w:rsidRDefault="00421E75" w:rsidP="00421E75">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РОЗДІЛ XX. ПЕРЕХІДНІ ПОЛОЖЕННЯ</w:t>
            </w:r>
          </w:p>
        </w:tc>
      </w:tr>
      <w:tr w:rsidR="00421E75" w14:paraId="0CE9DB61" w14:textId="77777777" w:rsidTr="00421E75">
        <w:tc>
          <w:tcPr>
            <w:tcW w:w="7280" w:type="dxa"/>
            <w:tcBorders>
              <w:top w:val="single" w:sz="4" w:space="0" w:color="000000"/>
              <w:left w:val="single" w:sz="4" w:space="0" w:color="000000"/>
              <w:bottom w:val="single" w:sz="4" w:space="0" w:color="000000"/>
              <w:right w:val="single" w:sz="4" w:space="0" w:color="000000"/>
            </w:tcBorders>
            <w:vAlign w:val="center"/>
            <w:hideMark/>
          </w:tcPr>
          <w:p w14:paraId="26701A80" w14:textId="77777777" w:rsidR="00421E75" w:rsidRDefault="00421E75" w:rsidP="00421E75">
            <w:pPr>
              <w:jc w:val="both"/>
              <w:rPr>
                <w:rFonts w:ascii="Times New Roman" w:hAnsi="Times New Roman" w:cs="Times New Roman"/>
                <w:b/>
                <w:bCs/>
                <w:sz w:val="28"/>
                <w:szCs w:val="28"/>
              </w:rPr>
            </w:pPr>
            <w:r>
              <w:rPr>
                <w:rFonts w:ascii="Times New Roman" w:hAnsi="Times New Roman" w:cs="Times New Roman"/>
                <w:b/>
                <w:bCs/>
                <w:sz w:val="28"/>
                <w:szCs w:val="28"/>
              </w:rPr>
              <w:t>РОЗДІЛ XX. ПЕРЕХІДНІ ПОЛОЖЕННЯ</w:t>
            </w:r>
          </w:p>
        </w:tc>
        <w:tc>
          <w:tcPr>
            <w:tcW w:w="7280" w:type="dxa"/>
            <w:tcBorders>
              <w:top w:val="single" w:sz="4" w:space="0" w:color="000000"/>
              <w:left w:val="single" w:sz="4" w:space="0" w:color="000000"/>
              <w:bottom w:val="single" w:sz="4" w:space="0" w:color="000000"/>
              <w:right w:val="single" w:sz="4" w:space="0" w:color="000000"/>
            </w:tcBorders>
            <w:vAlign w:val="center"/>
            <w:hideMark/>
          </w:tcPr>
          <w:p w14:paraId="35B5722C" w14:textId="77777777" w:rsidR="00421E75" w:rsidRDefault="00421E75" w:rsidP="00421E75">
            <w:pPr>
              <w:jc w:val="both"/>
              <w:rPr>
                <w:rFonts w:ascii="Times New Roman" w:hAnsi="Times New Roman" w:cs="Times New Roman"/>
                <w:b/>
                <w:bCs/>
                <w:sz w:val="28"/>
                <w:szCs w:val="28"/>
              </w:rPr>
            </w:pPr>
            <w:r>
              <w:rPr>
                <w:rFonts w:ascii="Times New Roman" w:hAnsi="Times New Roman" w:cs="Times New Roman"/>
                <w:b/>
                <w:bCs/>
                <w:sz w:val="28"/>
                <w:szCs w:val="28"/>
              </w:rPr>
              <w:t>РОЗДІЛ XX. ПЕРЕХІДНІ ПОЛОЖЕННЯ</w:t>
            </w:r>
          </w:p>
        </w:tc>
      </w:tr>
      <w:tr w:rsidR="00421E75" w14:paraId="499A7D82" w14:textId="77777777" w:rsidTr="00421E75">
        <w:tc>
          <w:tcPr>
            <w:tcW w:w="7280" w:type="dxa"/>
            <w:tcBorders>
              <w:top w:val="single" w:sz="4" w:space="0" w:color="000000"/>
              <w:left w:val="single" w:sz="4" w:space="0" w:color="000000"/>
              <w:bottom w:val="single" w:sz="4" w:space="0" w:color="000000"/>
              <w:right w:val="single" w:sz="4" w:space="0" w:color="000000"/>
            </w:tcBorders>
            <w:vAlign w:val="center"/>
            <w:hideMark/>
          </w:tcPr>
          <w:p w14:paraId="0291C01B" w14:textId="77777777" w:rsidR="00421E75" w:rsidRDefault="00421E75" w:rsidP="00421E75">
            <w:pPr>
              <w:jc w:val="both"/>
              <w:rPr>
                <w:rFonts w:ascii="Times New Roman" w:hAnsi="Times New Roman" w:cs="Times New Roman"/>
                <w:bCs/>
                <w:sz w:val="28"/>
                <w:szCs w:val="28"/>
              </w:rPr>
            </w:pPr>
            <w:r>
              <w:rPr>
                <w:rFonts w:ascii="Times New Roman" w:hAnsi="Times New Roman" w:cs="Times New Roman"/>
                <w:bCs/>
                <w:sz w:val="28"/>
                <w:szCs w:val="28"/>
              </w:rPr>
              <w:t>Підрозділ 2. Особливості справляння податку на додану вартість</w:t>
            </w:r>
          </w:p>
        </w:tc>
        <w:tc>
          <w:tcPr>
            <w:tcW w:w="7280" w:type="dxa"/>
            <w:tcBorders>
              <w:top w:val="single" w:sz="4" w:space="0" w:color="000000"/>
              <w:left w:val="single" w:sz="4" w:space="0" w:color="000000"/>
              <w:bottom w:val="single" w:sz="4" w:space="0" w:color="000000"/>
              <w:right w:val="single" w:sz="4" w:space="0" w:color="000000"/>
            </w:tcBorders>
            <w:vAlign w:val="center"/>
            <w:hideMark/>
          </w:tcPr>
          <w:p w14:paraId="2C837133" w14:textId="77777777" w:rsidR="00421E75" w:rsidRDefault="00421E75" w:rsidP="00421E75">
            <w:pPr>
              <w:jc w:val="both"/>
              <w:rPr>
                <w:rFonts w:ascii="Times New Roman" w:hAnsi="Times New Roman" w:cs="Times New Roman"/>
                <w:b/>
                <w:bCs/>
                <w:sz w:val="28"/>
                <w:szCs w:val="28"/>
              </w:rPr>
            </w:pPr>
            <w:r>
              <w:rPr>
                <w:rFonts w:ascii="Times New Roman" w:hAnsi="Times New Roman" w:cs="Times New Roman"/>
                <w:bCs/>
                <w:sz w:val="28"/>
                <w:szCs w:val="28"/>
              </w:rPr>
              <w:t>Підрозділ 2. Особливості справляння податку на додану вартість</w:t>
            </w:r>
          </w:p>
        </w:tc>
      </w:tr>
      <w:tr w:rsidR="00421E75" w14:paraId="1DA06421" w14:textId="77777777" w:rsidTr="00421E75">
        <w:tc>
          <w:tcPr>
            <w:tcW w:w="7280" w:type="dxa"/>
            <w:tcBorders>
              <w:top w:val="single" w:sz="4" w:space="0" w:color="000000"/>
              <w:left w:val="single" w:sz="4" w:space="0" w:color="000000"/>
              <w:bottom w:val="single" w:sz="4" w:space="0" w:color="000000"/>
              <w:right w:val="single" w:sz="4" w:space="0" w:color="000000"/>
            </w:tcBorders>
            <w:vAlign w:val="center"/>
            <w:hideMark/>
          </w:tcPr>
          <w:p w14:paraId="46CDB5C0" w14:textId="77777777" w:rsidR="00421E75" w:rsidRDefault="00421E75" w:rsidP="00421E75">
            <w:pPr>
              <w:jc w:val="both"/>
              <w:rPr>
                <w:rFonts w:ascii="Times New Roman" w:hAnsi="Times New Roman" w:cs="Times New Roman"/>
                <w:b/>
                <w:bCs/>
                <w:sz w:val="28"/>
                <w:szCs w:val="28"/>
              </w:rPr>
            </w:pPr>
            <w:r>
              <w:rPr>
                <w:rFonts w:ascii="Times New Roman" w:hAnsi="Times New Roman" w:cs="Times New Roman"/>
                <w:b/>
                <w:sz w:val="28"/>
                <w:szCs w:val="28"/>
              </w:rPr>
              <w:t>Норма відсутня</w:t>
            </w:r>
          </w:p>
        </w:tc>
        <w:tc>
          <w:tcPr>
            <w:tcW w:w="7280" w:type="dxa"/>
            <w:tcBorders>
              <w:top w:val="single" w:sz="4" w:space="0" w:color="000000"/>
              <w:left w:val="single" w:sz="4" w:space="0" w:color="000000"/>
              <w:bottom w:val="single" w:sz="4" w:space="0" w:color="000000"/>
              <w:right w:val="single" w:sz="4" w:space="0" w:color="000000"/>
            </w:tcBorders>
            <w:vAlign w:val="center"/>
          </w:tcPr>
          <w:p w14:paraId="5CC25234" w14:textId="77777777" w:rsidR="00421E75" w:rsidRDefault="00421E75" w:rsidP="00421E75">
            <w:pPr>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“74. Тимчасово, з 1 січня 2021 року до 1 січня 2023 року, за ставкою податку на додану вартість 7 відсотків від бази оподаткування оподатковуються операції з постачання на митній території України та/або ввезення на митну територію України у митному режимі імпорту, обладнання та комплектуючих за товарними підкатегоріями УКТ ЗЕД :</w:t>
            </w:r>
          </w:p>
          <w:p w14:paraId="25D86B5C" w14:textId="77777777" w:rsidR="00421E75" w:rsidRDefault="00421E75" w:rsidP="00421E75">
            <w:pPr>
              <w:jc w:val="both"/>
              <w:rPr>
                <w:rFonts w:ascii="Times New Roman" w:eastAsia="Times New Roman" w:hAnsi="Times New Roman" w:cs="Times New Roman"/>
                <w:b/>
                <w:sz w:val="28"/>
                <w:szCs w:val="28"/>
                <w:lang w:eastAsia="uk-UA"/>
              </w:rPr>
            </w:pPr>
            <w:bookmarkStart w:id="9" w:name="n15397"/>
            <w:bookmarkEnd w:id="9"/>
            <w:r>
              <w:rPr>
                <w:rFonts w:ascii="Times New Roman" w:eastAsia="Times New Roman" w:hAnsi="Times New Roman" w:cs="Times New Roman"/>
                <w:b/>
                <w:sz w:val="28"/>
                <w:szCs w:val="28"/>
                <w:lang w:eastAsia="uk-UA"/>
              </w:rPr>
              <w:t xml:space="preserve">8401 20 00 00, 8401 40 00 00, 8417 80 70 00, 8419 11 00 00, 8419 19 00 00, 8419 20 00 00, 8419 31 00 00, 8419 32 00 00, 8419 39 00 10, 8419 39 00 90, 8419 40 00 00, 8419 50 00 00, 8419 60 00 00, 8419 81 20 10, 8419 81 20 90, 8419 81 80 10, 8419 81 80 90, 8419 89 10 00, 8419 89 30 00, 8419 89 98 00, 8419 90 15 00, 8419 90 85 00, 8420 10 10 00, 8420 10 30 00, 8420 10 80 10, 8420 10 80 90, 8420 91 10 00, 8420 91 80 00, 8420 99 00 00, 8421 11 00 00, 8421 12 00 00, 8421 19 20 00, 8421 19 70 10, 8421 19 70 90, 8421 21 00 00, 8421 22 00 00, </w:t>
            </w:r>
            <w:r>
              <w:rPr>
                <w:rFonts w:ascii="Times New Roman" w:eastAsia="Times New Roman" w:hAnsi="Times New Roman" w:cs="Times New Roman"/>
                <w:b/>
                <w:sz w:val="28"/>
                <w:szCs w:val="28"/>
                <w:lang w:eastAsia="uk-UA"/>
              </w:rPr>
              <w:lastRenderedPageBreak/>
              <w:t xml:space="preserve">8421 23 00 10, 8421 23 00 30, 8421 23 00 90, 8421 29 00 00, 8421 31 00 00, 8421 39 20 00, 8421 39 60 10, 8421 39 60 90, 8421 39 80 10, 8421 39 80 90, 8421 91 00 00, 8421 99 00 00, 8422 19 00 00, 8422 20 00 00, 8422 30 00 10, 8422 30 00 91, 8422 30 00 99, 8422 40 00 10, 8422 40 00 90, 8422 90 10 00, 8422 90 90 00, 8423 10 90 00, 8423 20 00 00, 8423 30 00 00, 8423 81 10 00, 8423 81 30 00, 8423 81 50 00, 8423 81 90 00, 8423 82 10 00, 8423 82 90 10, 8423 82 90 90, 8423 89 00 00, 8423 90 00 00, </w:t>
            </w:r>
            <w:bookmarkStart w:id="10" w:name="n15018"/>
            <w:bookmarkEnd w:id="10"/>
            <w:r>
              <w:rPr>
                <w:rFonts w:ascii="Times New Roman" w:eastAsia="Times New Roman" w:hAnsi="Times New Roman" w:cs="Times New Roman"/>
                <w:b/>
                <w:sz w:val="28"/>
                <w:szCs w:val="28"/>
                <w:lang w:eastAsia="uk-UA"/>
              </w:rPr>
              <w:t xml:space="preserve">8425 11 00 00, 8425 19 00 00, 8425 31 00 00, 8425 39 00 00, 8425 41 00 00, 8425 42 00 00, 8425 49 00 00, 8426 11 00 00, 8426 12 00 00, 8426 19 00 00, 8426 20 00 00, 8426 30 00 00, 8426 41 00 00, 8426 49 00 00, 8426 91 10 00, 8426 91 90 00, 8426 99 00 00, 8428 10 20 00, 8428 10 80 00, 8428 20 20 00, 8428 20 80 00, 8428 31 00 00, 8428 32 00 00, 8428 33 00 00, 8428 39 20 00, 8428 39 90 00, 8428 40 00 00, 8428 60 00 00, 8428 90 71 00, 8428 90 79 00, 8428 90 90 00, 8437 10 00 00, 8437 80 00 00, 8437 90 00 00, 8438 10 10 00, 8438 10 90 00, 8438 20 00 00, 8438 30 00 00, 8438 40 00 00, 8438 50 00 00, 8438 60 00 00, 8438 80 10 00, 8438 80 91 00, 8438 80 99 00, 8438 90 00 00, 8439 10 00 00, 8439 20 00 00, 8439 30 00 00, 8439 91 00 00, 8439 99 00 00, 8440 10 10 00, 8440 10 20 00, 8440 10 30 00, 8440 10 40 00, 8440 10 90 00, 8440 90 00 00, 8441 10 10 00, 8441 10 20 00, 8441 10 30 00, 8441 10 70 00, 8441 20 00 00, 8441 30 00 00, 8441 40 00 00, 8441 80 00 00, 8441 90 10 00, 8441 90 90 00, 8442 30 10 00, 8442 30 91 00, 8442 30 99 00, 8442 40 00 00, 8442 50 20 00, 8442 50 80 00, 8443 11 00 00, 8443 12 00 00, 8443 13 10 00, 8443 13 31 00, 8443 13 35 00, 8443 13 39 00, 8443 13 90 00, 8443 14 00 00, 8443 15 00 00, 8443 16 00 00, 8443 17 00 00, </w:t>
            </w:r>
            <w:r>
              <w:rPr>
                <w:rFonts w:ascii="Times New Roman" w:eastAsia="Times New Roman" w:hAnsi="Times New Roman" w:cs="Times New Roman"/>
                <w:b/>
                <w:sz w:val="28"/>
                <w:szCs w:val="28"/>
                <w:lang w:eastAsia="uk-UA"/>
              </w:rPr>
              <w:lastRenderedPageBreak/>
              <w:t>8443 19 20 00, 8443 19 40 00, 8443 19 70 00, 8443 31 20 00, 8443 31 80 00, 8443 32 10 00, 8443 32 30 00, 8443 32 91 00, 8443 32 93 00, 8443 32 99 00, 8443 39 10 00, 8443 39 31 00, 8443 39 39 00, 8443 39 90 10, 8443 39 90 90, 8443 91 10 00, 8443 91 91 10, 8443 91 91 90, 8443 91 99 10, 8443 91 99 90, 8443 99 10 00, 8443 99 90 10, 8443 99 90 90, 8444 00 10 00, 8444 00 90 00, 8445 11 00 00, 8445 12 00 00, 8445 13 00 00, 8445 19 00 00, 8445 20 00 00, 8445 30 00 00, 8445 40 00 00, 8445 90 00 00, 8446 10 00 00, 8446 21 00 00, 8446 29 00 00, 8446 30 00 00, 8447 11 00 00, 8447 12 00 00, 8447 20 20 00, 8447 20 80 00, 8447 90 00 00, 8448 11 00 00, 8448 19 00 00, 8448 20 00 00, 8448 31 00 00, 8448 32 00 00, 8448 33 00 00, 8448 39 00 00, 8448 42 00 00, 8448 49 00 00, 8448 51 10 00, 8448 51 90 00, 8448 59 00 00, 8449 00 00 00, 8450 11 11 00, 8450 11 19 00, 8450 11 90 00, 8450 12 00 00, 8450 19 00 00, 8450 20 00 00, 8450 90 00 00, 8451 10 00 00, 8451 21 00 00, 8451 29 00 00, 8451 30 00 00, 8451 40 00 00, 8451 50 00 00</w:t>
            </w:r>
            <w:bookmarkStart w:id="11" w:name="n15027"/>
            <w:bookmarkEnd w:id="11"/>
            <w:r>
              <w:rPr>
                <w:rFonts w:ascii="Times New Roman" w:eastAsia="Times New Roman" w:hAnsi="Times New Roman" w:cs="Times New Roman"/>
                <w:b/>
                <w:sz w:val="28"/>
                <w:szCs w:val="28"/>
                <w:lang w:eastAsia="uk-UA"/>
              </w:rPr>
              <w:t xml:space="preserve">, 8451 80 10 00, 8451 80 30 00, 8451 80 80 00, 8451 90 00 00, 8452 10 11 00, 8452 10 19 00, 8452 10 90 00, 8452 21 00 00, 8452 29 00 00, 8452 30 00 00, 8452 90 00 00, 8453 10 00 00, 8453 20 00 00, 8453 80 00 00, 8453 90 00 00, 8454 10 00 10, 8454 10 00 90, 8454 20 00 00, 8454 30 10 00, 8454 30 90 00, 8454 90 00 10, 8454 90 00 90, 8455 10 00 00, 8455 21 00 00, 8455 22 00 00, 8455 30 10 00, 8455 30 31 10, 8455 30 31 90, 8455 30 39 00, 8455 30 90 10, 8455 30 90 90, 8455 90 00 00, 8456 10 00 00, 8456 20 00 00, 8456 30 11 00, 8456 30 19 00, 8456 30 90 00, 8456 90 20 00, 8456 90 80 00, 8457 10 10 00, 8457 10 90 00, 8457 20 00 00, 8457 30 10 00, 8457 30 90 00, 8458 11 20 00, 8458 11 41 00, 8458 11 49 00, 8458 11 80 00, </w:t>
            </w:r>
            <w:r>
              <w:rPr>
                <w:rFonts w:ascii="Times New Roman" w:eastAsia="Times New Roman" w:hAnsi="Times New Roman" w:cs="Times New Roman"/>
                <w:b/>
                <w:sz w:val="28"/>
                <w:szCs w:val="28"/>
                <w:lang w:eastAsia="uk-UA"/>
              </w:rPr>
              <w:lastRenderedPageBreak/>
              <w:t xml:space="preserve">8458 19 00 10, 8458 19 00 90, 8458 91 20 00, 8458 91 80 00, 8458 99 00 00, 8459 10 00 00, 8459 21 00 00, 8459 29 00 00, 8459 31 00 00, 8459 39 00 00, 8459 40 10 00, 8459 40 90 00, 8459 51 00 00, 8459 59 00 00, 8459 61 10 00, 8459 61 90 00, 8459 69 10 00, 8459 69 90 00, 8459 70 00 00, 8460 11 00 00, 8460 19 00 00, 8460 21 11 00, 8460 21 15 00, 8460 21 19 00, 8460 21 90 00, 8460 29 10 00, 8460 29 90 00, 8460 31 00 00, 8460 39 00 00, 8460 40 10 10, 8460 40 10 90, 8460 40 90 00, 8460 90 10 00, 8460 90 90 00, 8461 20 00 00, 8461 30 10 00, 8461 30 90 00, 8461 40 11 00, 8461 40 19 00, 8461 40 31 00, 8461 40 39 00, 8461 40 71 00, 8461 40 79 00, 8461 40 90 00, 8461 50 11 00, 8461 50 19 00, 8461 50 90 00, 8461 90 00 00, 8462 10 10 00, 8462 10 90 00, 8462 21 10 00, 8462 21 80 00, 8462 29 10 00, 8462 29 91 00, 8462 29 98 00, 8462 31 00 00, 8462 39 10 00, 8462 39 91 00, 8462 39 99 00, 8462 41 10 00, 8462 41 90 00, 8462 49 10 00, 8462 49 90 00, 8462 91 20 00, 8462 91 80 00, 8462 99 20 00, 8462 99 80 00, 8463 10 10 00, 8463 10 90 00, 8463 20 00 00, 8463 30 00 00, 8463 90 00 00, 8464 10 00 00, 8464 20 11 00, 8464 20 19 00, 8464 20 80 00, 8464 90 00 00, 8465 10 10 00, 8465 10 90 00, 8465 91 10 00, 8465 91 20 00, 8465 91 90 00, 8465 92 00 00, 8465 93 00 00, 8465 94 00 00, 8465 95 00 10, 8465 95 00 90, 8465 96 00 00, 8465 99 00 10, 8465 99 00 90, 8466 10 20 00, 8466 10 31 00, 8466 10 38 00, 8466 10 80 00, 8466 20 20 00, 8466 20 91 00, 8466 20 98 00, 8466 30 00 00, 8466 91 20 00, 8466 91 95 00, 8466 92 20 00, 8466 92 80 00, 8466 93 30 00, 8466 93 70 00, 8466 94 00 00, 8467 11 10 00, 8467 11 90 00, 8467 19 00 00, 8467 21 10 00, 8467 21 91 00, 8467 21 99 00, 8467 22 10 00, 8467 22 30 00, 8467 22 90 00, 8467 29 20 00, 8467 29 51 00, </w:t>
            </w:r>
            <w:r>
              <w:rPr>
                <w:rFonts w:ascii="Times New Roman" w:eastAsia="Times New Roman" w:hAnsi="Times New Roman" w:cs="Times New Roman"/>
                <w:b/>
                <w:sz w:val="28"/>
                <w:szCs w:val="28"/>
                <w:lang w:eastAsia="uk-UA"/>
              </w:rPr>
              <w:lastRenderedPageBreak/>
              <w:t xml:space="preserve">8467 29 53 00, 8467 29 59 00, 8467 29 70 00, 8467 29 80 00, 8467 29 85 00, 8467 81 00 00, 8467 89 00 00, 8467 91 00 10, 8467 91 00 90, 8467 92 00 00, 8467 99 00 10, 8467 99 00 90, 8468 10 00 00, 8468 20 00 00, 8468 80 00 00, 8468 90 00 00, 8474 10 00 00, 8474 20 00 00, 8474 31 00 00, 8474 32 00 00, 8474 39 00 00, 8474 80 10 00, 8474 80 90 00, 8474 90 10 00, 8474 90 90 10, 8474 90 90 90, 8475 10 00 00, 8475 21 00 00, 8475 29 00 00, 8475 90 00 00, 8477 10 00 00, 8477 20 00 00, 8477 30 00 00, 8477 40 00 00, 8477 51 00 00, 8477 59 10 10, 8477 59 10 90, 8477 59 80 00, 8477 80 11 00, 8477 80 19 00, 8477 80 91 00, 8477 80 93 00, 8477 80 95 00, 8477 80 99 00, 8477 90 10 00, 8477 90 80 00, 8478 10 00 00, 8478 90 00 00, 8479 10 00 00, 8479 20 00 00, 8479 30 10 00, 8479 30 90 00, 8479 40 00 00, 8479 50 00 00, 8479 60 00 00, 8479 71 00 00, 8479 79 00 00, 8479 81 00 00, 8479 82 00 00, 8479 89 30 00, 8479 89 60 10, 8479 89 60 90, 8479 89 97 10, 8479 89 97 20, 8479 89 97 30, 8479 89 97 50, 8479 89 97 90, 8479 90 20 00, 8479 90 80 00, 8480 10 00 00, 8480 20 00 00, 8480 30 10 00, 8480 30 90 00, 8480 41 00 00, 8480 49 00 00, 8480 50 00 00, 8480 60 00 00, 8480 71 00 10, 8480 71 00 90, 8480 79 00 00, 8486 10 00 00, 8486 20 10 00, 8486 20 90 00, 8486 30 10 00, 8486 30 30 00, 8486 30 50 00, 8486 30 90 10, 8486 30 90 90, 8486 40 00 00, 8486 90 10 00, 8486 90 20 00, 8486 90 30 00, 8486 90 40 00, 8486 90 50 00, 8486 90 60 00, 8486 90 70 00, 8486 90 90 10, 8486 90 90 90, 8514 10 10 00, 8514 10 80 00, 8514 20 10 00, 8514 20 80 00, 8514 30 00 10, 8514 30 00 90, 8514 40 00 00, 8514 90 00 00, 8515 11 00 00, 8515 19 00 00, 8515 21 00 00, 8515 29 00 00, 8515 31 00 00, 8515 39 13 00, 8515 39 18 00, 8515 39 90 00, 8515 80 10 00, 8515 80 90 00, </w:t>
            </w:r>
            <w:r>
              <w:rPr>
                <w:rFonts w:ascii="Times New Roman" w:eastAsia="Times New Roman" w:hAnsi="Times New Roman" w:cs="Times New Roman"/>
                <w:b/>
                <w:sz w:val="28"/>
                <w:szCs w:val="28"/>
                <w:lang w:eastAsia="uk-UA"/>
              </w:rPr>
              <w:lastRenderedPageBreak/>
              <w:t>8515 90 00 00, 8543 10 00 00, 8543 20 00 00, 8543 30 00 00, 9031 49 90 00,</w:t>
            </w:r>
          </w:p>
          <w:p w14:paraId="7A9B736C" w14:textId="77777777" w:rsidR="00421E75" w:rsidRDefault="00421E75" w:rsidP="00421E75">
            <w:pPr>
              <w:ind w:firstLine="709"/>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Норми цього пункту не застосовуються до операцій з постачання на митній території України та/або ввезення на митну територію України у митному режимі імпорту обладнання та комплектуючих, якщо вони мають походження з країни, визнаної державою-окупантом згідно із законом України та/або визнаної державою-агресором по відношенню до України згідно із законодавством, або ввозяться з території такої держави-окупанта (агресора) та/або з окупованої території України, визначеної такою згідно із законом України”.</w:t>
            </w:r>
          </w:p>
          <w:p w14:paraId="38A7EF9E" w14:textId="77777777" w:rsidR="00421E75" w:rsidRDefault="00421E75" w:rsidP="00421E75">
            <w:pPr>
              <w:pStyle w:val="ab"/>
              <w:spacing w:before="0" w:beforeAutospacing="0" w:after="0" w:afterAutospacing="0"/>
              <w:jc w:val="both"/>
              <w:rPr>
                <w:b/>
                <w:sz w:val="28"/>
                <w:szCs w:val="28"/>
                <w:lang w:eastAsia="ru-RU"/>
              </w:rPr>
            </w:pPr>
          </w:p>
        </w:tc>
      </w:tr>
      <w:tr w:rsidR="00421E75" w14:paraId="206F018F" w14:textId="77777777" w:rsidTr="00421E75">
        <w:tc>
          <w:tcPr>
            <w:tcW w:w="7280" w:type="dxa"/>
            <w:tcBorders>
              <w:top w:val="single" w:sz="4" w:space="0" w:color="000000"/>
              <w:left w:val="single" w:sz="4" w:space="0" w:color="000000"/>
              <w:bottom w:val="single" w:sz="4" w:space="0" w:color="000000"/>
              <w:right w:val="single" w:sz="4" w:space="0" w:color="000000"/>
            </w:tcBorders>
            <w:vAlign w:val="center"/>
            <w:hideMark/>
          </w:tcPr>
          <w:p w14:paraId="2D2E16C3" w14:textId="77777777" w:rsidR="00421E75" w:rsidRDefault="00421E75" w:rsidP="00421E75">
            <w:pPr>
              <w:jc w:val="both"/>
              <w:rPr>
                <w:rFonts w:ascii="Times New Roman" w:hAnsi="Times New Roman" w:cs="Times New Roman"/>
                <w:sz w:val="28"/>
                <w:szCs w:val="28"/>
              </w:rPr>
            </w:pPr>
            <w:r>
              <w:rPr>
                <w:rFonts w:ascii="Times New Roman" w:hAnsi="Times New Roman" w:cs="Times New Roman"/>
                <w:sz w:val="28"/>
                <w:szCs w:val="28"/>
              </w:rPr>
              <w:lastRenderedPageBreak/>
              <w:t>Підрозділ 5. Особливості справляння акцизного податку та екологічного податку</w:t>
            </w:r>
          </w:p>
        </w:tc>
        <w:tc>
          <w:tcPr>
            <w:tcW w:w="7280" w:type="dxa"/>
            <w:tcBorders>
              <w:top w:val="single" w:sz="4" w:space="0" w:color="000000"/>
              <w:left w:val="single" w:sz="4" w:space="0" w:color="000000"/>
              <w:bottom w:val="single" w:sz="4" w:space="0" w:color="000000"/>
              <w:right w:val="single" w:sz="4" w:space="0" w:color="000000"/>
            </w:tcBorders>
            <w:vAlign w:val="center"/>
            <w:hideMark/>
          </w:tcPr>
          <w:p w14:paraId="5C2C0956" w14:textId="77777777" w:rsidR="00421E75" w:rsidRDefault="00421E75" w:rsidP="00421E75">
            <w:pPr>
              <w:jc w:val="both"/>
              <w:rPr>
                <w:rFonts w:ascii="Times New Roman" w:hAnsi="Times New Roman" w:cs="Times New Roman"/>
                <w:b/>
                <w:sz w:val="28"/>
                <w:szCs w:val="28"/>
              </w:rPr>
            </w:pPr>
            <w:r>
              <w:rPr>
                <w:rFonts w:ascii="Times New Roman" w:hAnsi="Times New Roman" w:cs="Times New Roman"/>
                <w:b/>
                <w:sz w:val="28"/>
                <w:szCs w:val="28"/>
              </w:rPr>
              <w:t>Підрозділ 5. Особливості справляння акцизного податку та екологічного податку</w:t>
            </w:r>
          </w:p>
        </w:tc>
      </w:tr>
      <w:tr w:rsidR="00421E75" w14:paraId="4E317C97" w14:textId="77777777" w:rsidTr="00421E75">
        <w:tc>
          <w:tcPr>
            <w:tcW w:w="7280" w:type="dxa"/>
            <w:tcBorders>
              <w:top w:val="single" w:sz="4" w:space="0" w:color="000000"/>
              <w:left w:val="single" w:sz="4" w:space="0" w:color="000000"/>
              <w:bottom w:val="single" w:sz="4" w:space="0" w:color="000000"/>
              <w:right w:val="single" w:sz="4" w:space="0" w:color="000000"/>
            </w:tcBorders>
            <w:vAlign w:val="center"/>
            <w:hideMark/>
          </w:tcPr>
          <w:p w14:paraId="5D9B9234" w14:textId="77777777" w:rsidR="00421E75" w:rsidRDefault="00421E75" w:rsidP="00421E75">
            <w:pPr>
              <w:jc w:val="both"/>
              <w:rPr>
                <w:rFonts w:ascii="Times New Roman" w:hAnsi="Times New Roman" w:cs="Times New Roman"/>
                <w:b/>
                <w:bCs/>
                <w:sz w:val="28"/>
                <w:szCs w:val="28"/>
              </w:rPr>
            </w:pPr>
            <w:r>
              <w:rPr>
                <w:rFonts w:ascii="Times New Roman" w:hAnsi="Times New Roman" w:cs="Times New Roman"/>
                <w:b/>
                <w:sz w:val="28"/>
                <w:szCs w:val="28"/>
              </w:rPr>
              <w:t>Норма відсутня</w:t>
            </w:r>
          </w:p>
        </w:tc>
        <w:tc>
          <w:tcPr>
            <w:tcW w:w="7280" w:type="dxa"/>
            <w:tcBorders>
              <w:top w:val="single" w:sz="4" w:space="0" w:color="000000"/>
              <w:left w:val="single" w:sz="4" w:space="0" w:color="000000"/>
              <w:bottom w:val="single" w:sz="4" w:space="0" w:color="000000"/>
              <w:right w:val="single" w:sz="4" w:space="0" w:color="000000"/>
            </w:tcBorders>
            <w:vAlign w:val="center"/>
            <w:hideMark/>
          </w:tcPr>
          <w:p w14:paraId="3444CB21" w14:textId="4DA8EF06" w:rsidR="00421E75" w:rsidRDefault="00421E75" w:rsidP="00421E75">
            <w:pPr>
              <w:jc w:val="both"/>
              <w:rPr>
                <w:rFonts w:ascii="Times New Roman" w:hAnsi="Times New Roman" w:cs="Times New Roman"/>
                <w:b/>
                <w:bCs/>
                <w:sz w:val="28"/>
                <w:szCs w:val="28"/>
              </w:rPr>
            </w:pPr>
            <w:r>
              <w:rPr>
                <w:rFonts w:ascii="Times New Roman" w:hAnsi="Times New Roman" w:cs="Times New Roman"/>
                <w:b/>
                <w:sz w:val="28"/>
                <w:szCs w:val="28"/>
                <w:shd w:val="clear" w:color="auto" w:fill="FFFFFF"/>
                <w:lang w:val="ru-RU" w:eastAsia="en-US"/>
              </w:rPr>
              <w:t>29</w:t>
            </w:r>
            <w:r>
              <w:rPr>
                <w:rFonts w:ascii="Times New Roman" w:hAnsi="Times New Roman" w:cs="Times New Roman"/>
                <w:b/>
                <w:bCs/>
                <w:sz w:val="28"/>
                <w:szCs w:val="28"/>
                <w:shd w:val="clear" w:color="auto" w:fill="FFFFFF"/>
                <w:vertAlign w:val="superscript"/>
                <w:lang w:val="ru-RU" w:eastAsia="en-US"/>
              </w:rPr>
              <w:t>3</w:t>
            </w:r>
            <w:r>
              <w:rPr>
                <w:rFonts w:ascii="Times New Roman" w:hAnsi="Times New Roman" w:cs="Times New Roman"/>
                <w:b/>
                <w:sz w:val="28"/>
                <w:szCs w:val="28"/>
                <w:shd w:val="clear" w:color="auto" w:fill="FFFFFF"/>
                <w:lang w:val="ru-RU" w:eastAsia="en-US"/>
              </w:rPr>
              <w:t>.6.</w:t>
            </w:r>
            <w:r>
              <w:rPr>
                <w:rFonts w:ascii="Times New Roman" w:hAnsi="Times New Roman" w:cs="Times New Roman"/>
                <w:b/>
                <w:sz w:val="28"/>
                <w:szCs w:val="28"/>
                <w:lang w:eastAsia="uk-UA"/>
              </w:rPr>
              <w:t xml:space="preserve">   </w:t>
            </w:r>
            <w:r w:rsidR="002F7887">
              <w:rPr>
                <w:rFonts w:ascii="Times New Roman" w:hAnsi="Times New Roman" w:cs="Times New Roman"/>
                <w:b/>
                <w:sz w:val="28"/>
                <w:szCs w:val="28"/>
                <w:lang w:val="ru-RU" w:eastAsia="en-US"/>
              </w:rPr>
              <w:t>Тимчасово до 31 грудня 202</w:t>
            </w:r>
            <w:r w:rsidR="002F7887">
              <w:rPr>
                <w:rFonts w:ascii="Times New Roman" w:hAnsi="Times New Roman" w:cs="Times New Roman"/>
                <w:b/>
                <w:sz w:val="28"/>
                <w:szCs w:val="28"/>
                <w:lang w:eastAsia="en-US"/>
              </w:rPr>
              <w:t>1</w:t>
            </w:r>
            <w:r>
              <w:rPr>
                <w:rFonts w:ascii="Times New Roman" w:hAnsi="Times New Roman" w:cs="Times New Roman"/>
                <w:b/>
                <w:sz w:val="28"/>
                <w:szCs w:val="28"/>
                <w:lang w:val="ru-RU" w:eastAsia="en-US"/>
              </w:rPr>
              <w:t xml:space="preserve"> року</w:t>
            </w:r>
            <w:r>
              <w:rPr>
                <w:rFonts w:ascii="Times New Roman" w:hAnsi="Times New Roman" w:cs="Times New Roman"/>
                <w:b/>
                <w:sz w:val="28"/>
                <w:szCs w:val="28"/>
                <w:lang w:eastAsia="en-US"/>
              </w:rPr>
              <w:t xml:space="preserve"> в</w:t>
            </w:r>
            <w:r>
              <w:rPr>
                <w:rFonts w:ascii="Times New Roman" w:hAnsi="Times New Roman" w:cs="Times New Roman"/>
                <w:b/>
                <w:sz w:val="28"/>
                <w:szCs w:val="28"/>
                <w:shd w:val="clear" w:color="auto" w:fill="FFFFFF"/>
                <w:lang w:eastAsia="en-US"/>
              </w:rPr>
              <w:t xml:space="preserve">иробники пива </w:t>
            </w:r>
            <w:r>
              <w:rPr>
                <w:rFonts w:ascii="Times New Roman" w:hAnsi="Times New Roman" w:cs="Times New Roman"/>
                <w:b/>
                <w:sz w:val="28"/>
                <w:szCs w:val="28"/>
                <w:lang w:val="ru-RU" w:eastAsia="en-US"/>
              </w:rPr>
              <w:t>(</w:t>
            </w:r>
            <w:r>
              <w:rPr>
                <w:rFonts w:ascii="Times New Roman" w:hAnsi="Times New Roman" w:cs="Times New Roman"/>
                <w:b/>
                <w:sz w:val="28"/>
                <w:szCs w:val="28"/>
                <w:shd w:val="clear" w:color="auto" w:fill="FFFFFF"/>
                <w:lang w:val="ru-RU" w:eastAsia="en-US"/>
              </w:rPr>
              <w:t>код згідно з </w:t>
            </w:r>
            <w:hyperlink r:id="rId14" w:tgtFrame="_blank" w:history="1">
              <w:r>
                <w:rPr>
                  <w:rStyle w:val="aa"/>
                  <w:rFonts w:ascii="Times New Roman" w:hAnsi="Times New Roman" w:cs="Times New Roman"/>
                  <w:b/>
                  <w:sz w:val="28"/>
                  <w:szCs w:val="28"/>
                  <w:shd w:val="clear" w:color="auto" w:fill="FFFFFF"/>
                  <w:lang w:val="ru-RU" w:eastAsia="en-US"/>
                </w:rPr>
                <w:t>УКТ ЗЕД</w:t>
              </w:r>
            </w:hyperlink>
            <w:r>
              <w:rPr>
                <w:rFonts w:ascii="Times New Roman" w:hAnsi="Times New Roman" w:cs="Times New Roman"/>
                <w:b/>
                <w:sz w:val="28"/>
                <w:szCs w:val="28"/>
                <w:shd w:val="clear" w:color="auto" w:fill="FFFFFF"/>
                <w:lang w:val="ru-RU" w:eastAsia="en-US"/>
              </w:rPr>
              <w:t xml:space="preserve"> 2203 00)</w:t>
            </w:r>
            <w:r>
              <w:rPr>
                <w:rFonts w:ascii="Times New Roman" w:hAnsi="Times New Roman" w:cs="Times New Roman"/>
                <w:b/>
                <w:sz w:val="28"/>
                <w:szCs w:val="28"/>
                <w:shd w:val="clear" w:color="auto" w:fill="FFFFFF"/>
                <w:lang w:eastAsia="en-US"/>
              </w:rPr>
              <w:t xml:space="preserve"> з обсягом виробництва до 2 000 000 літрів на рік</w:t>
            </w:r>
            <w:r>
              <w:rPr>
                <w:rFonts w:ascii="Times New Roman" w:hAnsi="Times New Roman" w:cs="Times New Roman"/>
                <w:b/>
                <w:sz w:val="28"/>
                <w:szCs w:val="28"/>
                <w:lang w:eastAsia="uk-UA"/>
              </w:rPr>
              <w:t xml:space="preserve"> </w:t>
            </w:r>
            <w:r>
              <w:rPr>
                <w:rFonts w:ascii="Times New Roman" w:hAnsi="Times New Roman" w:cs="Times New Roman"/>
                <w:b/>
                <w:sz w:val="28"/>
                <w:szCs w:val="28"/>
                <w:lang w:val="ru-RU" w:eastAsia="en-US"/>
              </w:rPr>
              <w:t>застосовують ставку акцизного податку</w:t>
            </w:r>
            <w:r>
              <w:rPr>
                <w:rFonts w:ascii="Times New Roman" w:hAnsi="Times New Roman" w:cs="Times New Roman"/>
                <w:b/>
                <w:sz w:val="28"/>
                <w:szCs w:val="28"/>
                <w:lang w:val="ru-RU" w:eastAsia="uk-UA"/>
              </w:rPr>
              <w:t xml:space="preserve"> </w:t>
            </w:r>
            <w:r>
              <w:rPr>
                <w:rFonts w:ascii="Times New Roman" w:hAnsi="Times New Roman" w:cs="Times New Roman"/>
                <w:b/>
                <w:sz w:val="28"/>
                <w:szCs w:val="28"/>
                <w:lang w:val="ru-RU" w:eastAsia="en-US"/>
              </w:rPr>
              <w:t xml:space="preserve">0 гривень за 1 літр </w:t>
            </w:r>
            <w:r>
              <w:rPr>
                <w:rFonts w:ascii="Times New Roman" w:hAnsi="Times New Roman" w:cs="Times New Roman"/>
                <w:b/>
                <w:sz w:val="28"/>
                <w:szCs w:val="28"/>
                <w:shd w:val="clear" w:color="auto" w:fill="FFFFFF"/>
                <w:lang w:val="ru-RU" w:eastAsia="en-US"/>
              </w:rPr>
              <w:t>п</w:t>
            </w:r>
            <w:r>
              <w:rPr>
                <w:rFonts w:ascii="Times New Roman" w:hAnsi="Times New Roman" w:cs="Times New Roman"/>
                <w:b/>
                <w:sz w:val="28"/>
                <w:szCs w:val="28"/>
                <w:shd w:val="clear" w:color="auto" w:fill="FFFFFF"/>
                <w:lang w:eastAsia="uk-UA"/>
              </w:rPr>
              <w:t>ив</w:t>
            </w:r>
            <w:r>
              <w:rPr>
                <w:rFonts w:ascii="Times New Roman" w:hAnsi="Times New Roman" w:cs="Times New Roman"/>
                <w:b/>
                <w:sz w:val="28"/>
                <w:szCs w:val="28"/>
                <w:shd w:val="clear" w:color="auto" w:fill="FFFFFF"/>
                <w:lang w:val="ru-RU" w:eastAsia="en-US"/>
              </w:rPr>
              <w:t>а</w:t>
            </w:r>
            <w:r>
              <w:rPr>
                <w:rFonts w:ascii="Times New Roman" w:hAnsi="Times New Roman" w:cs="Times New Roman"/>
                <w:b/>
                <w:sz w:val="28"/>
                <w:szCs w:val="28"/>
                <w:shd w:val="clear" w:color="auto" w:fill="FFFFFF"/>
                <w:lang w:eastAsia="uk-UA"/>
              </w:rPr>
              <w:t xml:space="preserve"> із солоду (солодове).</w:t>
            </w:r>
          </w:p>
        </w:tc>
      </w:tr>
      <w:tr w:rsidR="00421E75" w14:paraId="7BB30B36" w14:textId="77777777" w:rsidTr="00421E75">
        <w:tc>
          <w:tcPr>
            <w:tcW w:w="7280" w:type="dxa"/>
            <w:tcBorders>
              <w:top w:val="single" w:sz="4" w:space="0" w:color="000000"/>
              <w:left w:val="single" w:sz="4" w:space="0" w:color="000000"/>
              <w:bottom w:val="single" w:sz="4" w:space="0" w:color="000000"/>
              <w:right w:val="single" w:sz="4" w:space="0" w:color="000000"/>
            </w:tcBorders>
            <w:vAlign w:val="center"/>
            <w:hideMark/>
          </w:tcPr>
          <w:p w14:paraId="5B859142" w14:textId="77777777" w:rsidR="00421E75" w:rsidRDefault="00421E75" w:rsidP="00421E75">
            <w:pPr>
              <w:jc w:val="both"/>
              <w:rPr>
                <w:rFonts w:ascii="Times New Roman" w:hAnsi="Times New Roman" w:cs="Times New Roman"/>
                <w:sz w:val="28"/>
                <w:szCs w:val="28"/>
              </w:rPr>
            </w:pPr>
            <w:r>
              <w:rPr>
                <w:rFonts w:ascii="Times New Roman" w:hAnsi="Times New Roman" w:cs="Times New Roman"/>
                <w:b/>
                <w:bCs/>
                <w:color w:val="333333"/>
                <w:sz w:val="28"/>
                <w:szCs w:val="28"/>
                <w:shd w:val="clear" w:color="auto" w:fill="FFFFFF"/>
              </w:rPr>
              <w:t>Підрозділ 10. Інші перехідні положення</w:t>
            </w:r>
          </w:p>
        </w:tc>
        <w:tc>
          <w:tcPr>
            <w:tcW w:w="7280" w:type="dxa"/>
            <w:tcBorders>
              <w:top w:val="single" w:sz="4" w:space="0" w:color="000000"/>
              <w:left w:val="single" w:sz="4" w:space="0" w:color="000000"/>
              <w:bottom w:val="single" w:sz="4" w:space="0" w:color="000000"/>
              <w:right w:val="single" w:sz="4" w:space="0" w:color="000000"/>
            </w:tcBorders>
            <w:vAlign w:val="center"/>
            <w:hideMark/>
          </w:tcPr>
          <w:p w14:paraId="2E227A1A" w14:textId="77777777" w:rsidR="00421E75" w:rsidRDefault="00421E75" w:rsidP="00421E75">
            <w:pPr>
              <w:ind w:firstLine="734"/>
              <w:jc w:val="both"/>
              <w:rPr>
                <w:rFonts w:ascii="Times New Roman" w:hAnsi="Times New Roman" w:cs="Times New Roman"/>
                <w:b/>
                <w:bCs/>
                <w:sz w:val="28"/>
                <w:szCs w:val="28"/>
                <w:shd w:val="clear" w:color="auto" w:fill="FFFFFF"/>
              </w:rPr>
            </w:pPr>
            <w:r>
              <w:rPr>
                <w:rFonts w:ascii="Times New Roman" w:hAnsi="Times New Roman" w:cs="Times New Roman"/>
                <w:b/>
                <w:bCs/>
                <w:color w:val="333333"/>
                <w:sz w:val="28"/>
                <w:szCs w:val="28"/>
                <w:shd w:val="clear" w:color="auto" w:fill="FFFFFF"/>
              </w:rPr>
              <w:t>Підрозділ 10. Інші перехідні положення</w:t>
            </w:r>
          </w:p>
        </w:tc>
      </w:tr>
      <w:tr w:rsidR="00421E75" w14:paraId="247C0F4D" w14:textId="77777777" w:rsidTr="00421E75">
        <w:tc>
          <w:tcPr>
            <w:tcW w:w="7280" w:type="dxa"/>
            <w:tcBorders>
              <w:top w:val="single" w:sz="4" w:space="0" w:color="000000"/>
              <w:left w:val="single" w:sz="4" w:space="0" w:color="000000"/>
              <w:bottom w:val="single" w:sz="4" w:space="0" w:color="000000"/>
              <w:right w:val="single" w:sz="4" w:space="0" w:color="000000"/>
            </w:tcBorders>
            <w:vAlign w:val="center"/>
            <w:hideMark/>
          </w:tcPr>
          <w:p w14:paraId="1EC219AB" w14:textId="77777777" w:rsidR="00421E75" w:rsidRDefault="00421E75" w:rsidP="00421E75">
            <w:pPr>
              <w:jc w:val="both"/>
              <w:rPr>
                <w:rFonts w:ascii="Times New Roman" w:hAnsi="Times New Roman" w:cs="Times New Roman"/>
                <w:b/>
                <w:sz w:val="28"/>
                <w:szCs w:val="28"/>
              </w:rPr>
            </w:pPr>
            <w:r>
              <w:rPr>
                <w:rFonts w:ascii="Times New Roman" w:hAnsi="Times New Roman" w:cs="Times New Roman"/>
                <w:b/>
                <w:sz w:val="28"/>
                <w:szCs w:val="28"/>
              </w:rPr>
              <w:t>Норма відсутня</w:t>
            </w:r>
          </w:p>
        </w:tc>
        <w:tc>
          <w:tcPr>
            <w:tcW w:w="7280" w:type="dxa"/>
            <w:tcBorders>
              <w:top w:val="single" w:sz="4" w:space="0" w:color="000000"/>
              <w:left w:val="single" w:sz="4" w:space="0" w:color="000000"/>
              <w:bottom w:val="single" w:sz="4" w:space="0" w:color="000000"/>
              <w:right w:val="single" w:sz="4" w:space="0" w:color="000000"/>
            </w:tcBorders>
            <w:hideMark/>
          </w:tcPr>
          <w:p w14:paraId="175F8320" w14:textId="77777777" w:rsidR="00421E75" w:rsidRDefault="00421E75" w:rsidP="00421E75">
            <w:pPr>
              <w:pStyle w:val="a5"/>
              <w:ind w:left="0"/>
              <w:rPr>
                <w:rFonts w:eastAsia="Times New Roman"/>
                <w:b/>
              </w:rPr>
            </w:pPr>
            <w:r>
              <w:rPr>
                <w:rFonts w:eastAsia="Times New Roman"/>
                <w:b/>
                <w:lang w:val="uk-UA"/>
              </w:rPr>
              <w:t>52</w:t>
            </w:r>
            <w:r>
              <w:rPr>
                <w:rFonts w:eastAsia="Times New Roman"/>
                <w:b/>
                <w:vertAlign w:val="superscript"/>
                <w:lang w:val="uk-UA"/>
              </w:rPr>
              <w:t>9</w:t>
            </w:r>
            <w:r>
              <w:rPr>
                <w:rFonts w:eastAsia="Times New Roman"/>
                <w:b/>
                <w:lang w:val="uk-UA"/>
              </w:rPr>
              <w:t>.  Тимчасово, на період здійснення заходів, спрямованих на запобігання виникнення та поширення коронавірусної хвороби (</w:t>
            </w:r>
            <w:r>
              <w:rPr>
                <w:rFonts w:eastAsia="Times New Roman"/>
                <w:b/>
              </w:rPr>
              <w:t>COVID</w:t>
            </w:r>
            <w:r>
              <w:rPr>
                <w:rFonts w:eastAsia="Times New Roman"/>
                <w:b/>
                <w:lang w:val="uk-UA"/>
              </w:rPr>
              <w:t xml:space="preserve">-19) та протягом трьох місяців після дати завершення карантину, встановленого Кабінетом Міністрів України, не нараховується та не сплачується плата за землю </w:t>
            </w:r>
            <w:r>
              <w:rPr>
                <w:rFonts w:eastAsia="Times New Roman"/>
                <w:b/>
              </w:rPr>
              <w:t xml:space="preserve">(земельний податок та орендна плата за земельні </w:t>
            </w:r>
            <w:r>
              <w:rPr>
                <w:rFonts w:eastAsia="Times New Roman"/>
                <w:b/>
              </w:rPr>
              <w:lastRenderedPageBreak/>
              <w:t>ділянки державної та комунальної власності, та за земельні ділянки оздоровчого призначення).</w:t>
            </w:r>
          </w:p>
          <w:p w14:paraId="46361979" w14:textId="77777777" w:rsidR="00421E75" w:rsidRDefault="00421E75" w:rsidP="00421E75">
            <w:pPr>
              <w:ind w:firstLine="734"/>
              <w:jc w:val="both"/>
              <w:rPr>
                <w:rFonts w:ascii="Times New Roman" w:hAnsi="Times New Roman" w:cs="Times New Roman"/>
                <w:b/>
                <w:bCs/>
                <w:sz w:val="28"/>
                <w:szCs w:val="28"/>
                <w:shd w:val="clear" w:color="auto" w:fill="FFFFFF"/>
              </w:rPr>
            </w:pPr>
            <w:r>
              <w:rPr>
                <w:rFonts w:ascii="Times New Roman" w:eastAsia="Times New Roman" w:hAnsi="Times New Roman" w:cs="Times New Roman"/>
                <w:b/>
                <w:sz w:val="28"/>
                <w:szCs w:val="28"/>
              </w:rPr>
              <w:t>При цьому, платники плати за землю (крім фізичних осіб), які відповідно до пункту 286.2 статті 286 цього Кодексу подали податкову декларацію, мають право подати уточнюючу податкову декларацію, в якій відобразити зміни податкового зобов’язання із сплати плати за землю за відповідні місяці.</w:t>
            </w:r>
            <w:r>
              <w:rPr>
                <w:rFonts w:ascii="Times New Roman" w:eastAsia="MS ??" w:hAnsi="Times New Roman" w:cs="Times New Roman"/>
                <w:b/>
                <w:sz w:val="28"/>
                <w:szCs w:val="28"/>
              </w:rPr>
              <w:t xml:space="preserve">  </w:t>
            </w:r>
          </w:p>
        </w:tc>
      </w:tr>
      <w:tr w:rsidR="00421E75" w14:paraId="6F4F45DD" w14:textId="77777777" w:rsidTr="00421E75">
        <w:tc>
          <w:tcPr>
            <w:tcW w:w="7280" w:type="dxa"/>
            <w:tcBorders>
              <w:top w:val="single" w:sz="4" w:space="0" w:color="000000"/>
              <w:left w:val="single" w:sz="4" w:space="0" w:color="000000"/>
              <w:bottom w:val="single" w:sz="4" w:space="0" w:color="000000"/>
              <w:right w:val="single" w:sz="4" w:space="0" w:color="000000"/>
            </w:tcBorders>
            <w:vAlign w:val="center"/>
            <w:hideMark/>
          </w:tcPr>
          <w:p w14:paraId="4663B65E" w14:textId="77777777" w:rsidR="00421E75" w:rsidRDefault="00421E75" w:rsidP="00421E75">
            <w:pPr>
              <w:jc w:val="both"/>
              <w:rPr>
                <w:rFonts w:ascii="Times New Roman" w:hAnsi="Times New Roman" w:cs="Times New Roman"/>
                <w:sz w:val="28"/>
                <w:szCs w:val="28"/>
              </w:rPr>
            </w:pPr>
            <w:r>
              <w:rPr>
                <w:rFonts w:ascii="Times New Roman" w:hAnsi="Times New Roman" w:cs="Times New Roman"/>
                <w:b/>
                <w:sz w:val="28"/>
                <w:szCs w:val="28"/>
              </w:rPr>
              <w:lastRenderedPageBreak/>
              <w:t>Норма відсутня</w:t>
            </w:r>
          </w:p>
        </w:tc>
        <w:tc>
          <w:tcPr>
            <w:tcW w:w="7280" w:type="dxa"/>
            <w:tcBorders>
              <w:top w:val="single" w:sz="4" w:space="0" w:color="000000"/>
              <w:left w:val="single" w:sz="4" w:space="0" w:color="000000"/>
              <w:bottom w:val="single" w:sz="4" w:space="0" w:color="000000"/>
              <w:right w:val="single" w:sz="4" w:space="0" w:color="000000"/>
            </w:tcBorders>
            <w:hideMark/>
          </w:tcPr>
          <w:p w14:paraId="7A58133B" w14:textId="77777777" w:rsidR="00421E75" w:rsidRDefault="00421E75" w:rsidP="00421E75">
            <w:pPr>
              <w:widowControl w:val="0"/>
              <w:tabs>
                <w:tab w:val="left" w:pos="426"/>
                <w:tab w:val="left" w:pos="1134"/>
              </w:tabs>
              <w:ind w:firstLine="51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52</w:t>
            </w:r>
            <w:r>
              <w:rPr>
                <w:rFonts w:ascii="Times New Roman" w:eastAsia="Times New Roman" w:hAnsi="Times New Roman" w:cs="Times New Roman"/>
                <w:b/>
                <w:sz w:val="28"/>
                <w:szCs w:val="28"/>
                <w:vertAlign w:val="superscript"/>
              </w:rPr>
              <w:t>10</w:t>
            </w:r>
            <w:r>
              <w:rPr>
                <w:rFonts w:ascii="Times New Roman" w:eastAsia="Times New Roman" w:hAnsi="Times New Roman" w:cs="Times New Roman"/>
                <w:b/>
                <w:sz w:val="28"/>
                <w:szCs w:val="28"/>
              </w:rPr>
              <w:t>. Тимчасово, на період здійснення заходів, спрямованих на запобігання виникнення та поширення коронавірусної хвороби (COVID-19) та протягом трьох місяців після дати завершення карантину, встановленого Кабінетом Міністрів України, не є об’єктом оподаткування податком на нерухоме майно, відмінне від земельної ділянки, відповідно до статті 266 цього Кодексу, об’єкти нерухомості, які перебувають у власності органів державної влади, органів місцевого самоврядування, приватній власності (в тому числі ті, які передані в оренду), та які використовуються для надання послуг з тимчасового розміщення (проживання), харчування, екскурсійних та інших туристичних послуг,  послуг санаторно-курортного лікування та /або оздоровчо-рекреаційних послуг.</w:t>
            </w:r>
          </w:p>
          <w:p w14:paraId="1FE6AB88" w14:textId="77777777" w:rsidR="00421E75" w:rsidRDefault="00421E75" w:rsidP="00421E75">
            <w:pPr>
              <w:ind w:firstLine="734"/>
              <w:jc w:val="both"/>
              <w:rPr>
                <w:rFonts w:ascii="Times New Roman" w:hAnsi="Times New Roman" w:cs="Times New Roman"/>
                <w:b/>
                <w:bCs/>
                <w:sz w:val="28"/>
                <w:szCs w:val="28"/>
                <w:shd w:val="clear" w:color="auto" w:fill="FFFFFF"/>
              </w:rPr>
            </w:pPr>
            <w:r>
              <w:rPr>
                <w:rFonts w:ascii="Times New Roman" w:eastAsia="Times New Roman" w:hAnsi="Times New Roman" w:cs="Times New Roman"/>
                <w:b/>
                <w:sz w:val="28"/>
                <w:szCs w:val="28"/>
              </w:rPr>
              <w:t xml:space="preserve">При цьому, платники податку на нерухоме майно, відмінне від земельної ділянки (крім фізичних осіб), що відповідно до підпункту 266.7.5 пункту 266.7 статті 266 цього Кодексу подали податкову декларацію, мають право подати уточнюючу податкову декларацію, в якій </w:t>
            </w:r>
            <w:r>
              <w:rPr>
                <w:rFonts w:ascii="Times New Roman" w:eastAsia="Times New Roman" w:hAnsi="Times New Roman" w:cs="Times New Roman"/>
                <w:b/>
                <w:sz w:val="28"/>
                <w:szCs w:val="28"/>
              </w:rPr>
              <w:lastRenderedPageBreak/>
              <w:t xml:space="preserve">відобразити зміни податкового зобов’язання із сплати плати за землю за відповідні місяці.        </w:t>
            </w:r>
          </w:p>
        </w:tc>
      </w:tr>
    </w:tbl>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10"/>
        <w:gridCol w:w="7350"/>
      </w:tblGrid>
      <w:tr w:rsidR="00421E75" w14:paraId="35F3693B" w14:textId="77777777" w:rsidTr="00421E75">
        <w:tc>
          <w:tcPr>
            <w:tcW w:w="5000" w:type="pct"/>
            <w:gridSpan w:val="2"/>
            <w:tcBorders>
              <w:top w:val="single" w:sz="4" w:space="0" w:color="auto"/>
              <w:left w:val="single" w:sz="4" w:space="0" w:color="auto"/>
              <w:bottom w:val="single" w:sz="4" w:space="0" w:color="auto"/>
              <w:right w:val="single" w:sz="4" w:space="0" w:color="auto"/>
            </w:tcBorders>
            <w:hideMark/>
          </w:tcPr>
          <w:p w14:paraId="4F3817BC" w14:textId="77777777" w:rsidR="00421E75" w:rsidRDefault="00421E75" w:rsidP="00421E75">
            <w:pPr>
              <w:spacing w:after="0"/>
              <w:ind w:firstLine="734"/>
              <w:jc w:val="center"/>
              <w:rPr>
                <w:rFonts w:ascii="Times New Roman" w:hAnsi="Times New Roman" w:cs="Times New Roman"/>
                <w:b/>
                <w:sz w:val="28"/>
                <w:szCs w:val="28"/>
              </w:rPr>
            </w:pPr>
            <w:r>
              <w:rPr>
                <w:rStyle w:val="-"/>
                <w:rFonts w:ascii="Times New Roman" w:hAnsi="Times New Roman" w:cs="Times New Roman"/>
                <w:b/>
                <w:color w:val="00000A"/>
                <w:sz w:val="28"/>
                <w:szCs w:val="28"/>
              </w:rPr>
              <w:lastRenderedPageBreak/>
              <w:t>Закон України «Про державне регулювання виробництва і обігу спирту етилового, коньячного і плодового, алкогольних напоїв та тютюнових виробів</w:t>
            </w:r>
            <w:r>
              <w:rPr>
                <w:rStyle w:val="hps"/>
                <w:b/>
                <w:color w:val="222222"/>
                <w:sz w:val="28"/>
                <w:szCs w:val="28"/>
              </w:rPr>
              <w:t>»</w:t>
            </w:r>
          </w:p>
        </w:tc>
      </w:tr>
      <w:tr w:rsidR="00421E75" w14:paraId="1FDC4F2F" w14:textId="77777777" w:rsidTr="00421E75">
        <w:tc>
          <w:tcPr>
            <w:tcW w:w="2476" w:type="pct"/>
            <w:tcBorders>
              <w:top w:val="single" w:sz="4" w:space="0" w:color="auto"/>
              <w:left w:val="single" w:sz="4" w:space="0" w:color="auto"/>
              <w:bottom w:val="single" w:sz="4" w:space="0" w:color="auto"/>
              <w:right w:val="single" w:sz="4" w:space="0" w:color="auto"/>
            </w:tcBorders>
            <w:shd w:val="clear" w:color="auto" w:fill="FFFFFF"/>
            <w:hideMark/>
          </w:tcPr>
          <w:p w14:paraId="5618BF6B" w14:textId="77777777" w:rsidR="00421E75" w:rsidRDefault="00421E75" w:rsidP="00421E75">
            <w:pPr>
              <w:shd w:val="clear" w:color="auto" w:fill="FFFFFF"/>
              <w:spacing w:after="0"/>
              <w:ind w:firstLine="734"/>
              <w:jc w:val="both"/>
              <w:rPr>
                <w:rFonts w:ascii="Times New Roman" w:hAnsi="Times New Roman" w:cs="Times New Roman"/>
                <w:color w:val="000000"/>
                <w:sz w:val="28"/>
                <w:szCs w:val="28"/>
              </w:rPr>
            </w:pPr>
            <w:r>
              <w:rPr>
                <w:rStyle w:val="rvts9"/>
                <w:rFonts w:ascii="Times New Roman" w:hAnsi="Times New Roman" w:cs="Times New Roman"/>
                <w:b/>
                <w:bCs/>
                <w:color w:val="000000"/>
                <w:sz w:val="28"/>
                <w:szCs w:val="28"/>
                <w:shd w:val="clear" w:color="auto" w:fill="FFFFFF"/>
              </w:rPr>
              <w:t>Стаття 3. </w:t>
            </w:r>
            <w:r>
              <w:rPr>
                <w:rFonts w:ascii="Times New Roman" w:hAnsi="Times New Roman" w:cs="Times New Roman"/>
                <w:color w:val="000000"/>
                <w:sz w:val="28"/>
                <w:szCs w:val="28"/>
                <w:shd w:val="clear" w:color="auto" w:fill="FFFFFF"/>
              </w:rPr>
              <w:t>Порядок видачі, призупинення,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tc>
        <w:tc>
          <w:tcPr>
            <w:tcW w:w="2524" w:type="pct"/>
            <w:tcBorders>
              <w:top w:val="single" w:sz="4" w:space="0" w:color="auto"/>
              <w:left w:val="single" w:sz="4" w:space="0" w:color="auto"/>
              <w:bottom w:val="single" w:sz="4" w:space="0" w:color="auto"/>
              <w:right w:val="single" w:sz="4" w:space="0" w:color="auto"/>
            </w:tcBorders>
            <w:shd w:val="clear" w:color="auto" w:fill="FFFFFF"/>
            <w:hideMark/>
          </w:tcPr>
          <w:p w14:paraId="0E74548D" w14:textId="77777777" w:rsidR="00421E75" w:rsidRDefault="00421E75" w:rsidP="00421E75">
            <w:pPr>
              <w:shd w:val="clear" w:color="auto" w:fill="FFFFFF"/>
              <w:spacing w:after="0"/>
              <w:ind w:firstLine="734"/>
              <w:jc w:val="both"/>
              <w:rPr>
                <w:rFonts w:ascii="Times New Roman" w:hAnsi="Times New Roman" w:cs="Times New Roman"/>
                <w:color w:val="000000"/>
                <w:sz w:val="28"/>
                <w:szCs w:val="28"/>
              </w:rPr>
            </w:pPr>
            <w:r>
              <w:rPr>
                <w:rStyle w:val="rvts9"/>
                <w:rFonts w:ascii="Times New Roman" w:hAnsi="Times New Roman" w:cs="Times New Roman"/>
                <w:b/>
                <w:bCs/>
                <w:color w:val="000000"/>
                <w:sz w:val="28"/>
                <w:szCs w:val="28"/>
                <w:shd w:val="clear" w:color="auto" w:fill="FFFFFF"/>
              </w:rPr>
              <w:t>Стаття 3. </w:t>
            </w:r>
            <w:r>
              <w:rPr>
                <w:rFonts w:ascii="Times New Roman" w:hAnsi="Times New Roman" w:cs="Times New Roman"/>
                <w:color w:val="000000"/>
                <w:sz w:val="28"/>
                <w:szCs w:val="28"/>
                <w:shd w:val="clear" w:color="auto" w:fill="FFFFFF"/>
              </w:rPr>
              <w:t>Порядок видачі, призупинення,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tc>
      </w:tr>
      <w:tr w:rsidR="00421E75" w14:paraId="620D1401" w14:textId="77777777" w:rsidTr="00421E75">
        <w:tc>
          <w:tcPr>
            <w:tcW w:w="2476" w:type="pct"/>
            <w:tcBorders>
              <w:top w:val="single" w:sz="4" w:space="0" w:color="auto"/>
              <w:left w:val="single" w:sz="4" w:space="0" w:color="auto"/>
              <w:bottom w:val="single" w:sz="4" w:space="0" w:color="auto"/>
              <w:right w:val="single" w:sz="4" w:space="0" w:color="auto"/>
            </w:tcBorders>
            <w:shd w:val="clear" w:color="auto" w:fill="FFFFFF"/>
            <w:hideMark/>
          </w:tcPr>
          <w:p w14:paraId="61D68D1F"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w:t>
            </w:r>
          </w:p>
          <w:p w14:paraId="7EF0D04D"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Для отримання ліцензії на право виробництва пального разом із заявою додатково подаються завірені заявником копії таких документів:</w:t>
            </w:r>
          </w:p>
          <w:p w14:paraId="77740558"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bookmarkStart w:id="12" w:name="n815"/>
            <w:bookmarkStart w:id="13" w:name="n937"/>
            <w:bookmarkStart w:id="14" w:name="n812"/>
            <w:bookmarkEnd w:id="12"/>
            <w:bookmarkEnd w:id="13"/>
            <w:bookmarkEnd w:id="14"/>
            <w:r>
              <w:rPr>
                <w:color w:val="000000"/>
                <w:sz w:val="28"/>
                <w:szCs w:val="28"/>
                <w:lang w:eastAsia="ru-RU"/>
              </w:rPr>
              <w:t>…</w:t>
            </w:r>
          </w:p>
          <w:p w14:paraId="38FDE60C"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дозвіл на виконання робіт підвищеної небезпеки та експлуатацію (застосування) машин, механізмів, устаткування підвищеної небезпеки;</w:t>
            </w:r>
          </w:p>
          <w:p w14:paraId="7F6F358B" w14:textId="77777777" w:rsidR="00421E75" w:rsidRDefault="00421E75" w:rsidP="00421E75">
            <w:pPr>
              <w:pStyle w:val="rvps2"/>
              <w:shd w:val="clear" w:color="auto" w:fill="FFFFFF"/>
              <w:spacing w:before="0" w:beforeAutospacing="0" w:after="0" w:afterAutospacing="0"/>
              <w:ind w:firstLine="734"/>
              <w:jc w:val="both"/>
              <w:rPr>
                <w:color w:val="000000"/>
                <w:sz w:val="28"/>
                <w:szCs w:val="28"/>
                <w:shd w:val="clear" w:color="auto" w:fill="FFFFFF"/>
                <w:lang w:eastAsia="ru-RU"/>
              </w:rPr>
            </w:pPr>
            <w:bookmarkStart w:id="15" w:name="n938"/>
            <w:bookmarkEnd w:id="15"/>
            <w:r>
              <w:rPr>
                <w:color w:val="000000"/>
                <w:sz w:val="28"/>
                <w:szCs w:val="28"/>
                <w:shd w:val="clear" w:color="auto" w:fill="FFFFFF"/>
                <w:lang w:eastAsia="ru-RU"/>
              </w:rPr>
              <w:t>…</w:t>
            </w:r>
          </w:p>
        </w:tc>
        <w:tc>
          <w:tcPr>
            <w:tcW w:w="2524" w:type="pct"/>
            <w:tcBorders>
              <w:top w:val="single" w:sz="4" w:space="0" w:color="auto"/>
              <w:left w:val="single" w:sz="4" w:space="0" w:color="auto"/>
              <w:bottom w:val="single" w:sz="4" w:space="0" w:color="auto"/>
              <w:right w:val="single" w:sz="4" w:space="0" w:color="auto"/>
            </w:tcBorders>
            <w:shd w:val="clear" w:color="auto" w:fill="FFFFFF"/>
            <w:hideMark/>
          </w:tcPr>
          <w:p w14:paraId="686617DF"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w:t>
            </w:r>
          </w:p>
          <w:p w14:paraId="2FAEA1F3"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Для отримання ліцензії на право виробництва пального разом із заявою додатково подаються завірені заявником копії таких документів:</w:t>
            </w:r>
          </w:p>
          <w:p w14:paraId="5987BC3F"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w:t>
            </w:r>
          </w:p>
          <w:p w14:paraId="474D95FA"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 xml:space="preserve">дозвіл на виконання робіт підвищеної небезпеки та експлуатацію (застосування) машин, механізмів, устаткування підвищеної небезпеки </w:t>
            </w:r>
            <w:r>
              <w:rPr>
                <w:b/>
                <w:bCs/>
                <w:sz w:val="28"/>
                <w:szCs w:val="28"/>
                <w:lang w:eastAsia="ru-RU"/>
              </w:rPr>
              <w:t xml:space="preserve">або </w:t>
            </w:r>
            <w:r>
              <w:rPr>
                <w:b/>
                <w:bCs/>
                <w:color w:val="000000"/>
                <w:sz w:val="28"/>
                <w:szCs w:val="28"/>
                <w:shd w:val="clear" w:color="auto" w:fill="FFFFFF"/>
                <w:lang w:eastAsia="ru-RU"/>
              </w:rPr>
              <w:t>декларацію відповідності матеріально-технічної бази вимогам законодавства з питань охорони праці</w:t>
            </w:r>
            <w:r>
              <w:rPr>
                <w:color w:val="000000"/>
                <w:sz w:val="28"/>
                <w:szCs w:val="28"/>
                <w:lang w:eastAsia="ru-RU"/>
              </w:rPr>
              <w:t>;</w:t>
            </w:r>
          </w:p>
          <w:p w14:paraId="067F708A" w14:textId="77777777" w:rsidR="00421E75" w:rsidRDefault="00421E75" w:rsidP="00421E75">
            <w:pPr>
              <w:pStyle w:val="rvps2"/>
              <w:shd w:val="clear" w:color="auto" w:fill="FFFFFF"/>
              <w:spacing w:before="0" w:beforeAutospacing="0" w:after="0" w:afterAutospacing="0"/>
              <w:ind w:firstLine="734"/>
              <w:jc w:val="both"/>
              <w:rPr>
                <w:b/>
                <w:bCs/>
                <w:color w:val="000000"/>
                <w:sz w:val="28"/>
                <w:szCs w:val="28"/>
                <w:shd w:val="clear" w:color="auto" w:fill="FFFFFF"/>
                <w:lang w:eastAsia="ru-RU"/>
              </w:rPr>
            </w:pPr>
            <w:r>
              <w:rPr>
                <w:rStyle w:val="rvts46"/>
                <w:i/>
                <w:iCs/>
                <w:sz w:val="28"/>
                <w:szCs w:val="28"/>
                <w:lang w:eastAsia="ru-RU"/>
              </w:rPr>
              <w:t>…</w:t>
            </w:r>
          </w:p>
        </w:tc>
      </w:tr>
      <w:tr w:rsidR="00421E75" w14:paraId="334E7A23" w14:textId="77777777" w:rsidTr="00421E75">
        <w:tc>
          <w:tcPr>
            <w:tcW w:w="2476" w:type="pct"/>
            <w:tcBorders>
              <w:top w:val="single" w:sz="4" w:space="0" w:color="auto"/>
              <w:left w:val="single" w:sz="4" w:space="0" w:color="auto"/>
              <w:bottom w:val="single" w:sz="4" w:space="0" w:color="auto"/>
              <w:right w:val="single" w:sz="4" w:space="0" w:color="auto"/>
            </w:tcBorders>
            <w:hideMark/>
          </w:tcPr>
          <w:p w14:paraId="2AC55B35"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Стаття 11. Маркування алкогольних напоїв та тютюнових виробів</w:t>
            </w:r>
          </w:p>
        </w:tc>
        <w:tc>
          <w:tcPr>
            <w:tcW w:w="2524" w:type="pct"/>
            <w:tcBorders>
              <w:top w:val="single" w:sz="4" w:space="0" w:color="auto"/>
              <w:left w:val="single" w:sz="4" w:space="0" w:color="auto"/>
              <w:bottom w:val="single" w:sz="4" w:space="0" w:color="auto"/>
              <w:right w:val="single" w:sz="4" w:space="0" w:color="auto"/>
            </w:tcBorders>
            <w:hideMark/>
          </w:tcPr>
          <w:p w14:paraId="7048C8DB"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Стаття 11. Маркування алкогольних напоїв та тютюнових виробів</w:t>
            </w:r>
          </w:p>
        </w:tc>
      </w:tr>
      <w:tr w:rsidR="00421E75" w14:paraId="4EF6BE2F" w14:textId="77777777" w:rsidTr="00421E75">
        <w:tc>
          <w:tcPr>
            <w:tcW w:w="2476" w:type="pct"/>
            <w:tcBorders>
              <w:top w:val="single" w:sz="4" w:space="0" w:color="auto"/>
              <w:left w:val="single" w:sz="4" w:space="0" w:color="auto"/>
              <w:bottom w:val="single" w:sz="4" w:space="0" w:color="auto"/>
              <w:right w:val="single" w:sz="4" w:space="0" w:color="auto"/>
            </w:tcBorders>
            <w:hideMark/>
          </w:tcPr>
          <w:p w14:paraId="64B05EDD"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 xml:space="preserve">1. Маркування алкогольних напоїв (крім продукції, зазначеної у частині другій цієї статті), які реалізуються в Україні, здійснюється відповідно до Закону України "Про інформацію для споживачів щодо харчових продуктів" з </w:t>
            </w:r>
            <w:r>
              <w:rPr>
                <w:rFonts w:ascii="Times New Roman" w:hAnsi="Times New Roman" w:cs="Times New Roman"/>
                <w:sz w:val="28"/>
                <w:szCs w:val="28"/>
              </w:rPr>
              <w:lastRenderedPageBreak/>
              <w:t>урахуванням особливостей, встановлених цим Законом, та має містити таку інформацію:</w:t>
            </w:r>
          </w:p>
          <w:p w14:paraId="5D342F6E"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загальна та власна назви виробу;</w:t>
            </w:r>
          </w:p>
          <w:p w14:paraId="360C856C"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найменування та місцезнаходження оператора ринку харчових продуктів, відповідального за інформацію про алкогольний напій, а для імпортованих алкогольних напоїв - найменування та місцезнаходження імпортера (у разі зміни найменування виробника у зв’язку із зміною типу акціонерного товариства або у зв’язку з перетворенням акціонерного товариства в інше господарське товариство виробник має право зазначати на етикетці своє попереднє найменування протягом 18 місяців з дня зміни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14:paraId="196760BF"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знак для товарів і послуг;</w:t>
            </w:r>
          </w:p>
          <w:p w14:paraId="2DF73111"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географічна назва місця виготовлення виробу, якщо найменування виробника не відображає місця розташування суб'єкта господарювання (у тому числі іноземного суб’єкта господарювання, який діє через своє зареєстроване постійне представництво);</w:t>
            </w:r>
          </w:p>
          <w:p w14:paraId="7F221D0F"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вміст спирту (% об.);</w:t>
            </w:r>
          </w:p>
          <w:p w14:paraId="5AC1B804"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місткість посуду;</w:t>
            </w:r>
          </w:p>
          <w:p w14:paraId="54BD5D20"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вміст цукру (якщо це регламентується нормативними документами);</w:t>
            </w:r>
          </w:p>
          <w:p w14:paraId="7FAA6F23"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позначення нормативного документа (для продукції вітчизняного виробництва, призначеної для реалізації на території України).</w:t>
            </w:r>
          </w:p>
          <w:p w14:paraId="48767BBD"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lastRenderedPageBreak/>
              <w:t>Штриховий код повинен бути нанесений на видиму сторону етикетки, або контретикетки, або пляшки (іншого посуду).</w:t>
            </w:r>
          </w:p>
          <w:p w14:paraId="0475DC67"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sz w:val="28"/>
                <w:szCs w:val="28"/>
              </w:rPr>
              <w:t xml:space="preserve">На видимій стороні етикетки, або контретикетки, або корка, або пляшки (іншого посуду) виробу повинні бути зазначені дата виготовлення виробу, код суб'єкта господарювання (у тому числі іноземного суб’єкта господарювання, який діє через своє зареєстроване постійне представництво) </w:t>
            </w:r>
            <w:r>
              <w:rPr>
                <w:rFonts w:ascii="Times New Roman" w:hAnsi="Times New Roman" w:cs="Times New Roman"/>
                <w:b/>
                <w:sz w:val="28"/>
                <w:szCs w:val="28"/>
              </w:rPr>
              <w:t>та номер ліцензії на виробництво.</w:t>
            </w:r>
          </w:p>
          <w:p w14:paraId="38950D9F"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Розлив алкогольних напоїв, крім продукції, зазначеної у частині другій цієї статті, здійснюється виключно у передбачену діючими стандартами скляну тару, бляшанки із харчового алюмінію, а також у сувенірні пляшки та художньо оформлений посуд із скла чи глазурованої кераміки. Розлив алкогольних напоїв, крім продукції, зазначеної у частині другій цієї статті, з вмістом спирту етилового понад 8,5% об'ємних одиниць здійснюється виключно у тару (посуд) місткістю 0,05 л, 0,1 л, 0,18 л, 0,2 л, 0,25 л, 0,275 л, 0,33 л, 0,35 л, 0,37 л, 0,375 л, 0,4 л, 0,45 л, 0,5 л, 0,61 л, 0,7 л, 0,75 л, 1,0 л і більше.</w:t>
            </w:r>
          </w:p>
          <w:p w14:paraId="49385B10"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Продукція, призначена для експорту, розливається у тару та маркується згідно з умовами відповідної угоди на експорт.</w:t>
            </w:r>
          </w:p>
        </w:tc>
        <w:tc>
          <w:tcPr>
            <w:tcW w:w="2524" w:type="pct"/>
            <w:tcBorders>
              <w:top w:val="single" w:sz="4" w:space="0" w:color="auto"/>
              <w:left w:val="single" w:sz="4" w:space="0" w:color="auto"/>
              <w:bottom w:val="single" w:sz="4" w:space="0" w:color="auto"/>
              <w:right w:val="single" w:sz="4" w:space="0" w:color="auto"/>
            </w:tcBorders>
          </w:tcPr>
          <w:p w14:paraId="120A4789"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lastRenderedPageBreak/>
              <w:t xml:space="preserve">1. Маркування алкогольних напоїв (крім продукції, зазначеної у частині другій цієї статті), які реалізуються в Україні, здійснюється відповідно до Закону України "Про інформацію для споживачів щодо харчових продуктів" з </w:t>
            </w:r>
            <w:r>
              <w:rPr>
                <w:rFonts w:ascii="Times New Roman" w:hAnsi="Times New Roman" w:cs="Times New Roman"/>
                <w:sz w:val="28"/>
                <w:szCs w:val="28"/>
              </w:rPr>
              <w:lastRenderedPageBreak/>
              <w:t>урахуванням особливостей, встановлених цим Законом, та має містити таку інформацію:</w:t>
            </w:r>
          </w:p>
          <w:p w14:paraId="2F671AA1"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загальна та власна назви виробу;</w:t>
            </w:r>
          </w:p>
          <w:p w14:paraId="21754D62"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найменування та місцезнаходження оператора ринку харчових продуктів, відповідального за інформацію про алкогольний напій, а для імпортованих алкогольних напоїв - найменування та місцезнаходження імпортера (у разі зміни найменування виробника у зв’язку із зміною типу акціонерного товариства або у зв’язку з перетворенням акціонерного товариства в інше господарське товариство виробник має право зазначати на етикетці своє попереднє найменування протягом 18 місяців з дня зміни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14:paraId="2C26799A" w14:textId="77777777" w:rsidR="00421E75" w:rsidRDefault="00421E75" w:rsidP="00421E75">
            <w:pPr>
              <w:spacing w:after="0"/>
              <w:ind w:firstLine="734"/>
              <w:jc w:val="both"/>
              <w:rPr>
                <w:rFonts w:ascii="Times New Roman" w:hAnsi="Times New Roman" w:cs="Times New Roman"/>
                <w:sz w:val="28"/>
                <w:szCs w:val="28"/>
              </w:rPr>
            </w:pPr>
          </w:p>
          <w:p w14:paraId="5B13C9FB"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знак для товарів і послуг;</w:t>
            </w:r>
          </w:p>
          <w:p w14:paraId="21389580"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географічна назва місця виготовлення виробу, якщо найменування виробника не відображає місця розташування суб'єкта господарювання (у тому числі іноземного суб’єкта господарювання, який діє через своє зареєстроване постійне представництво);</w:t>
            </w:r>
          </w:p>
          <w:p w14:paraId="12CC17E2"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вміст спирту (% об.);</w:t>
            </w:r>
          </w:p>
          <w:p w14:paraId="3ABCFE69"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місткість посуду;</w:t>
            </w:r>
          </w:p>
          <w:p w14:paraId="7F78DCA8"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вміст цукру (якщо це регламентується нормативними документами);</w:t>
            </w:r>
          </w:p>
          <w:p w14:paraId="5AB6030E"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позначення нормативного документа (для продукції вітчизняного виробництва, призначеної для реалізації на території України).</w:t>
            </w:r>
          </w:p>
          <w:p w14:paraId="13A00AD4"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lastRenderedPageBreak/>
              <w:t>Штриховий код повинен бути нанесений на видиму сторону етикетки, або контретикетки, або пляшки (іншого посуду).</w:t>
            </w:r>
          </w:p>
          <w:p w14:paraId="7DCC1937"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 видимій стороні етикетки, або контретикетки, або корка, або пляшки (іншого посуду) виробу повинні бути зазначені дата виготовлення виробу, код суб'єкта господарювання (у тому числі іноземного суб’єкта господарювання, який діє через своє зареєстроване постійне представництво).</w:t>
            </w:r>
          </w:p>
          <w:p w14:paraId="19F047A5" w14:textId="77777777" w:rsidR="00421E75" w:rsidRDefault="00421E75" w:rsidP="00421E75">
            <w:pPr>
              <w:spacing w:after="0"/>
              <w:ind w:firstLine="734"/>
              <w:jc w:val="both"/>
              <w:rPr>
                <w:rFonts w:ascii="Times New Roman" w:hAnsi="Times New Roman" w:cs="Times New Roman"/>
                <w:sz w:val="28"/>
                <w:szCs w:val="28"/>
              </w:rPr>
            </w:pPr>
          </w:p>
          <w:p w14:paraId="31F957BD"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Розлив алкогольних напоїв, крім продукції, зазначеної у частині другій цієї статті, здійснюється виключно у передбачену діючими стандартами скляну тару, бляшанки із харчового алюмінію, а також у сувенірні пляшки та художньо оформлений посуд із скла чи глазурованої кераміки. Розлив алкогольних напоїв, крім продукції, зазначеної у частині другій цієї статті, з вмістом спирту етилового понад 8,5% об'ємних одиниць здійснюється виключно у тару (посуд) місткістю 0,05 л, 0,1 л, 0,18 л, 0,2 л, 0,25 л, 0,275 л, 0,33 л, 0,35 л, 0,37 л, 0,375 л, 0,4 л, 0,45 л, 0,5 л, 0,61 л, 0,7 л, 0,75 л, 1,0 л і більше.</w:t>
            </w:r>
          </w:p>
          <w:p w14:paraId="45A7BC7C"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Продукція, призначена для експорту, розливається у тару та маркується згідно з умовами відповідної угоди на експорт.</w:t>
            </w:r>
          </w:p>
        </w:tc>
      </w:tr>
      <w:tr w:rsidR="00421E75" w14:paraId="1C037A09" w14:textId="77777777" w:rsidTr="00421E75">
        <w:tc>
          <w:tcPr>
            <w:tcW w:w="2476" w:type="pct"/>
            <w:tcBorders>
              <w:top w:val="single" w:sz="4" w:space="0" w:color="auto"/>
              <w:left w:val="single" w:sz="4" w:space="0" w:color="auto"/>
              <w:bottom w:val="single" w:sz="4" w:space="0" w:color="auto"/>
              <w:right w:val="single" w:sz="4" w:space="0" w:color="auto"/>
            </w:tcBorders>
            <w:hideMark/>
          </w:tcPr>
          <w:p w14:paraId="6AEAE272"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lastRenderedPageBreak/>
              <w:t xml:space="preserve">2. Маркування виноробної продукції, </w:t>
            </w:r>
            <w:r>
              <w:rPr>
                <w:rFonts w:ascii="Times New Roman" w:hAnsi="Times New Roman" w:cs="Times New Roman"/>
                <w:b/>
                <w:sz w:val="28"/>
                <w:szCs w:val="28"/>
              </w:rPr>
              <w:t>у тому числі сидру і перрі (без додавання спирту)</w:t>
            </w:r>
            <w:r>
              <w:rPr>
                <w:rFonts w:ascii="Times New Roman" w:hAnsi="Times New Roman" w:cs="Times New Roman"/>
                <w:sz w:val="28"/>
                <w:szCs w:val="28"/>
              </w:rPr>
              <w:t xml:space="preserve">, зброджених напоїв, одержаних виключно в результаті природного (натурального) бродіння фруктових, ягідних та фруктово-ягідних соків, з вмістом спирту не більше 8,5 відсотка </w:t>
            </w:r>
            <w:r>
              <w:rPr>
                <w:rFonts w:ascii="Times New Roman" w:hAnsi="Times New Roman" w:cs="Times New Roman"/>
                <w:sz w:val="28"/>
                <w:szCs w:val="28"/>
              </w:rPr>
              <w:lastRenderedPageBreak/>
              <w:t xml:space="preserve">об’ємних одиниць (без додавання спирту), яка реалізується в Україні, здійснюється відповідно до Закону України "Про інформацію для споживачів щодо харчових продуктів" з урахуванням особливостей, встановлених цим Законом. Маркування виноробної продукції, </w:t>
            </w:r>
            <w:r>
              <w:rPr>
                <w:rFonts w:ascii="Times New Roman" w:hAnsi="Times New Roman" w:cs="Times New Roman"/>
                <w:b/>
                <w:sz w:val="28"/>
                <w:szCs w:val="28"/>
              </w:rPr>
              <w:t>у тому числі сидру і перрі (без додавання спирту)</w:t>
            </w:r>
            <w:r>
              <w:rPr>
                <w:rFonts w:ascii="Times New Roman" w:hAnsi="Times New Roman" w:cs="Times New Roman"/>
                <w:sz w:val="28"/>
                <w:szCs w:val="28"/>
              </w:rPr>
              <w:t>, зброджених напоїв, одержаних виключно в результаті природного (натурального) бродіння фруктових, ягідних та фруктово-ягідних соків, з вмістом спирту не більше 8,5 відсотка об’ємних одиниць (без додавання спирту), яка реалізується в Україні, має містити таку інформацію:</w:t>
            </w:r>
          </w:p>
          <w:p w14:paraId="4FFE134B"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назва держави;</w:t>
            </w:r>
          </w:p>
          <w:p w14:paraId="61370307"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найменування та місцезнаходження оператора ринку харчових продуктів, відповідального за надання інформації про алкогольний напій, а для імпортованих алкогольних напоїв - найменування та місцезнаходження імпортера (у разі зміни найменування виробника у зв’язку із зміною типу акціонерного товариства або у зв’язку з перетворенням акціонерного товариства в інше господарське товариство виробник має право зазначати на етикетці своє попереднє найменування протягом 18 місяців з дня зміни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14:paraId="167C1B22"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знак для товарів і послуг;</w:t>
            </w:r>
          </w:p>
          <w:p w14:paraId="322996EF"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назва продукції;</w:t>
            </w:r>
          </w:p>
          <w:p w14:paraId="00900F6B"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місткість посуду;</w:t>
            </w:r>
          </w:p>
          <w:p w14:paraId="31AC1F03"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вміст спирту (% об.);</w:t>
            </w:r>
          </w:p>
          <w:p w14:paraId="332E9733"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lastRenderedPageBreak/>
              <w:t>вміст цукру (крім сухих вин, шампанського, ігристого вина та коньяку) (% мас.);</w:t>
            </w:r>
          </w:p>
          <w:p w14:paraId="1D6B4E18"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позначення нормативного документа (для продукції вітчизняного виробництва, призначеної для реалізації на території України);</w:t>
            </w:r>
          </w:p>
          <w:p w14:paraId="389FA049"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наявність ароматизаторів, барвників (при їх використанні).</w:t>
            </w:r>
          </w:p>
          <w:p w14:paraId="5ED4DD22"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Штриховий код повинен бути нанесений на видиму сторону етикетки, або контретикетки, або пляшки (іншого посуду). Дата виготовлення продукції повинна бути зазначена на видимій стороні етикетки, або контретикетки, або корка, або пляшки (іншого посуду).</w:t>
            </w:r>
          </w:p>
          <w:p w14:paraId="273443F6"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Термін витримки для марочних вин та позначення "Марочне", вік коньячних спиртів для марочних коньяків і коньяків спеціальних назв наводяться на кольєретці.</w:t>
            </w:r>
          </w:p>
          <w:p w14:paraId="1B1FE958"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 пляшках з колекційними винами та коньяками наклеюються додаткові ярлики із зазначенням "Колекційне (колекційний), додатково витримане (витриманий) в колекції ____ років".</w:t>
            </w:r>
          </w:p>
          <w:p w14:paraId="3247988E"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 шийку пляшки з колекційним вином наклеюється кольєретка із зазначенням року врожаю винограду, з якого виготовлено вино.</w:t>
            </w:r>
          </w:p>
          <w:p w14:paraId="7FB45347"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 пляшці з вермутом повинна бути контретикетка або додаткова етикетка, на якій наводяться дані про основний склад компонентів напою і погоджені з центральним органом виконавчої влади, що реалізує державну політику у сфері охорони здоров'я, рекомендації щодо вживання напою.</w:t>
            </w:r>
          </w:p>
          <w:p w14:paraId="43EBC6E0"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lastRenderedPageBreak/>
              <w:t>На пляшки з усіма видами виноробної продукції можуть наклеюватися контретикетки, які містять додаткову інформацію про напої.</w:t>
            </w:r>
          </w:p>
          <w:p w14:paraId="4739516C"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 xml:space="preserve">Розлив виноробної продукції </w:t>
            </w:r>
            <w:r>
              <w:rPr>
                <w:rFonts w:ascii="Times New Roman" w:hAnsi="Times New Roman" w:cs="Times New Roman"/>
                <w:b/>
                <w:sz w:val="28"/>
                <w:szCs w:val="28"/>
              </w:rPr>
              <w:t>(крім сидру і перрі (без додання спирту)</w:t>
            </w:r>
            <w:r>
              <w:rPr>
                <w:rFonts w:ascii="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виключно у передбачену діючими стандартами скляну тару, а також у сувенірні пляшки та художньо оформлений посуд із скла, глазурованої кераміки або дерева, упаковку типу "Tetra-Pak" і "Bag in box". Розлив виноробної продукції </w:t>
            </w:r>
            <w:r>
              <w:rPr>
                <w:rFonts w:ascii="Times New Roman" w:hAnsi="Times New Roman" w:cs="Times New Roman"/>
                <w:b/>
                <w:sz w:val="28"/>
                <w:szCs w:val="28"/>
              </w:rPr>
              <w:t>(крім сидру і перрі (без додання спирту)</w:t>
            </w:r>
            <w:r>
              <w:rPr>
                <w:rFonts w:ascii="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виключно у тару (посуд) місткістю 0,05 л, 0,1 л, 0,2 л, 0,25 л, 0,275 л, 0,35 л, 0,375 л, 0,4 л, 0,45 л, 0,5 л, 0,61 л, 0,68 л, 0,7 л, 0,75 л, 0,8 л, 1,0 л і більше. Розлив вин сухих і з доданням спирту (виноматеріалів оброблених) виноградних ординарних і марочних здійснюється також у тару (посуд) місткістю від 50 до 600 л, виготовлену із матеріалів, дозволених до контакту з алкогольними напоями, і у такому випадку передбачені цією статтею вимоги щодо маркування виноробної продукції </w:t>
            </w:r>
            <w:r>
              <w:rPr>
                <w:rFonts w:ascii="Times New Roman" w:hAnsi="Times New Roman" w:cs="Times New Roman"/>
                <w:b/>
                <w:sz w:val="28"/>
                <w:szCs w:val="28"/>
              </w:rPr>
              <w:t>(крім сидру і перрі (без додання спирту),</w:t>
            </w:r>
            <w:r>
              <w:rPr>
                <w:rFonts w:ascii="Times New Roman" w:hAnsi="Times New Roman" w:cs="Times New Roman"/>
                <w:sz w:val="28"/>
                <w:szCs w:val="28"/>
              </w:rPr>
              <w:t xml:space="preserve"> зброджених напоїв, одержаних виключно в результаті природнього </w:t>
            </w:r>
            <w:r>
              <w:rPr>
                <w:rFonts w:ascii="Times New Roman" w:hAnsi="Times New Roman" w:cs="Times New Roman"/>
                <w:sz w:val="28"/>
                <w:szCs w:val="28"/>
              </w:rPr>
              <w:lastRenderedPageBreak/>
              <w:t>(натурального) бродіння фруктових, ягідних та фруктово-ягідних соків, з вмістом спирту не більше 8,5 відсотка об’ємних одиниць (без додання спирту) не застосовуються.</w:t>
            </w:r>
          </w:p>
          <w:p w14:paraId="7CF57219"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 xml:space="preserve">Розлив </w:t>
            </w:r>
            <w:r>
              <w:rPr>
                <w:rFonts w:ascii="Times New Roman" w:hAnsi="Times New Roman" w:cs="Times New Roman"/>
                <w:b/>
                <w:sz w:val="28"/>
                <w:szCs w:val="28"/>
              </w:rPr>
              <w:t>сидру і перрі (без додання спирту),</w:t>
            </w:r>
            <w:r>
              <w:rPr>
                <w:rFonts w:ascii="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виключно у передбачену діючими стандартами скляну тару, а також металеві банки із харчового алюмінію, полімерні пляшки марки ПЕТФ, сувенірні пляшки та художньо оформлений посуд із скла, глазурованої кераміки або дерева, упаковку типу "Тetra-Pak" і "Bag in box". Розлив </w:t>
            </w:r>
            <w:r>
              <w:rPr>
                <w:rFonts w:ascii="Times New Roman" w:hAnsi="Times New Roman" w:cs="Times New Roman"/>
                <w:b/>
                <w:sz w:val="28"/>
                <w:szCs w:val="28"/>
              </w:rPr>
              <w:t>сидру і перрі (без додання спирту)</w:t>
            </w:r>
            <w:r>
              <w:rPr>
                <w:rFonts w:ascii="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у тару (посуд) місткістю 0,05 л, 0,1 л, 0,2 л, 0,25 л, 0,275 л, 0,3 л, 0,33 л, 0,35 л, 0,375 л, 0,4 л, 0,45 л, 0,5 л, 0,61 л, 0,68 л, 0,7 л, 0,75 л, 0,8 л, 1,0 л і більше, а також у тару (посуд) місткістю від 25 до 100 л, виготовлену із матеріалів, дозволених до контакту з алкогольними напоями, і у такому випадку передбачені цією статтею вимоги щодо маркування </w:t>
            </w:r>
            <w:r>
              <w:rPr>
                <w:rFonts w:ascii="Times New Roman" w:hAnsi="Times New Roman" w:cs="Times New Roman"/>
                <w:b/>
                <w:sz w:val="28"/>
                <w:szCs w:val="28"/>
              </w:rPr>
              <w:t>сидру і перрі (без додання спирту)</w:t>
            </w:r>
            <w:r>
              <w:rPr>
                <w:rFonts w:ascii="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w:t>
            </w:r>
            <w:r>
              <w:rPr>
                <w:rFonts w:ascii="Times New Roman" w:hAnsi="Times New Roman" w:cs="Times New Roman"/>
                <w:sz w:val="28"/>
                <w:szCs w:val="28"/>
              </w:rPr>
              <w:lastRenderedPageBreak/>
              <w:t>вмістом спирту не більше 8,5 відсотка об’ємних одиниць (без додання спирту) не застосовуються.</w:t>
            </w:r>
          </w:p>
          <w:p w14:paraId="6F272F6D"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Розлив пива здійснюється виключно у передбачені діючими стандартами скляну тару, металеві банки із харчового алюмінію, полімерні пляшки ПЕТФ, сувенірні пляшки та художньо оформлений посуд із скла, глазурованої кераміки, а також у алюмінієві бочки, бочки із нержавіючої сталі (кеги) та інші види тари згідно з чинною нормативною документацією.</w:t>
            </w:r>
          </w:p>
          <w:p w14:paraId="4D535CA9"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Продукція, призначена для експорту, розливається у тару та маркується згідно з умовами відповідної угоди на експорт.</w:t>
            </w:r>
          </w:p>
        </w:tc>
        <w:tc>
          <w:tcPr>
            <w:tcW w:w="2524" w:type="pct"/>
            <w:tcBorders>
              <w:top w:val="single" w:sz="4" w:space="0" w:color="auto"/>
              <w:left w:val="single" w:sz="4" w:space="0" w:color="auto"/>
              <w:bottom w:val="single" w:sz="4" w:space="0" w:color="auto"/>
              <w:right w:val="single" w:sz="4" w:space="0" w:color="auto"/>
            </w:tcBorders>
          </w:tcPr>
          <w:p w14:paraId="1216A72C"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lastRenderedPageBreak/>
              <w:t xml:space="preserve">2. Маркування виноробної продукції, зброджених напоїв, одержаних виключно в результаті природного (натурального) бродіння фруктових, ягідних та фруктово-ягідних соків, з вмістом спирту не більше 8,5 відсотка об’ємних одиниць (без додавання спирту), яка реалізується </w:t>
            </w:r>
            <w:r>
              <w:rPr>
                <w:rFonts w:ascii="Times New Roman" w:hAnsi="Times New Roman" w:cs="Times New Roman"/>
                <w:sz w:val="28"/>
                <w:szCs w:val="28"/>
              </w:rPr>
              <w:lastRenderedPageBreak/>
              <w:t>в Україні, здійснюється відповідно до Закону України "Про інформацію для споживачів щодо харчових продуктів" з урахуванням особливостей, встановлених цим Законом. Маркування виноробної продукції, зброджених напоїв, одержаних виключно в результаті природного (натурального) бродіння фруктових, ягідних та фруктово-ягідних соків, з вмістом спирту не більше 8,5 відсотка об’ємних одиниць (без додавання спирту), яка реалізується в Україні, має містити таку інформацію:</w:t>
            </w:r>
          </w:p>
          <w:p w14:paraId="0A180C6B" w14:textId="77777777" w:rsidR="00421E75" w:rsidRDefault="00421E75" w:rsidP="00421E75">
            <w:pPr>
              <w:spacing w:after="0"/>
              <w:ind w:firstLine="734"/>
              <w:jc w:val="both"/>
              <w:rPr>
                <w:rFonts w:ascii="Times New Roman" w:hAnsi="Times New Roman" w:cs="Times New Roman"/>
                <w:sz w:val="28"/>
                <w:szCs w:val="28"/>
              </w:rPr>
            </w:pPr>
          </w:p>
          <w:p w14:paraId="57A118A5"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назва держави;</w:t>
            </w:r>
          </w:p>
          <w:p w14:paraId="5A3B5F7C"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найменування та місцезнаходження оператора ринку харчових продуктів, відповідального за надання інформації про алкогольний напій, а для імпортованих алкогольних напоїв - найменування та місцезнаходження імпортера (у разі зміни найменування виробника у зв’язку із зміною типу акціонерного товариства або у зв’язку з перетворенням акціонерного товариства в інше господарське товариство виробник має право зазначати на етикетці своє попереднє найменування протягом 18 місяців з дня зміни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14:paraId="32CB0751"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знак для товарів і послуг;</w:t>
            </w:r>
          </w:p>
          <w:p w14:paraId="31E47E27"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назва продукції;</w:t>
            </w:r>
          </w:p>
          <w:p w14:paraId="25C85BD6"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місткість посуду;</w:t>
            </w:r>
          </w:p>
          <w:p w14:paraId="1277E707"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вміст спирту (% об.);</w:t>
            </w:r>
          </w:p>
          <w:p w14:paraId="1CE6B98F"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вміст цукру (крім сухих вин, шампанського, ігристого вина та коньяку) (% мас.);</w:t>
            </w:r>
          </w:p>
          <w:p w14:paraId="5A695766"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lastRenderedPageBreak/>
              <w:t>позначення нормативного документа (для продукції вітчизняного виробництва, призначеної для реалізації на території України);</w:t>
            </w:r>
          </w:p>
          <w:p w14:paraId="164AC397"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наявність ароматизаторів, барвників (при їх використанні).</w:t>
            </w:r>
          </w:p>
          <w:p w14:paraId="4D3E4209"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Штриховий код повинен бути нанесений на видиму сторону етикетки, або контретикетки, або пляшки (іншого посуду). Дата виготовлення продукції повинна бути зазначена на видимій стороні етикетки, або контретикетки, або корка, або пляшки (іншого посуду).</w:t>
            </w:r>
          </w:p>
          <w:p w14:paraId="6878265D"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Термін витримки для марочних вин та позначення "Марочне", вік коньячних спиртів для марочних коньяків і коньяків спеціальних назв наводяться на кольєретці.</w:t>
            </w:r>
          </w:p>
          <w:p w14:paraId="6464A87B"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 пляшках з колекційними винами та коньяками наклеюються додаткові ярлики із зазначенням "Колекційне (колекційний), додатково витримане (витриманий) в колекції ____ років".</w:t>
            </w:r>
          </w:p>
          <w:p w14:paraId="04A069B4"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 шийку пляшки з колекційним вином наклеюється кольєретка із зазначенням року врожаю винограду, з якого виготовлено вино.</w:t>
            </w:r>
          </w:p>
          <w:p w14:paraId="1903CAE7"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 пляшці з вермутом повинна бути контретикетка або додаткова етикетка, на якій наводяться дані про основний склад компонентів напою і погоджені з центральним органом виконавчої влади, що реалізує державну політику у сфері охорони здоров'я, рекомендації щодо вживання напою.</w:t>
            </w:r>
          </w:p>
          <w:p w14:paraId="418BAF59"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На пляшки з усіма видами виноробної продукції можуть наклеюватися контретикетки, які містять додаткову інформацію про напої.</w:t>
            </w:r>
          </w:p>
          <w:p w14:paraId="26D2C259"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lastRenderedPageBreak/>
              <w:t>Розлив виноробної продукції</w:t>
            </w:r>
            <w:r>
              <w:rPr>
                <w:rFonts w:ascii="Times New Roman" w:hAnsi="Times New Roman" w:cs="Times New Roman"/>
                <w:b/>
                <w:strike/>
                <w:sz w:val="28"/>
                <w:szCs w:val="28"/>
              </w:rPr>
              <w:t>,</w:t>
            </w:r>
            <w:r>
              <w:rPr>
                <w:rFonts w:ascii="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виключно у передбачену діючими стандартами скляну тару, а також у сувенірні пляшки та художньо оформлений посуд із скла, глазурованої кераміки або дерева, упаковку типу "Tetra-Pak" і "Bag in box". Розлив виноробної продукції,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виключно у тару (посуд) місткістю 0,05 л, 0,1 л, 0,2 л, 0,25 л, 0,275 л, 0,35 л, 0,375 л, 0,4 л, 0,45 л, 0,5 л, 0,61 л, 0,68 л, 0,7 л, 0,75 л, 0,8 л, 1,0 л і більше. Розлив вин сухих і з доданням спирту (виноматеріалів оброблених) виноградних ординарних і марочних здійснюється також у тару (посуд) місткістю від 50 до 600 л, виготовлену із матеріалів, дозволених до контакту з алкогольними напоями, і у такому випадку передбачені цією статтею вимоги щодо маркування виноробної продукції</w:t>
            </w:r>
            <w:r>
              <w:rPr>
                <w:rFonts w:ascii="Times New Roman" w:hAnsi="Times New Roman" w:cs="Times New Roman"/>
                <w:b/>
                <w:strike/>
                <w:sz w:val="28"/>
                <w:szCs w:val="28"/>
              </w:rPr>
              <w:t>,</w:t>
            </w:r>
            <w:r>
              <w:rPr>
                <w:rFonts w:ascii="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не застосовуються.</w:t>
            </w:r>
          </w:p>
          <w:p w14:paraId="7E76A213" w14:textId="77777777" w:rsidR="00421E75" w:rsidRDefault="00421E75" w:rsidP="00421E75">
            <w:pPr>
              <w:spacing w:after="0"/>
              <w:ind w:firstLine="734"/>
              <w:jc w:val="both"/>
              <w:rPr>
                <w:rFonts w:ascii="Times New Roman" w:hAnsi="Times New Roman" w:cs="Times New Roman"/>
                <w:sz w:val="28"/>
                <w:szCs w:val="28"/>
              </w:rPr>
            </w:pPr>
          </w:p>
          <w:p w14:paraId="2834B9A0" w14:textId="77777777" w:rsidR="00421E75" w:rsidRDefault="00421E75" w:rsidP="00421E75">
            <w:pPr>
              <w:spacing w:after="0"/>
              <w:ind w:firstLine="734"/>
              <w:jc w:val="both"/>
              <w:rPr>
                <w:rFonts w:ascii="Times New Roman" w:hAnsi="Times New Roman" w:cs="Times New Roman"/>
                <w:sz w:val="28"/>
                <w:szCs w:val="28"/>
              </w:rPr>
            </w:pPr>
          </w:p>
          <w:p w14:paraId="09C1F962"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lastRenderedPageBreak/>
              <w:t>Розлив</w:t>
            </w:r>
            <w:r>
              <w:rPr>
                <w:rFonts w:ascii="Times New Roman" w:hAnsi="Times New Roman" w:cs="Times New Roman"/>
                <w:b/>
                <w:strike/>
                <w:sz w:val="28"/>
                <w:szCs w:val="28"/>
              </w:rPr>
              <w:t>,</w:t>
            </w:r>
            <w:r>
              <w:rPr>
                <w:rFonts w:ascii="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виключно у передбачену діючими стандартами скляну тару, а також металеві банки із харчового алюмінію, полімерні пляшки марки ПЕТФ, сувенірні пляшки та художньо оформлений посуд із скла, глазурованої кераміки або дерева, упаковку типу "Тetra-Pak" і "Bag in box". Розлив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у тару (посуд) місткістю 0,05 л, 0,1 л, 0,2 л, 0,25 л, 0,275 л, 0,3 л, 0,33 л, 0,35 л, 0,375 л, 0,4 л, 0,45 л, 0,5 л, 0,61 л, 0,68 л, 0,7 л, 0,75 л, 0,8 л, 1,0 л і більше, а також у тару (посуд) місткістю від 25 до 100 л, виготовлену із матеріалів, дозволених до контакту з алкогольними напоями, і у такому випадку передбачені цією статтею вимоги щодо маркування,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не застосовуються.</w:t>
            </w:r>
          </w:p>
          <w:p w14:paraId="7188D84D" w14:textId="77777777" w:rsidR="00421E75" w:rsidRDefault="00421E75" w:rsidP="00421E75">
            <w:pPr>
              <w:spacing w:after="0"/>
              <w:ind w:firstLine="734"/>
              <w:jc w:val="both"/>
              <w:rPr>
                <w:rFonts w:ascii="Times New Roman" w:hAnsi="Times New Roman" w:cs="Times New Roman"/>
                <w:b/>
                <w:bCs/>
                <w:sz w:val="28"/>
                <w:szCs w:val="28"/>
              </w:rPr>
            </w:pPr>
          </w:p>
          <w:p w14:paraId="29DEE88D" w14:textId="77777777" w:rsidR="00421E75" w:rsidRDefault="00421E75" w:rsidP="00421E75">
            <w:pPr>
              <w:spacing w:after="0"/>
              <w:ind w:firstLine="734"/>
              <w:jc w:val="both"/>
              <w:rPr>
                <w:rFonts w:ascii="Times New Roman" w:hAnsi="Times New Roman" w:cs="Times New Roman"/>
                <w:b/>
                <w:bCs/>
                <w:sz w:val="28"/>
                <w:szCs w:val="28"/>
              </w:rPr>
            </w:pPr>
          </w:p>
          <w:p w14:paraId="678C3652" w14:textId="77777777" w:rsidR="00421E75" w:rsidRDefault="00421E75" w:rsidP="00421E75">
            <w:pPr>
              <w:spacing w:after="0"/>
              <w:jc w:val="both"/>
              <w:rPr>
                <w:rFonts w:ascii="Times New Roman" w:hAnsi="Times New Roman" w:cs="Times New Roman"/>
                <w:b/>
                <w:bCs/>
                <w:sz w:val="28"/>
                <w:szCs w:val="28"/>
              </w:rPr>
            </w:pPr>
          </w:p>
          <w:p w14:paraId="090CE479" w14:textId="77777777" w:rsidR="00421E75" w:rsidRDefault="00421E75" w:rsidP="00421E75">
            <w:pPr>
              <w:spacing w:after="0"/>
              <w:jc w:val="both"/>
              <w:rPr>
                <w:rFonts w:ascii="Times New Roman" w:hAnsi="Times New Roman" w:cs="Times New Roman"/>
                <w:b/>
                <w:bCs/>
                <w:sz w:val="28"/>
                <w:szCs w:val="28"/>
              </w:rPr>
            </w:pPr>
          </w:p>
          <w:p w14:paraId="4EA5B306" w14:textId="77777777" w:rsidR="00421E75" w:rsidRDefault="00421E75" w:rsidP="00421E75">
            <w:pPr>
              <w:spacing w:after="0"/>
              <w:jc w:val="both"/>
              <w:rPr>
                <w:rFonts w:ascii="Times New Roman" w:hAnsi="Times New Roman" w:cs="Times New Roman"/>
                <w:b/>
                <w:bCs/>
                <w:sz w:val="28"/>
                <w:szCs w:val="28"/>
              </w:rPr>
            </w:pPr>
          </w:p>
          <w:p w14:paraId="45D1C871" w14:textId="77777777" w:rsidR="00421E75" w:rsidRDefault="00421E75" w:rsidP="00421E75">
            <w:pPr>
              <w:spacing w:after="0"/>
              <w:jc w:val="both"/>
              <w:rPr>
                <w:rFonts w:ascii="Times New Roman" w:hAnsi="Times New Roman" w:cs="Times New Roman"/>
                <w:b/>
                <w:bCs/>
                <w:sz w:val="28"/>
                <w:szCs w:val="28"/>
              </w:rPr>
            </w:pPr>
            <w:r>
              <w:rPr>
                <w:rFonts w:ascii="Times New Roman" w:hAnsi="Times New Roman" w:cs="Times New Roman"/>
                <w:b/>
                <w:bCs/>
                <w:sz w:val="28"/>
                <w:szCs w:val="28"/>
              </w:rPr>
              <w:lastRenderedPageBreak/>
              <w:t>Виключено</w:t>
            </w:r>
          </w:p>
        </w:tc>
      </w:tr>
      <w:tr w:rsidR="00421E75" w14:paraId="5C9B8425" w14:textId="77777777" w:rsidTr="00421E75">
        <w:tc>
          <w:tcPr>
            <w:tcW w:w="2476" w:type="pct"/>
            <w:tcBorders>
              <w:top w:val="single" w:sz="4" w:space="0" w:color="auto"/>
              <w:left w:val="single" w:sz="4" w:space="0" w:color="auto"/>
              <w:bottom w:val="single" w:sz="4" w:space="0" w:color="auto"/>
              <w:right w:val="single" w:sz="4" w:space="0" w:color="auto"/>
            </w:tcBorders>
          </w:tcPr>
          <w:p w14:paraId="4C6D5CB9" w14:textId="77777777" w:rsidR="00421E75" w:rsidRDefault="00421E75" w:rsidP="00421E75">
            <w:pPr>
              <w:spacing w:after="0"/>
              <w:ind w:firstLine="734"/>
              <w:jc w:val="both"/>
              <w:rPr>
                <w:rFonts w:ascii="Times New Roman" w:hAnsi="Times New Roman" w:cs="Times New Roman"/>
                <w:sz w:val="28"/>
                <w:szCs w:val="28"/>
              </w:rPr>
            </w:pPr>
          </w:p>
        </w:tc>
        <w:tc>
          <w:tcPr>
            <w:tcW w:w="2524" w:type="pct"/>
            <w:tcBorders>
              <w:top w:val="single" w:sz="4" w:space="0" w:color="auto"/>
              <w:left w:val="single" w:sz="4" w:space="0" w:color="auto"/>
              <w:bottom w:val="single" w:sz="4" w:space="0" w:color="auto"/>
              <w:right w:val="single" w:sz="4" w:space="0" w:color="auto"/>
            </w:tcBorders>
          </w:tcPr>
          <w:p w14:paraId="1A8AFA8E"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bCs/>
                <w:sz w:val="28"/>
                <w:szCs w:val="28"/>
              </w:rPr>
              <w:t>3.</w:t>
            </w:r>
            <w:r>
              <w:rPr>
                <w:rFonts w:ascii="Times New Roman" w:hAnsi="Times New Roman" w:cs="Times New Roman"/>
                <w:sz w:val="28"/>
                <w:szCs w:val="28"/>
              </w:rPr>
              <w:t xml:space="preserve"> </w:t>
            </w:r>
            <w:r>
              <w:rPr>
                <w:rFonts w:ascii="Times New Roman" w:hAnsi="Times New Roman" w:cs="Times New Roman"/>
                <w:b/>
                <w:bCs/>
                <w:sz w:val="28"/>
                <w:szCs w:val="28"/>
              </w:rPr>
              <w:t>Маркування пива</w:t>
            </w:r>
            <w:r>
              <w:rPr>
                <w:rFonts w:ascii="Times New Roman" w:hAnsi="Times New Roman" w:cs="Times New Roman"/>
                <w:b/>
                <w:sz w:val="28"/>
                <w:szCs w:val="28"/>
              </w:rPr>
              <w:t>, а також сидру і перрі (без додавання спирту), які реалізуються в Україні, має містити таку інформацію:</w:t>
            </w:r>
          </w:p>
          <w:p w14:paraId="60BAC8CA"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 xml:space="preserve">назва напою; </w:t>
            </w:r>
          </w:p>
          <w:p w14:paraId="78B5D7DA"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 xml:space="preserve">найменування та місцезнаходження оператора ринку харчових продуктів, відповідального за інформацію про алкогольний напій, а для імпортованих алкогольних напоїв - найменування та місцезнаходження імпортера (у разі зміни найменування виробника у зв’язку із зміною типу акціонерного товариства або у зв’язку з перетворенням акціонерного товариства в інше господарське товариство виробник має право зазначати на етикетці своє попереднє найменування протягом 18 місяців з дня зміни його найменування у зв’язку із зміною типу акціонерного </w:t>
            </w:r>
            <w:r>
              <w:rPr>
                <w:rFonts w:ascii="Times New Roman" w:hAnsi="Times New Roman" w:cs="Times New Roman"/>
                <w:b/>
                <w:sz w:val="28"/>
                <w:szCs w:val="28"/>
              </w:rPr>
              <w:lastRenderedPageBreak/>
              <w:t xml:space="preserve">товариства або у зв’язку з перетворенням акціонерного товариства в інше господарське товариство); </w:t>
            </w:r>
          </w:p>
          <w:p w14:paraId="7326CAAA"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знак для товарів і послуг (за наявності);</w:t>
            </w:r>
          </w:p>
          <w:p w14:paraId="3239E15B"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вміст спирту (% об.);</w:t>
            </w:r>
          </w:p>
          <w:p w14:paraId="718734CD"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 xml:space="preserve">кількість напою в установлених одиницях вимірювання; </w:t>
            </w:r>
          </w:p>
          <w:p w14:paraId="6B018705"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штриховий код;</w:t>
            </w:r>
          </w:p>
          <w:p w14:paraId="34A5B00C"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мінімальний термін придатності або дата «вжити до» або дата виробництва.</w:t>
            </w:r>
          </w:p>
          <w:p w14:paraId="535F7F1F" w14:textId="77777777" w:rsidR="00421E75" w:rsidRDefault="00421E75" w:rsidP="00421E75">
            <w:pPr>
              <w:spacing w:after="0"/>
              <w:ind w:firstLine="734"/>
              <w:jc w:val="both"/>
              <w:rPr>
                <w:rFonts w:ascii="Times New Roman" w:hAnsi="Times New Roman" w:cs="Times New Roman"/>
                <w:b/>
                <w:sz w:val="28"/>
                <w:szCs w:val="28"/>
              </w:rPr>
            </w:pPr>
          </w:p>
          <w:p w14:paraId="119C9C09" w14:textId="77777777" w:rsidR="00421E75" w:rsidRDefault="00421E75" w:rsidP="00421E75">
            <w:pPr>
              <w:spacing w:after="0"/>
              <w:ind w:firstLine="734"/>
              <w:jc w:val="both"/>
              <w:rPr>
                <w:rFonts w:ascii="Times New Roman" w:hAnsi="Times New Roman" w:cs="Times New Roman"/>
                <w:b/>
                <w:bCs/>
                <w:sz w:val="28"/>
                <w:szCs w:val="28"/>
              </w:rPr>
            </w:pPr>
            <w:r>
              <w:rPr>
                <w:rFonts w:ascii="Times New Roman" w:hAnsi="Times New Roman" w:cs="Times New Roman"/>
                <w:b/>
                <w:bCs/>
                <w:sz w:val="28"/>
                <w:szCs w:val="28"/>
              </w:rPr>
              <w:t>Розлив пива, а також сидру і перрі (без додання спирту), здійснюється у виготовлену із матеріалів, дозволених до контакту з алкогольними напоями скляну тару, металеві банки із харчового алюмінію, полімерні пляшки ПЕТФ, сувенірні пляшки та художньо оформлений посуд із скла, глазурованої кераміки, а також у алюмінієві бочки та бочки із нержавіючої сталі (кеги) та інші види тари, дозволені до контакту з алкогольними напоями.</w:t>
            </w:r>
          </w:p>
          <w:p w14:paraId="401ABB98" w14:textId="77777777" w:rsidR="00421E75" w:rsidRDefault="00421E75" w:rsidP="00421E75">
            <w:pPr>
              <w:spacing w:after="0"/>
              <w:ind w:firstLine="734"/>
              <w:jc w:val="both"/>
              <w:rPr>
                <w:rFonts w:ascii="Times New Roman" w:hAnsi="Times New Roman" w:cs="Times New Roman"/>
                <w:b/>
                <w:bCs/>
                <w:sz w:val="28"/>
                <w:szCs w:val="28"/>
              </w:rPr>
            </w:pPr>
            <w:r>
              <w:rPr>
                <w:rFonts w:ascii="Times New Roman" w:hAnsi="Times New Roman" w:cs="Times New Roman"/>
                <w:b/>
                <w:sz w:val="28"/>
                <w:szCs w:val="28"/>
              </w:rPr>
              <w:t>У зв’язку з цим, частину третю та четверту вважати відповідно частинами четвертою та п’ятою.</w:t>
            </w:r>
          </w:p>
        </w:tc>
      </w:tr>
      <w:tr w:rsidR="00421E75" w14:paraId="43EB38DD" w14:textId="77777777" w:rsidTr="00421E75">
        <w:tc>
          <w:tcPr>
            <w:tcW w:w="2476" w:type="pct"/>
            <w:tcBorders>
              <w:top w:val="single" w:sz="4" w:space="0" w:color="auto"/>
              <w:left w:val="single" w:sz="4" w:space="0" w:color="auto"/>
              <w:bottom w:val="single" w:sz="4" w:space="0" w:color="auto"/>
              <w:right w:val="single" w:sz="4" w:space="0" w:color="auto"/>
            </w:tcBorders>
          </w:tcPr>
          <w:p w14:paraId="552955AF"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lastRenderedPageBreak/>
              <w:t>3. Маркування тютюнових виробів, які реалізуються в Україні, здійснюється таким чином:</w:t>
            </w:r>
          </w:p>
          <w:p w14:paraId="2DC8F70A"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w:t>
            </w:r>
          </w:p>
          <w:p w14:paraId="11B9F3A8" w14:textId="77777777" w:rsidR="00421E75" w:rsidRDefault="00421E75" w:rsidP="00421E75">
            <w:pPr>
              <w:spacing w:after="0"/>
              <w:ind w:firstLine="734"/>
              <w:jc w:val="both"/>
              <w:rPr>
                <w:rFonts w:ascii="Times New Roman" w:hAnsi="Times New Roman" w:cs="Times New Roman"/>
                <w:b/>
                <w:sz w:val="28"/>
                <w:szCs w:val="28"/>
              </w:rPr>
            </w:pPr>
          </w:p>
        </w:tc>
        <w:tc>
          <w:tcPr>
            <w:tcW w:w="2524" w:type="pct"/>
            <w:tcBorders>
              <w:top w:val="single" w:sz="4" w:space="0" w:color="auto"/>
              <w:left w:val="single" w:sz="4" w:space="0" w:color="auto"/>
              <w:bottom w:val="single" w:sz="4" w:space="0" w:color="auto"/>
              <w:right w:val="single" w:sz="4" w:space="0" w:color="auto"/>
            </w:tcBorders>
          </w:tcPr>
          <w:p w14:paraId="25C53047"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b/>
                <w:sz w:val="28"/>
                <w:szCs w:val="28"/>
              </w:rPr>
              <w:t>4.</w:t>
            </w:r>
            <w:r>
              <w:rPr>
                <w:rFonts w:ascii="Times New Roman" w:hAnsi="Times New Roman" w:cs="Times New Roman"/>
                <w:sz w:val="28"/>
                <w:szCs w:val="28"/>
              </w:rPr>
              <w:t xml:space="preserve"> Маркування тютюнових виробів, які реалізуються в Україні, здійснюється таким чином:</w:t>
            </w:r>
          </w:p>
          <w:p w14:paraId="18D9C8C5"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w:t>
            </w:r>
          </w:p>
          <w:p w14:paraId="75F7F126" w14:textId="77777777" w:rsidR="00421E75" w:rsidRDefault="00421E75" w:rsidP="00421E75">
            <w:pPr>
              <w:spacing w:after="0"/>
              <w:ind w:firstLine="734"/>
              <w:jc w:val="both"/>
              <w:rPr>
                <w:rFonts w:ascii="Times New Roman" w:hAnsi="Times New Roman" w:cs="Times New Roman"/>
                <w:b/>
                <w:sz w:val="28"/>
                <w:szCs w:val="28"/>
              </w:rPr>
            </w:pPr>
          </w:p>
        </w:tc>
      </w:tr>
      <w:tr w:rsidR="00421E75" w14:paraId="3D085233" w14:textId="77777777" w:rsidTr="00421E75">
        <w:tc>
          <w:tcPr>
            <w:tcW w:w="2476" w:type="pct"/>
            <w:tcBorders>
              <w:top w:val="single" w:sz="4" w:space="0" w:color="auto"/>
              <w:left w:val="single" w:sz="4" w:space="0" w:color="auto"/>
              <w:bottom w:val="single" w:sz="4" w:space="0" w:color="auto"/>
              <w:right w:val="single" w:sz="4" w:space="0" w:color="auto"/>
            </w:tcBorders>
            <w:hideMark/>
          </w:tcPr>
          <w:p w14:paraId="31F14C14"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 xml:space="preserve">4. Виробник може наносити на етикетки додаткову інформацію щодо характеристики продукту. При цьому виробникам тютюнових виробів забороняється наносити на етикетки інформацію, яка може вводити в оману або </w:t>
            </w:r>
            <w:r>
              <w:rPr>
                <w:rFonts w:ascii="Times New Roman" w:hAnsi="Times New Roman" w:cs="Times New Roman"/>
                <w:sz w:val="28"/>
                <w:szCs w:val="28"/>
              </w:rPr>
              <w:lastRenderedPageBreak/>
              <w:t>створювати неправильне враження щодо характеристик тютюнових виробів, їх впливу на здоров'я, включаючи будь-який термін, напис, торговельну марку, зображення, символічний або будь-який інший знак, що прямо чи опосередковано створює помилкове враження про те, що визначений тютюновий виріб є менш шкідливим, ніж інші тютюнові вироби, у тому числі включати такі терміни, як "із низьким вмістом смол", "легкі", "супер легкі", "ультра легкі" та їх аналоги іншими мовами.</w:t>
            </w:r>
          </w:p>
          <w:p w14:paraId="11007449"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Етикеточна продукція розробляється товаровиробником алкогольних та тютюнових виробів і повинна відповідати вимогам чинного законодавства про мови (крім додаткової інформації щодо характеристик продукту), не потребує додаткових узгоджень, є промисловою власністю виробника та захищається згідно з чинним законодавством про промислову (інтелектуальну) власність. Власні назви алкогольних напоїв та тютюнових виробів визначаються їх виробниками і можуть відтворювати зареєстрований чи поданий на реєстрацію знак для товарів і послуг або бути його частиною.</w:t>
            </w:r>
          </w:p>
          <w:p w14:paraId="5979BFE7"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Алкогольні напої та тютюнові вироби, які виробляються в Україні, а також такі, що імпортуються в Україну, позначаються марками акцизного податку в порядку, визначеному законодавством.</w:t>
            </w:r>
          </w:p>
          <w:p w14:paraId="2EC3E147"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 xml:space="preserve">У разі зміни зразка марок акцизного податку вже закуплені марки попереднього зразка застосовуються у виробництві алкогольних напоїв та тютюнових виробів до їх повного використання, а марковані такими марками </w:t>
            </w:r>
            <w:r>
              <w:rPr>
                <w:rFonts w:ascii="Times New Roman" w:hAnsi="Times New Roman" w:cs="Times New Roman"/>
                <w:sz w:val="28"/>
                <w:szCs w:val="28"/>
              </w:rPr>
              <w:lastRenderedPageBreak/>
              <w:t>алкогольні напої та тютюнові вироби знаходяться в обігу до їх повної реалізації в межах терміну придатності для споживання.</w:t>
            </w:r>
          </w:p>
          <w:p w14:paraId="2BA62AE6"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Зміни до цієї статті набирають чинності не раніше ніж через 24 місяці з дня опублікування закону про внесення відповідних змін.</w:t>
            </w:r>
          </w:p>
          <w:p w14:paraId="20C885AF"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При цьому алкогольні напої та тютюнові вироби, вироблені в Україні або імпортовані в Україну до набрання чинності внесеними відповідним законом змінами щодо маркування, знаходяться в обігу до їх повної реалізації в межах терміну придатності для споживання.</w:t>
            </w:r>
          </w:p>
          <w:p w14:paraId="47BD5308"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b/>
                <w:sz w:val="28"/>
                <w:szCs w:val="28"/>
              </w:rPr>
              <w:t>Норма відсутня</w:t>
            </w:r>
          </w:p>
          <w:p w14:paraId="4527262F" w14:textId="77777777" w:rsidR="00421E75" w:rsidRDefault="00421E75" w:rsidP="00421E75">
            <w:pPr>
              <w:spacing w:after="0"/>
              <w:jc w:val="both"/>
              <w:rPr>
                <w:rFonts w:ascii="Times New Roman" w:hAnsi="Times New Roman" w:cs="Times New Roman"/>
                <w:sz w:val="28"/>
                <w:szCs w:val="28"/>
              </w:rPr>
            </w:pPr>
            <w:r>
              <w:rPr>
                <w:rFonts w:ascii="Times New Roman" w:hAnsi="Times New Roman" w:cs="Times New Roman"/>
                <w:sz w:val="28"/>
                <w:szCs w:val="28"/>
              </w:rPr>
              <w:t>Встановлені цією статтею вимоги до місткості тари (посуду) не застосовуються до алкогольних напоїв імпортного виробництва.</w:t>
            </w:r>
          </w:p>
        </w:tc>
        <w:tc>
          <w:tcPr>
            <w:tcW w:w="2524" w:type="pct"/>
            <w:tcBorders>
              <w:top w:val="single" w:sz="4" w:space="0" w:color="auto"/>
              <w:left w:val="single" w:sz="4" w:space="0" w:color="auto"/>
              <w:bottom w:val="single" w:sz="4" w:space="0" w:color="auto"/>
              <w:right w:val="single" w:sz="4" w:space="0" w:color="auto"/>
            </w:tcBorders>
            <w:hideMark/>
          </w:tcPr>
          <w:p w14:paraId="09F0AF78"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b/>
                <w:sz w:val="28"/>
                <w:szCs w:val="28"/>
              </w:rPr>
              <w:lastRenderedPageBreak/>
              <w:t>5.</w:t>
            </w:r>
            <w:r>
              <w:rPr>
                <w:rFonts w:ascii="Times New Roman" w:hAnsi="Times New Roman" w:cs="Times New Roman"/>
                <w:sz w:val="28"/>
                <w:szCs w:val="28"/>
              </w:rPr>
              <w:t xml:space="preserve"> Виробник може наносити на етикетки додаткову інформацію щодо характеристики продукту. При цьому виробникам тютюнових виробів забороняється наносити на етикетки інформацію, яка може вводити в оману або </w:t>
            </w:r>
            <w:r>
              <w:rPr>
                <w:rFonts w:ascii="Times New Roman" w:hAnsi="Times New Roman" w:cs="Times New Roman"/>
                <w:sz w:val="28"/>
                <w:szCs w:val="28"/>
              </w:rPr>
              <w:lastRenderedPageBreak/>
              <w:t>створювати неправильне враження щодо характеристик тютюнових виробів, їх впливу на здоров'я, включаючи будь-який термін, напис, торговельну марку, зображення, символічний або будь-який інший знак, що прямо чи опосередковано створює помилкове враження про те, що визначений тютюновий виріб є менш шкідливим, ніж інші тютюнові вироби, у тому числі включати такі терміни, як "із низьким вмістом смол", "легкі", "супер легкі", "ультра легкі" та їх аналоги іншими мовами.</w:t>
            </w:r>
          </w:p>
          <w:p w14:paraId="718852A0"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Етикеточна продукція розробляється товаровиробником алкогольних та тютюнових виробів і повинна відповідати вимогам чинного законодавства про мови (крім додаткової інформації щодо характеристик продукту), не потребує додаткових узгоджень, є промисловою власністю виробника та захищається згідно з чинним законодавством про промислову (інтелектуальну) власність. Власні назви алкогольних напоїв та тютюнових виробів визначаються їх виробниками і можуть відтворювати зареєстрований чи поданий на реєстрацію знак для товарів і послуг або бути його частиною.</w:t>
            </w:r>
          </w:p>
          <w:p w14:paraId="15D6C1A2"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Алкогольні напої та тютюнові вироби, які виробляються в Україні, а також такі, що імпортуються в Україну, позначаються марками акцизного податку в порядку, визначеному законодавством.</w:t>
            </w:r>
          </w:p>
          <w:p w14:paraId="6ACF20EA"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 xml:space="preserve">У разі зміни зразка марок акцизного податку вже закуплені марки попереднього зразка застосовуються у виробництві алкогольних напоїв та тютюнових виробів до їх повного використання, а марковані такими марками алкогольні напої та тютюнові вироби знаходяться в обігу до </w:t>
            </w:r>
            <w:r>
              <w:rPr>
                <w:rFonts w:ascii="Times New Roman" w:hAnsi="Times New Roman" w:cs="Times New Roman"/>
                <w:sz w:val="28"/>
                <w:szCs w:val="28"/>
              </w:rPr>
              <w:lastRenderedPageBreak/>
              <w:t>їх повної реалізації в межах терміну придатності для споживання.</w:t>
            </w:r>
          </w:p>
          <w:p w14:paraId="272EB2A3"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Зміни до цієї статті набирають чинності не раніше ніж через 24 місяці з дня опублікування закону про внесення відповідних змін.</w:t>
            </w:r>
          </w:p>
          <w:p w14:paraId="4587D3FB"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При цьому алкогольні напої та тютюнові вироби, вироблені в Україні або імпортовані в Україну до набрання чинності внесеними відповідним законом змінами щодо маркування, знаходяться в обігу до їх повної реалізації в межах терміну придатності для споживання.</w:t>
            </w:r>
          </w:p>
          <w:p w14:paraId="06DC29F1"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bCs/>
                <w:sz w:val="28"/>
                <w:szCs w:val="28"/>
              </w:rPr>
              <w:t>Продукція, призначена для експорту, розливається у тару та маркується згідно з умовами відповідної угоди на експорт.</w:t>
            </w:r>
            <w:r>
              <w:rPr>
                <w:rFonts w:ascii="Times New Roman" w:hAnsi="Times New Roman" w:cs="Times New Roman"/>
                <w:b/>
                <w:sz w:val="28"/>
                <w:szCs w:val="28"/>
              </w:rPr>
              <w:t xml:space="preserve"> </w:t>
            </w:r>
          </w:p>
          <w:p w14:paraId="4741A94A"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sz w:val="28"/>
                <w:szCs w:val="28"/>
              </w:rPr>
              <w:t>Встановлені цією статтею вимоги до місткості тари (посуду) не застосовуються до алкогольних напоїв імпортного виробництва.</w:t>
            </w:r>
          </w:p>
        </w:tc>
      </w:tr>
      <w:tr w:rsidR="00421E75" w14:paraId="42C7B6B0" w14:textId="77777777" w:rsidTr="00421E75">
        <w:tc>
          <w:tcPr>
            <w:tcW w:w="2476" w:type="pct"/>
            <w:tcBorders>
              <w:top w:val="single" w:sz="4" w:space="0" w:color="auto"/>
              <w:left w:val="single" w:sz="4" w:space="0" w:color="auto"/>
              <w:bottom w:val="single" w:sz="4" w:space="0" w:color="auto"/>
              <w:right w:val="single" w:sz="4" w:space="0" w:color="auto"/>
            </w:tcBorders>
            <w:shd w:val="clear" w:color="auto" w:fill="FFFFFF"/>
            <w:hideMark/>
          </w:tcPr>
          <w:p w14:paraId="034651F6"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rStyle w:val="rvts9"/>
                <w:b/>
                <w:bCs/>
                <w:color w:val="000000"/>
                <w:sz w:val="28"/>
                <w:szCs w:val="28"/>
                <w:shd w:val="clear" w:color="auto" w:fill="FFFFFF"/>
                <w:lang w:eastAsia="ru-RU"/>
              </w:rPr>
              <w:lastRenderedPageBreak/>
              <w:t>Стаття 15. </w:t>
            </w:r>
            <w:r>
              <w:rPr>
                <w:color w:val="000000"/>
                <w:sz w:val="28"/>
                <w:szCs w:val="28"/>
                <w:shd w:val="clear" w:color="auto" w:fill="FFFFFF"/>
                <w:lang w:eastAsia="ru-RU"/>
              </w:rPr>
              <w:t>Імпорт, експорт, оптова і роздрібна торгівля алкогольними напоями, тютюновими виробами, пальним та зберігання пального</w:t>
            </w:r>
          </w:p>
        </w:tc>
        <w:tc>
          <w:tcPr>
            <w:tcW w:w="2524" w:type="pct"/>
            <w:tcBorders>
              <w:top w:val="single" w:sz="4" w:space="0" w:color="auto"/>
              <w:left w:val="single" w:sz="4" w:space="0" w:color="auto"/>
              <w:bottom w:val="single" w:sz="4" w:space="0" w:color="auto"/>
              <w:right w:val="single" w:sz="4" w:space="0" w:color="auto"/>
            </w:tcBorders>
            <w:shd w:val="clear" w:color="auto" w:fill="FFFFFF"/>
            <w:hideMark/>
          </w:tcPr>
          <w:p w14:paraId="3BC2FF44"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rStyle w:val="rvts9"/>
                <w:b/>
                <w:bCs/>
                <w:color w:val="000000"/>
                <w:sz w:val="28"/>
                <w:szCs w:val="28"/>
                <w:shd w:val="clear" w:color="auto" w:fill="FFFFFF"/>
                <w:lang w:eastAsia="ru-RU"/>
              </w:rPr>
              <w:t>Стаття 15. </w:t>
            </w:r>
            <w:r>
              <w:rPr>
                <w:color w:val="000000"/>
                <w:sz w:val="28"/>
                <w:szCs w:val="28"/>
                <w:shd w:val="clear" w:color="auto" w:fill="FFFFFF"/>
                <w:lang w:eastAsia="ru-RU"/>
              </w:rPr>
              <w:t>Імпорт, експорт, оптова і роздрібна торгівля алкогольними напоями, тютюновими виробами, пальним та зберігання пального</w:t>
            </w:r>
          </w:p>
        </w:tc>
      </w:tr>
      <w:tr w:rsidR="00421E75" w14:paraId="48C5F9B7" w14:textId="77777777" w:rsidTr="00421E75">
        <w:tc>
          <w:tcPr>
            <w:tcW w:w="2476" w:type="pct"/>
            <w:tcBorders>
              <w:top w:val="single" w:sz="4" w:space="0" w:color="auto"/>
              <w:left w:val="single" w:sz="4" w:space="0" w:color="auto"/>
              <w:bottom w:val="single" w:sz="4" w:space="0" w:color="auto"/>
              <w:right w:val="single" w:sz="4" w:space="0" w:color="auto"/>
            </w:tcBorders>
            <w:shd w:val="clear" w:color="auto" w:fill="FFFFFF"/>
          </w:tcPr>
          <w:p w14:paraId="02B84666"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val="ru-RU" w:eastAsia="uk-UA"/>
              </w:rPr>
            </w:pPr>
            <w:r>
              <w:rPr>
                <w:rFonts w:ascii="Times New Roman" w:eastAsia="Times New Roman" w:hAnsi="Times New Roman" w:cs="Times New Roman"/>
                <w:color w:val="333333"/>
                <w:sz w:val="28"/>
                <w:szCs w:val="28"/>
                <w:lang w:val="ru-RU" w:eastAsia="uk-UA"/>
              </w:rPr>
              <w:t>…..</w:t>
            </w:r>
          </w:p>
          <w:p w14:paraId="72715CF7"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Встановити річну плату за ліцензії на право оптової торгівлі у розмірі:</w:t>
            </w:r>
          </w:p>
          <w:p w14:paraId="02086C7E"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 xml:space="preserve">алкогольними напоями, </w:t>
            </w:r>
            <w:r>
              <w:rPr>
                <w:rFonts w:ascii="Times New Roman" w:eastAsia="Times New Roman" w:hAnsi="Times New Roman" w:cs="Times New Roman"/>
                <w:b/>
                <w:color w:val="333333"/>
                <w:sz w:val="28"/>
                <w:szCs w:val="28"/>
                <w:lang w:eastAsia="uk-UA"/>
              </w:rPr>
              <w:t>крім сидру та перрі (без додання спирту)</w:t>
            </w:r>
            <w:r>
              <w:rPr>
                <w:rFonts w:ascii="Times New Roman" w:eastAsia="Times New Roman" w:hAnsi="Times New Roman" w:cs="Times New Roman"/>
                <w:color w:val="333333"/>
                <w:sz w:val="28"/>
                <w:szCs w:val="28"/>
                <w:lang w:eastAsia="uk-UA"/>
              </w:rPr>
              <w:t xml:space="preserve"> - 500000 гривень;</w:t>
            </w:r>
          </w:p>
          <w:p w14:paraId="1836D273"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bookmarkStart w:id="16" w:name="n512"/>
            <w:bookmarkStart w:id="17" w:name="n511"/>
            <w:bookmarkEnd w:id="16"/>
            <w:bookmarkEnd w:id="17"/>
            <w:r>
              <w:rPr>
                <w:rFonts w:ascii="Times New Roman" w:eastAsia="Times New Roman" w:hAnsi="Times New Roman" w:cs="Times New Roman"/>
                <w:color w:val="333333"/>
                <w:sz w:val="28"/>
                <w:szCs w:val="28"/>
                <w:lang w:eastAsia="uk-UA"/>
              </w:rPr>
              <w:t>тютюновими виробами - 500000 гривень;</w:t>
            </w:r>
          </w:p>
          <w:p w14:paraId="0A3453DC"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bookmarkStart w:id="18" w:name="n513"/>
            <w:bookmarkEnd w:id="18"/>
            <w:r>
              <w:rPr>
                <w:rFonts w:ascii="Times New Roman" w:eastAsia="Times New Roman" w:hAnsi="Times New Roman" w:cs="Times New Roman"/>
                <w:color w:val="333333"/>
                <w:sz w:val="28"/>
                <w:szCs w:val="28"/>
                <w:lang w:eastAsia="uk-UA"/>
              </w:rPr>
              <w:t>сидром та перрі (без додання спирту) - 780 гривень;</w:t>
            </w:r>
          </w:p>
          <w:p w14:paraId="1481CD61"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bookmarkStart w:id="19" w:name="n515"/>
            <w:bookmarkStart w:id="20" w:name="n514"/>
            <w:bookmarkEnd w:id="19"/>
            <w:bookmarkEnd w:id="20"/>
            <w:r>
              <w:rPr>
                <w:rFonts w:ascii="Times New Roman" w:eastAsia="Times New Roman" w:hAnsi="Times New Roman" w:cs="Times New Roman"/>
                <w:color w:val="333333"/>
                <w:sz w:val="28"/>
                <w:szCs w:val="28"/>
                <w:lang w:eastAsia="uk-UA"/>
              </w:rPr>
              <w:t xml:space="preserve">виключно пивом для виробників пива з обсягом виробництва до 3000 гектолітрів на рік - 30000 гривень, </w:t>
            </w:r>
            <w:r>
              <w:rPr>
                <w:rFonts w:ascii="Times New Roman" w:eastAsia="Times New Roman" w:hAnsi="Times New Roman" w:cs="Times New Roman"/>
                <w:color w:val="333333"/>
                <w:sz w:val="28"/>
                <w:szCs w:val="28"/>
                <w:lang w:eastAsia="uk-UA"/>
              </w:rPr>
              <w:lastRenderedPageBreak/>
              <w:t>обсяг виробництва розраховується з дня внесення плати за ліцензію до дня внесення наступного платежу;</w:t>
            </w:r>
          </w:p>
          <w:p w14:paraId="52B0CD64"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bookmarkStart w:id="21" w:name="n871"/>
            <w:bookmarkStart w:id="22" w:name="n516"/>
            <w:bookmarkEnd w:id="21"/>
            <w:bookmarkEnd w:id="22"/>
            <w:r>
              <w:rPr>
                <w:rFonts w:ascii="Times New Roman" w:eastAsia="Times New Roman" w:hAnsi="Times New Roman" w:cs="Times New Roman"/>
                <w:color w:val="333333"/>
                <w:sz w:val="28"/>
                <w:szCs w:val="28"/>
                <w:lang w:eastAsia="uk-UA"/>
              </w:rPr>
              <w:t>пальним, за наявності у ліцензіата місць оптової торгівлі пальним, - 5000 гривень за кожне таке місце;</w:t>
            </w:r>
          </w:p>
          <w:p w14:paraId="63C45649"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bookmarkStart w:id="23" w:name="n872"/>
            <w:bookmarkStart w:id="24" w:name="n873"/>
            <w:bookmarkEnd w:id="23"/>
            <w:bookmarkEnd w:id="24"/>
            <w:r>
              <w:rPr>
                <w:rFonts w:ascii="Times New Roman" w:eastAsia="Times New Roman" w:hAnsi="Times New Roman" w:cs="Times New Roman"/>
                <w:color w:val="333333"/>
                <w:sz w:val="28"/>
                <w:szCs w:val="28"/>
                <w:lang w:eastAsia="uk-UA"/>
              </w:rPr>
              <w:t>пальним, за відсутності у ліцензіата місць оптової торгівлі пальним, - 10000 гривень.</w:t>
            </w:r>
          </w:p>
          <w:p w14:paraId="7E2F0A01"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bookmarkStart w:id="25" w:name="n875"/>
            <w:bookmarkStart w:id="26" w:name="n870"/>
            <w:bookmarkEnd w:id="25"/>
            <w:bookmarkEnd w:id="26"/>
            <w:r>
              <w:rPr>
                <w:rFonts w:ascii="Times New Roman" w:eastAsia="Times New Roman" w:hAnsi="Times New Roman" w:cs="Times New Roman"/>
                <w:color w:val="333333"/>
                <w:sz w:val="28"/>
                <w:szCs w:val="28"/>
                <w:lang w:eastAsia="uk-UA"/>
              </w:rPr>
              <w:t>Встановити річну плату за ліцензії на право зберігання пального у розмірі 780 гривень.</w:t>
            </w:r>
          </w:p>
          <w:p w14:paraId="6D9FC03F" w14:textId="77777777" w:rsidR="00421E75" w:rsidRDefault="00421E75" w:rsidP="00421E75">
            <w:pPr>
              <w:pStyle w:val="rvps2"/>
              <w:shd w:val="clear" w:color="auto" w:fill="FFFFFF"/>
              <w:spacing w:before="0" w:beforeAutospacing="0" w:after="0" w:afterAutospacing="0"/>
              <w:ind w:firstLine="734"/>
              <w:jc w:val="both"/>
              <w:rPr>
                <w:rStyle w:val="rvts9"/>
                <w:b/>
                <w:bCs/>
                <w:color w:val="000000"/>
                <w:shd w:val="clear" w:color="auto" w:fill="FFFFFF"/>
                <w:lang w:val="ru-RU" w:eastAsia="ru-RU"/>
              </w:rPr>
            </w:pPr>
            <w:r>
              <w:rPr>
                <w:rStyle w:val="rvts9"/>
                <w:b/>
                <w:bCs/>
                <w:color w:val="000000"/>
                <w:sz w:val="28"/>
                <w:szCs w:val="28"/>
                <w:shd w:val="clear" w:color="auto" w:fill="FFFFFF"/>
                <w:lang w:val="ru-RU" w:eastAsia="ru-RU"/>
              </w:rPr>
              <w:t>…..</w:t>
            </w:r>
          </w:p>
          <w:p w14:paraId="249F22B4" w14:textId="77777777" w:rsidR="00421E75" w:rsidRDefault="00421E75" w:rsidP="00421E75">
            <w:pPr>
              <w:pStyle w:val="rvps2"/>
              <w:shd w:val="clear" w:color="auto" w:fill="FFFFFF"/>
              <w:spacing w:before="0" w:beforeAutospacing="0" w:after="0" w:afterAutospacing="0"/>
              <w:ind w:firstLine="734"/>
              <w:jc w:val="both"/>
              <w:rPr>
                <w:rStyle w:val="rvts9"/>
                <w:b/>
                <w:bCs/>
                <w:color w:val="000000"/>
                <w:sz w:val="28"/>
                <w:szCs w:val="28"/>
                <w:shd w:val="clear" w:color="auto" w:fill="FFFFFF"/>
                <w:lang w:eastAsia="ru-RU"/>
              </w:rPr>
            </w:pPr>
          </w:p>
        </w:tc>
        <w:tc>
          <w:tcPr>
            <w:tcW w:w="2524" w:type="pct"/>
            <w:tcBorders>
              <w:top w:val="single" w:sz="4" w:space="0" w:color="auto"/>
              <w:left w:val="single" w:sz="4" w:space="0" w:color="auto"/>
              <w:bottom w:val="single" w:sz="4" w:space="0" w:color="auto"/>
              <w:right w:val="single" w:sz="4" w:space="0" w:color="auto"/>
            </w:tcBorders>
            <w:shd w:val="clear" w:color="auto" w:fill="FFFFFF"/>
          </w:tcPr>
          <w:p w14:paraId="080329F0"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lang w:val="ru-RU" w:eastAsia="uk-UA"/>
              </w:rPr>
            </w:pPr>
            <w:r>
              <w:rPr>
                <w:rFonts w:ascii="Times New Roman" w:eastAsia="Times New Roman" w:hAnsi="Times New Roman" w:cs="Times New Roman"/>
                <w:color w:val="333333"/>
                <w:sz w:val="28"/>
                <w:szCs w:val="28"/>
                <w:lang w:val="ru-RU" w:eastAsia="uk-UA"/>
              </w:rPr>
              <w:lastRenderedPageBreak/>
              <w:t>…..</w:t>
            </w:r>
          </w:p>
          <w:p w14:paraId="7C6C87CB"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Встановити річну плату за ліцензії на право оптової торгівлі у розмірі:</w:t>
            </w:r>
          </w:p>
          <w:p w14:paraId="6AA26C02"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алкогольними напоями - 500000 гривень;</w:t>
            </w:r>
          </w:p>
          <w:p w14:paraId="74166CE7"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тютюновими виробами - 500000 гривень;</w:t>
            </w:r>
          </w:p>
          <w:p w14:paraId="1B5CD481"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сидром та перрі (без додання спирту) - 780 гривень;</w:t>
            </w:r>
          </w:p>
          <w:p w14:paraId="535112A2"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виключно пивом для виробників пива з обсягом виробництва до 3000 гектолітрів на рік - 30000 гривень, обсяг виробництва розраховується з дня внесення плати за ліцензію до дня внесення наступного платежу;</w:t>
            </w:r>
          </w:p>
          <w:p w14:paraId="6844AC69"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lastRenderedPageBreak/>
              <w:t>пальним, за наявності у ліцензіата місць оптової торгівлі пальним, - 5000 гривень за кожне таке місце;</w:t>
            </w:r>
          </w:p>
          <w:p w14:paraId="2D973700"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пальним, за відсутності у ліцензіата місць оптової торгівлі пальним, - 10000 гривень.</w:t>
            </w:r>
          </w:p>
          <w:p w14:paraId="1D25C256" w14:textId="77777777" w:rsidR="00421E75" w:rsidRDefault="00421E75" w:rsidP="00421E75">
            <w:pPr>
              <w:shd w:val="clear" w:color="auto" w:fill="FFFFFF"/>
              <w:spacing w:after="0"/>
              <w:ind w:firstLine="450"/>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Встановити річну плату за ліцензії на право зберігання пального у розмірі 780 гривень.</w:t>
            </w:r>
          </w:p>
          <w:p w14:paraId="4C9D0DB8" w14:textId="77777777" w:rsidR="00421E75" w:rsidRDefault="00421E75" w:rsidP="00421E75">
            <w:pPr>
              <w:pStyle w:val="rvps2"/>
              <w:shd w:val="clear" w:color="auto" w:fill="FFFFFF"/>
              <w:spacing w:before="0" w:beforeAutospacing="0" w:after="0" w:afterAutospacing="0"/>
              <w:ind w:firstLine="734"/>
              <w:jc w:val="both"/>
              <w:rPr>
                <w:rStyle w:val="rvts9"/>
                <w:b/>
                <w:bCs/>
                <w:color w:val="000000"/>
                <w:shd w:val="clear" w:color="auto" w:fill="FFFFFF"/>
                <w:lang w:val="ru-RU" w:eastAsia="ru-RU"/>
              </w:rPr>
            </w:pPr>
            <w:r>
              <w:rPr>
                <w:rStyle w:val="rvts9"/>
                <w:b/>
                <w:bCs/>
                <w:color w:val="000000"/>
                <w:sz w:val="28"/>
                <w:szCs w:val="28"/>
                <w:shd w:val="clear" w:color="auto" w:fill="FFFFFF"/>
                <w:lang w:val="ru-RU" w:eastAsia="ru-RU"/>
              </w:rPr>
              <w:t>…..</w:t>
            </w:r>
          </w:p>
          <w:p w14:paraId="402439B0" w14:textId="77777777" w:rsidR="00421E75" w:rsidRDefault="00421E75" w:rsidP="00421E75">
            <w:pPr>
              <w:pStyle w:val="rvps2"/>
              <w:shd w:val="clear" w:color="auto" w:fill="FFFFFF"/>
              <w:spacing w:before="0" w:beforeAutospacing="0" w:after="0" w:afterAutospacing="0"/>
              <w:ind w:firstLine="734"/>
              <w:jc w:val="both"/>
              <w:rPr>
                <w:rStyle w:val="rvts9"/>
                <w:b/>
                <w:bCs/>
                <w:color w:val="000000"/>
                <w:sz w:val="28"/>
                <w:szCs w:val="28"/>
                <w:shd w:val="clear" w:color="auto" w:fill="FFFFFF"/>
                <w:lang w:eastAsia="ru-RU"/>
              </w:rPr>
            </w:pPr>
          </w:p>
        </w:tc>
      </w:tr>
      <w:tr w:rsidR="00421E75" w14:paraId="6FADF06E" w14:textId="77777777" w:rsidTr="00421E75">
        <w:tc>
          <w:tcPr>
            <w:tcW w:w="2476" w:type="pct"/>
            <w:tcBorders>
              <w:top w:val="single" w:sz="4" w:space="0" w:color="auto"/>
              <w:left w:val="single" w:sz="4" w:space="0" w:color="auto"/>
              <w:bottom w:val="single" w:sz="4" w:space="0" w:color="auto"/>
              <w:right w:val="single" w:sz="4" w:space="0" w:color="auto"/>
            </w:tcBorders>
            <w:hideMark/>
          </w:tcPr>
          <w:p w14:paraId="6E09C715" w14:textId="77777777" w:rsidR="00421E75" w:rsidRDefault="00421E75" w:rsidP="00421E75">
            <w:pPr>
              <w:spacing w:after="0"/>
              <w:ind w:firstLine="734"/>
              <w:jc w:val="both"/>
              <w:rPr>
                <w:rFonts w:ascii="Times New Roman" w:hAnsi="Times New Roman" w:cs="Times New Roman"/>
              </w:rPr>
            </w:pPr>
            <w:r>
              <w:rPr>
                <w:rFonts w:ascii="Times New Roman" w:hAnsi="Times New Roman" w:cs="Times New Roman"/>
                <w:b/>
                <w:sz w:val="28"/>
                <w:szCs w:val="28"/>
              </w:rPr>
              <w:lastRenderedPageBreak/>
              <w:t>…..</w:t>
            </w:r>
          </w:p>
          <w:p w14:paraId="08275629" w14:textId="77777777" w:rsidR="00421E75" w:rsidRDefault="00421E75" w:rsidP="00421E75">
            <w:pPr>
              <w:tabs>
                <w:tab w:val="left" w:pos="2664"/>
              </w:tabs>
              <w:spacing w:after="0"/>
              <w:ind w:firstLine="734"/>
              <w:jc w:val="both"/>
              <w:rPr>
                <w:rFonts w:ascii="Times New Roman" w:hAnsi="Times New Roman" w:cs="Times New Roman"/>
                <w:b/>
                <w:sz w:val="28"/>
                <w:szCs w:val="28"/>
              </w:rPr>
            </w:pPr>
            <w:r>
              <w:rPr>
                <w:rFonts w:ascii="Times New Roman" w:hAnsi="Times New Roman" w:cs="Times New Roman"/>
                <w:sz w:val="28"/>
                <w:szCs w:val="28"/>
              </w:rPr>
              <w:t>Суб'єкти господарювання (у тому числі іноземні суб'єкти господарювання, які діють через свої зареєстровані постійні представництва), які отримали ліцензію на роздрібну торгівлю алкогольними напоями, мають право продавати сидр та перрі (без додання спирту) без отримання окремої ліцензії на право роздрібної торгівлі цими алкогольними напоями.</w:t>
            </w:r>
          </w:p>
        </w:tc>
        <w:tc>
          <w:tcPr>
            <w:tcW w:w="2524" w:type="pct"/>
            <w:tcBorders>
              <w:top w:val="single" w:sz="4" w:space="0" w:color="auto"/>
              <w:left w:val="single" w:sz="4" w:space="0" w:color="auto"/>
              <w:bottom w:val="single" w:sz="4" w:space="0" w:color="auto"/>
              <w:right w:val="single" w:sz="4" w:space="0" w:color="auto"/>
            </w:tcBorders>
          </w:tcPr>
          <w:p w14:paraId="68211B2A"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w:t>
            </w:r>
          </w:p>
          <w:p w14:paraId="591C03E8" w14:textId="77777777" w:rsidR="00421E75" w:rsidRDefault="00421E75" w:rsidP="00421E75">
            <w:pPr>
              <w:tabs>
                <w:tab w:val="left" w:pos="2664"/>
              </w:tabs>
              <w:spacing w:after="0"/>
              <w:ind w:firstLine="734"/>
              <w:jc w:val="both"/>
              <w:rPr>
                <w:rFonts w:ascii="Times New Roman" w:hAnsi="Times New Roman" w:cs="Times New Roman"/>
                <w:sz w:val="28"/>
                <w:szCs w:val="28"/>
              </w:rPr>
            </w:pPr>
            <w:r>
              <w:rPr>
                <w:rFonts w:ascii="Times New Roman" w:hAnsi="Times New Roman" w:cs="Times New Roman"/>
                <w:sz w:val="28"/>
                <w:szCs w:val="28"/>
              </w:rPr>
              <w:t xml:space="preserve">Суб'єкти господарювання (у тому числі іноземні суб'єкти господарювання, які діють через свої зареєстровані постійні представництва), які отримали ліцензію </w:t>
            </w:r>
            <w:r>
              <w:rPr>
                <w:rFonts w:ascii="Times New Roman" w:hAnsi="Times New Roman" w:cs="Times New Roman"/>
                <w:b/>
                <w:sz w:val="28"/>
                <w:szCs w:val="28"/>
              </w:rPr>
              <w:t xml:space="preserve">на оптову торгівлю або </w:t>
            </w:r>
            <w:r>
              <w:rPr>
                <w:rFonts w:ascii="Times New Roman" w:hAnsi="Times New Roman" w:cs="Times New Roman"/>
                <w:sz w:val="28"/>
                <w:szCs w:val="28"/>
              </w:rPr>
              <w:t xml:space="preserve">на роздрібну торгівлю алкогольними напоями, мають право продавати сидр та перрі (без додання спирту) без отримання окремої ліцензії на право роздрібної торгівлі цими алкогольними напоями. </w:t>
            </w:r>
          </w:p>
          <w:p w14:paraId="22CEB978" w14:textId="77777777" w:rsidR="00421E75" w:rsidRDefault="00421E75" w:rsidP="00421E75">
            <w:pPr>
              <w:tabs>
                <w:tab w:val="left" w:pos="2664"/>
              </w:tabs>
              <w:spacing w:after="0"/>
              <w:ind w:firstLine="734"/>
              <w:jc w:val="both"/>
              <w:rPr>
                <w:rFonts w:ascii="Times New Roman" w:hAnsi="Times New Roman" w:cs="Times New Roman"/>
                <w:b/>
                <w:sz w:val="28"/>
                <w:szCs w:val="28"/>
              </w:rPr>
            </w:pPr>
          </w:p>
        </w:tc>
      </w:tr>
      <w:tr w:rsidR="00421E75" w14:paraId="7F0A58F3" w14:textId="77777777" w:rsidTr="00421E75">
        <w:tc>
          <w:tcPr>
            <w:tcW w:w="2476" w:type="pct"/>
            <w:tcBorders>
              <w:top w:val="single" w:sz="4" w:space="0" w:color="auto"/>
              <w:left w:val="single" w:sz="4" w:space="0" w:color="auto"/>
              <w:bottom w:val="single" w:sz="4" w:space="0" w:color="auto"/>
              <w:right w:val="single" w:sz="4" w:space="0" w:color="auto"/>
            </w:tcBorders>
          </w:tcPr>
          <w:p w14:paraId="7EEDA2DE" w14:textId="77777777" w:rsidR="00421E75" w:rsidRDefault="00421E75" w:rsidP="00421E75">
            <w:pPr>
              <w:spacing w:after="0"/>
              <w:ind w:firstLine="734"/>
              <w:jc w:val="both"/>
              <w:rPr>
                <w:rFonts w:ascii="Times New Roman" w:hAnsi="Times New Roman" w:cs="Times New Roman"/>
                <w:b/>
                <w:sz w:val="28"/>
                <w:szCs w:val="28"/>
                <w:lang w:val="ru-RU"/>
              </w:rPr>
            </w:pPr>
            <w:r>
              <w:rPr>
                <w:rFonts w:ascii="Times New Roman" w:hAnsi="Times New Roman" w:cs="Times New Roman"/>
                <w:b/>
                <w:sz w:val="28"/>
                <w:szCs w:val="28"/>
                <w:lang w:val="ru-RU"/>
              </w:rPr>
              <w:t>……</w:t>
            </w:r>
          </w:p>
          <w:p w14:paraId="7D8E290A" w14:textId="77777777" w:rsidR="00421E75" w:rsidRDefault="00421E75" w:rsidP="00421E75">
            <w:pPr>
              <w:spacing w:after="0"/>
              <w:ind w:firstLine="734"/>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Плата за ліцензію на роздрібну торгівлю алкогольними напоями, </w:t>
            </w:r>
            <w:r>
              <w:rPr>
                <w:rFonts w:ascii="Times New Roman" w:eastAsia="Times New Roman" w:hAnsi="Times New Roman" w:cs="Times New Roman"/>
                <w:b/>
                <w:sz w:val="28"/>
                <w:szCs w:val="28"/>
                <w:lang w:eastAsia="uk-UA"/>
              </w:rPr>
              <w:t>крім сидру та перрі (без додання спирту),</w:t>
            </w:r>
            <w:r>
              <w:rPr>
                <w:rFonts w:ascii="Times New Roman" w:eastAsia="Times New Roman" w:hAnsi="Times New Roman" w:cs="Times New Roman"/>
                <w:sz w:val="28"/>
                <w:szCs w:val="28"/>
                <w:lang w:eastAsia="uk-UA"/>
              </w:rPr>
              <w:t xml:space="preserve"> становить 8000 гривень на кожний окремий, зазначений в ліцензії електронний контрольно-касовий апарат (книгу обліку розрахункових операцій), що знаходиться у місці торгівлі; на роздрібну торгівлю тютюновими виробами на кожне місце торгівлі - 2000 гривень, а на території сіл і селищ, за винятком тих, що знаходяться у межах території міст, - 500 гривень на </w:t>
            </w:r>
            <w:r>
              <w:rPr>
                <w:rFonts w:ascii="Times New Roman" w:eastAsia="Times New Roman" w:hAnsi="Times New Roman" w:cs="Times New Roman"/>
                <w:sz w:val="28"/>
                <w:szCs w:val="28"/>
                <w:lang w:eastAsia="uk-UA"/>
              </w:rPr>
              <w:lastRenderedPageBreak/>
              <w:t>роздрібну торгівлю алкогольними напоями, крім сидру та перрі (без додання спирту), на кожний окремий, зазначений у ліцензії електронний контрольно-касовий апарат (книгу обліку розрахункових операцій), що знаходиться у місці торгівлі, і 250 гривень - на роздрібну торгівлю тютюновими виробами на кожне місце торгівлі.</w:t>
            </w:r>
          </w:p>
          <w:p w14:paraId="51C9515A" w14:textId="77777777" w:rsidR="00421E75" w:rsidRDefault="00421E75" w:rsidP="00421E75">
            <w:pPr>
              <w:spacing w:after="0"/>
              <w:ind w:firstLine="734"/>
              <w:jc w:val="both"/>
              <w:rPr>
                <w:rFonts w:ascii="Times New Roman" w:hAnsi="Times New Roman" w:cs="Times New Roman"/>
                <w:b/>
                <w:sz w:val="28"/>
                <w:szCs w:val="28"/>
              </w:rPr>
            </w:pPr>
          </w:p>
        </w:tc>
        <w:tc>
          <w:tcPr>
            <w:tcW w:w="2524" w:type="pct"/>
            <w:tcBorders>
              <w:top w:val="single" w:sz="4" w:space="0" w:color="auto"/>
              <w:left w:val="single" w:sz="4" w:space="0" w:color="auto"/>
              <w:bottom w:val="single" w:sz="4" w:space="0" w:color="auto"/>
              <w:right w:val="single" w:sz="4" w:space="0" w:color="auto"/>
            </w:tcBorders>
            <w:hideMark/>
          </w:tcPr>
          <w:p w14:paraId="3342D91D" w14:textId="77777777" w:rsidR="00421E75" w:rsidRDefault="00421E75" w:rsidP="00421E75">
            <w:pPr>
              <w:spacing w:after="0"/>
              <w:ind w:firstLine="734"/>
              <w:jc w:val="both"/>
              <w:rPr>
                <w:rFonts w:ascii="Times New Roman" w:hAnsi="Times New Roman" w:cs="Times New Roman"/>
                <w:b/>
                <w:sz w:val="28"/>
                <w:szCs w:val="28"/>
                <w:lang w:val="ru-RU"/>
              </w:rPr>
            </w:pPr>
            <w:r>
              <w:rPr>
                <w:rFonts w:ascii="Times New Roman" w:hAnsi="Times New Roman" w:cs="Times New Roman"/>
                <w:b/>
                <w:sz w:val="28"/>
                <w:szCs w:val="28"/>
                <w:lang w:val="ru-RU"/>
              </w:rPr>
              <w:lastRenderedPageBreak/>
              <w:t>…..</w:t>
            </w:r>
          </w:p>
          <w:p w14:paraId="26900B33" w14:textId="77777777" w:rsidR="00421E75" w:rsidRDefault="00421E75" w:rsidP="00421E75">
            <w:pPr>
              <w:spacing w:after="0"/>
              <w:ind w:firstLine="734"/>
              <w:jc w:val="both"/>
              <w:rPr>
                <w:rFonts w:ascii="Times New Roman" w:hAnsi="Times New Roman" w:cs="Times New Roman"/>
                <w:b/>
                <w:sz w:val="28"/>
                <w:szCs w:val="28"/>
              </w:rPr>
            </w:pPr>
            <w:r>
              <w:rPr>
                <w:rFonts w:ascii="Times New Roman" w:eastAsia="Times New Roman" w:hAnsi="Times New Roman" w:cs="Times New Roman"/>
                <w:sz w:val="28"/>
                <w:szCs w:val="28"/>
                <w:lang w:eastAsia="uk-UA"/>
              </w:rPr>
              <w:t xml:space="preserve">Плата за ліцензію на роздрібну торгівлю алкогольними напоями, становить 8000 гривень на кожний окремий, зазначений в ліцензії електронний контрольно-касовий апарат (книгу обліку розрахункових операцій), що знаходиться у місці торгівлі; на роздрібну торгівлю тютюновими виробами на кожне місце торгівлі - 2000 гривень, а на території сіл і селищ, за винятком тих, що знаходяться у межах території міст, - 500 гривень на роздрібну торгівлю алкогольними напоями, крім сидру та </w:t>
            </w:r>
            <w:r>
              <w:rPr>
                <w:rFonts w:ascii="Times New Roman" w:eastAsia="Times New Roman" w:hAnsi="Times New Roman" w:cs="Times New Roman"/>
                <w:sz w:val="28"/>
                <w:szCs w:val="28"/>
                <w:lang w:eastAsia="uk-UA"/>
              </w:rPr>
              <w:lastRenderedPageBreak/>
              <w:t>перрі (без додання спирту), на кожний окремий, зазначений у ліцензії електронний контрольно-касовий апарат (книгу обліку розрахункових операцій), що знаходиться у місці торгівлі, і 250 гривень - на роздрібну торгівлю тютюновими виробами на кожне місце торгівлі.</w:t>
            </w:r>
          </w:p>
        </w:tc>
      </w:tr>
      <w:tr w:rsidR="00421E75" w14:paraId="59F2A434" w14:textId="77777777" w:rsidTr="00421E75">
        <w:tc>
          <w:tcPr>
            <w:tcW w:w="2476" w:type="pct"/>
            <w:tcBorders>
              <w:top w:val="single" w:sz="4" w:space="0" w:color="auto"/>
              <w:left w:val="single" w:sz="4" w:space="0" w:color="auto"/>
              <w:bottom w:val="single" w:sz="4" w:space="0" w:color="auto"/>
              <w:right w:val="single" w:sz="4" w:space="0" w:color="auto"/>
            </w:tcBorders>
            <w:shd w:val="clear" w:color="auto" w:fill="FFFFFF"/>
          </w:tcPr>
          <w:p w14:paraId="4B034FAC"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lastRenderedPageBreak/>
              <w:t>…</w:t>
            </w:r>
          </w:p>
          <w:p w14:paraId="59145AD1"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Для отримання ліцензії на право оптової або роздрібної торгівлі пальним або на право зберігання пального разом із заявою додатково подаються завірені заявником копії таких документів:</w:t>
            </w:r>
          </w:p>
          <w:p w14:paraId="7CECDBE3"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w:t>
            </w:r>
          </w:p>
          <w:p w14:paraId="25BC9D1C"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p>
          <w:p w14:paraId="4FE40892"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bookmarkStart w:id="27" w:name="n905"/>
            <w:bookmarkStart w:id="28" w:name="n904"/>
            <w:bookmarkStart w:id="29" w:name="n903"/>
            <w:bookmarkEnd w:id="27"/>
            <w:bookmarkEnd w:id="28"/>
            <w:bookmarkEnd w:id="29"/>
            <w:r>
              <w:rPr>
                <w:color w:val="000000"/>
                <w:sz w:val="28"/>
                <w:szCs w:val="28"/>
                <w:lang w:eastAsia="ru-RU"/>
              </w:rPr>
              <w:t>дозвіл на виконання робіт підвищеної небезпеки та експлуатацію (застосування) машин, механізмів, устаткування підвищеної небезпеки.</w:t>
            </w:r>
          </w:p>
        </w:tc>
        <w:tc>
          <w:tcPr>
            <w:tcW w:w="2524" w:type="pct"/>
            <w:tcBorders>
              <w:top w:val="single" w:sz="4" w:space="0" w:color="auto"/>
              <w:left w:val="single" w:sz="4" w:space="0" w:color="auto"/>
              <w:bottom w:val="single" w:sz="4" w:space="0" w:color="auto"/>
              <w:right w:val="single" w:sz="4" w:space="0" w:color="auto"/>
            </w:tcBorders>
            <w:shd w:val="clear" w:color="auto" w:fill="FFFFFF"/>
            <w:hideMark/>
          </w:tcPr>
          <w:p w14:paraId="7A29BB3A"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w:t>
            </w:r>
          </w:p>
          <w:p w14:paraId="2E009961"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Для отримання ліцензії на право оптової або роздрібної торгівлі пальним або на право зберігання пального разом із заявою додатково подаються завірені заявником копії таких документів:</w:t>
            </w:r>
          </w:p>
          <w:p w14:paraId="6808FB13"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w:t>
            </w:r>
          </w:p>
          <w:p w14:paraId="3B94E3C4" w14:textId="77777777" w:rsidR="00421E75" w:rsidRDefault="00421E75" w:rsidP="00421E75">
            <w:pPr>
              <w:pStyle w:val="rvps2"/>
              <w:shd w:val="clear" w:color="auto" w:fill="FFFFFF"/>
              <w:spacing w:before="0" w:beforeAutospacing="0" w:after="0" w:afterAutospacing="0"/>
              <w:ind w:firstLine="734"/>
              <w:jc w:val="both"/>
              <w:rPr>
                <w:color w:val="000000"/>
                <w:sz w:val="28"/>
                <w:szCs w:val="28"/>
                <w:lang w:eastAsia="ru-RU"/>
              </w:rPr>
            </w:pPr>
            <w:r>
              <w:rPr>
                <w:color w:val="000000"/>
                <w:sz w:val="28"/>
                <w:szCs w:val="28"/>
                <w:lang w:eastAsia="ru-RU"/>
              </w:rPr>
              <w:t xml:space="preserve">дозвіл на виконання робіт підвищеної небезпеки та експлуатацію (застосування) машин, механізмів, устаткування підвищеної небезпеки </w:t>
            </w:r>
            <w:r>
              <w:rPr>
                <w:b/>
                <w:bCs/>
                <w:sz w:val="28"/>
                <w:szCs w:val="28"/>
                <w:lang w:eastAsia="ru-RU"/>
              </w:rPr>
              <w:t xml:space="preserve">або </w:t>
            </w:r>
            <w:r>
              <w:rPr>
                <w:b/>
                <w:bCs/>
                <w:color w:val="000000"/>
                <w:sz w:val="28"/>
                <w:szCs w:val="28"/>
                <w:shd w:val="clear" w:color="auto" w:fill="FFFFFF"/>
                <w:lang w:eastAsia="ru-RU"/>
              </w:rPr>
              <w:t>декларацію відповідності матеріально-технічної бази вимогам законодавства з питань охорони праці</w:t>
            </w:r>
            <w:r>
              <w:rPr>
                <w:b/>
                <w:bCs/>
                <w:color w:val="000000"/>
                <w:sz w:val="28"/>
                <w:szCs w:val="28"/>
                <w:lang w:eastAsia="ru-RU"/>
              </w:rPr>
              <w:t>;</w:t>
            </w:r>
          </w:p>
        </w:tc>
      </w:tr>
      <w:tr w:rsidR="00421E75" w14:paraId="456AC3C7" w14:textId="77777777" w:rsidTr="00421E75">
        <w:tc>
          <w:tcPr>
            <w:tcW w:w="2476" w:type="pct"/>
            <w:tcBorders>
              <w:top w:val="single" w:sz="4" w:space="0" w:color="auto"/>
              <w:left w:val="single" w:sz="4" w:space="0" w:color="auto"/>
              <w:bottom w:val="single" w:sz="4" w:space="0" w:color="auto"/>
              <w:right w:val="single" w:sz="4" w:space="0" w:color="auto"/>
            </w:tcBorders>
            <w:hideMark/>
          </w:tcPr>
          <w:p w14:paraId="4C923C1A"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b/>
                <w:sz w:val="28"/>
                <w:szCs w:val="28"/>
              </w:rPr>
              <w:t>Стаття 17.</w:t>
            </w:r>
            <w:r>
              <w:rPr>
                <w:rFonts w:ascii="Times New Roman" w:hAnsi="Times New Roman" w:cs="Times New Roman"/>
                <w:sz w:val="28"/>
                <w:szCs w:val="28"/>
              </w:rPr>
              <w:t xml:space="preserve"> Відповідальність за порушення норм цього Закону</w:t>
            </w:r>
          </w:p>
        </w:tc>
        <w:tc>
          <w:tcPr>
            <w:tcW w:w="2524" w:type="pct"/>
            <w:tcBorders>
              <w:top w:val="single" w:sz="4" w:space="0" w:color="auto"/>
              <w:left w:val="single" w:sz="4" w:space="0" w:color="auto"/>
              <w:bottom w:val="single" w:sz="4" w:space="0" w:color="auto"/>
              <w:right w:val="single" w:sz="4" w:space="0" w:color="auto"/>
            </w:tcBorders>
            <w:hideMark/>
          </w:tcPr>
          <w:p w14:paraId="211889CA" w14:textId="77777777" w:rsidR="00421E75" w:rsidRDefault="00421E75" w:rsidP="00421E75">
            <w:pPr>
              <w:spacing w:after="0"/>
              <w:ind w:firstLine="734"/>
              <w:jc w:val="both"/>
              <w:rPr>
                <w:rFonts w:ascii="Times New Roman" w:hAnsi="Times New Roman" w:cs="Times New Roman"/>
                <w:sz w:val="28"/>
                <w:szCs w:val="28"/>
              </w:rPr>
            </w:pPr>
            <w:r>
              <w:rPr>
                <w:rFonts w:ascii="Times New Roman" w:hAnsi="Times New Roman" w:cs="Times New Roman"/>
                <w:b/>
                <w:sz w:val="28"/>
                <w:szCs w:val="28"/>
              </w:rPr>
              <w:t>Стаття 17.</w:t>
            </w:r>
            <w:r>
              <w:rPr>
                <w:rFonts w:ascii="Times New Roman" w:hAnsi="Times New Roman" w:cs="Times New Roman"/>
                <w:sz w:val="28"/>
                <w:szCs w:val="28"/>
              </w:rPr>
              <w:t xml:space="preserve"> Відповідальність за порушення норм цього Закону</w:t>
            </w:r>
          </w:p>
        </w:tc>
      </w:tr>
      <w:tr w:rsidR="00421E75" w14:paraId="43B1EF49" w14:textId="77777777" w:rsidTr="00421E75">
        <w:tc>
          <w:tcPr>
            <w:tcW w:w="2476" w:type="pct"/>
            <w:tcBorders>
              <w:top w:val="single" w:sz="4" w:space="0" w:color="auto"/>
              <w:left w:val="single" w:sz="4" w:space="0" w:color="auto"/>
              <w:bottom w:val="single" w:sz="4" w:space="0" w:color="auto"/>
              <w:right w:val="single" w:sz="4" w:space="0" w:color="auto"/>
            </w:tcBorders>
            <w:hideMark/>
          </w:tcPr>
          <w:p w14:paraId="2BE58861"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w:t>
            </w:r>
          </w:p>
          <w:p w14:paraId="1FADB7F9"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sz w:val="28"/>
                <w:szCs w:val="28"/>
              </w:rPr>
              <w:t>надання послуг із зберігання пального іншим суб'єктам господарювання та/або реалізація пального іншим особам на підставі ліцензії на право зберігання пального, отриманої відповідно до статті 15 цього Закону, - 500000 гривень;</w:t>
            </w:r>
          </w:p>
        </w:tc>
        <w:tc>
          <w:tcPr>
            <w:tcW w:w="2524" w:type="pct"/>
            <w:tcBorders>
              <w:top w:val="single" w:sz="4" w:space="0" w:color="auto"/>
              <w:left w:val="single" w:sz="4" w:space="0" w:color="auto"/>
              <w:bottom w:val="single" w:sz="4" w:space="0" w:color="auto"/>
              <w:right w:val="single" w:sz="4" w:space="0" w:color="auto"/>
            </w:tcBorders>
            <w:hideMark/>
          </w:tcPr>
          <w:p w14:paraId="667790EA"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b/>
                <w:sz w:val="28"/>
                <w:szCs w:val="28"/>
              </w:rPr>
              <w:t>….</w:t>
            </w:r>
          </w:p>
          <w:p w14:paraId="13FF4976"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sz w:val="28"/>
                <w:szCs w:val="28"/>
              </w:rPr>
              <w:t xml:space="preserve">надання послуг із зберігання пального іншим суб'єктам господарювання та/або реалізація пального іншим особам на підставі ліцензії на право зберігання пального, отриманої відповідно до </w:t>
            </w:r>
            <w:r>
              <w:rPr>
                <w:rFonts w:ascii="Times New Roman" w:hAnsi="Times New Roman" w:cs="Times New Roman"/>
                <w:b/>
                <w:sz w:val="28"/>
                <w:szCs w:val="28"/>
              </w:rPr>
              <w:t xml:space="preserve">частини сорок </w:t>
            </w:r>
            <w:r>
              <w:rPr>
                <w:rFonts w:ascii="Times New Roman" w:hAnsi="Times New Roman" w:cs="Times New Roman"/>
                <w:b/>
                <w:color w:val="000000" w:themeColor="text1"/>
                <w:sz w:val="28"/>
                <w:szCs w:val="28"/>
              </w:rPr>
              <w:t xml:space="preserve">третьої </w:t>
            </w:r>
            <w:r>
              <w:rPr>
                <w:rFonts w:ascii="Times New Roman" w:hAnsi="Times New Roman" w:cs="Times New Roman"/>
                <w:sz w:val="28"/>
                <w:szCs w:val="28"/>
              </w:rPr>
              <w:t>статті 15 цього Закону, - 500000 гривень;</w:t>
            </w:r>
          </w:p>
        </w:tc>
      </w:tr>
      <w:tr w:rsidR="00421E75" w14:paraId="501F0161" w14:textId="77777777" w:rsidTr="00421E75">
        <w:tc>
          <w:tcPr>
            <w:tcW w:w="5000" w:type="pct"/>
            <w:gridSpan w:val="2"/>
            <w:tcBorders>
              <w:top w:val="single" w:sz="4" w:space="0" w:color="auto"/>
              <w:left w:val="single" w:sz="4" w:space="0" w:color="auto"/>
              <w:bottom w:val="single" w:sz="4" w:space="0" w:color="auto"/>
              <w:right w:val="single" w:sz="4" w:space="0" w:color="auto"/>
            </w:tcBorders>
            <w:hideMark/>
          </w:tcPr>
          <w:p w14:paraId="1C359EEF" w14:textId="77777777" w:rsidR="00421E75" w:rsidRDefault="00421E75" w:rsidP="00421E75">
            <w:pPr>
              <w:spacing w:after="0"/>
              <w:ind w:firstLine="734"/>
              <w:jc w:val="both"/>
              <w:rPr>
                <w:rFonts w:ascii="Times New Roman" w:hAnsi="Times New Roman" w:cs="Times New Roman"/>
                <w:b/>
                <w:sz w:val="28"/>
                <w:szCs w:val="28"/>
              </w:rPr>
            </w:pPr>
            <w:r>
              <w:rPr>
                <w:rFonts w:ascii="Times New Roman" w:eastAsia="Times New Roman" w:hAnsi="Times New Roman" w:cs="Times New Roman"/>
                <w:b/>
                <w:sz w:val="28"/>
                <w:szCs w:val="28"/>
              </w:rPr>
              <w:t>Закон України «Про фермерське господарство»</w:t>
            </w:r>
          </w:p>
        </w:tc>
      </w:tr>
      <w:tr w:rsidR="00421E75" w14:paraId="4123350A" w14:textId="77777777" w:rsidTr="00421E75">
        <w:tc>
          <w:tcPr>
            <w:tcW w:w="2476" w:type="pct"/>
            <w:tcBorders>
              <w:top w:val="single" w:sz="4" w:space="0" w:color="auto"/>
              <w:left w:val="single" w:sz="4" w:space="0" w:color="auto"/>
              <w:bottom w:val="single" w:sz="4" w:space="0" w:color="auto"/>
              <w:right w:val="single" w:sz="4" w:space="0" w:color="auto"/>
            </w:tcBorders>
            <w:hideMark/>
          </w:tcPr>
          <w:p w14:paraId="5084B5D0" w14:textId="77777777" w:rsidR="00421E75" w:rsidRDefault="00421E75" w:rsidP="00421E75">
            <w:pPr>
              <w:pStyle w:val="rvps2"/>
              <w:shd w:val="clear" w:color="auto" w:fill="FFFFFF"/>
              <w:spacing w:before="0" w:beforeAutospacing="0" w:after="0" w:afterAutospacing="0"/>
              <w:jc w:val="both"/>
              <w:rPr>
                <w:sz w:val="28"/>
                <w:szCs w:val="28"/>
                <w:lang w:eastAsia="ru-RU"/>
              </w:rPr>
            </w:pPr>
            <w:r>
              <w:rPr>
                <w:b/>
                <w:bCs/>
                <w:sz w:val="28"/>
                <w:szCs w:val="28"/>
                <w:lang w:eastAsia="ru-RU"/>
              </w:rPr>
              <w:t>Стаття 1. </w:t>
            </w:r>
            <w:r>
              <w:rPr>
                <w:sz w:val="28"/>
                <w:szCs w:val="28"/>
                <w:lang w:eastAsia="ru-RU"/>
              </w:rPr>
              <w:t>Поняття фермерського господарства</w:t>
            </w:r>
          </w:p>
          <w:p w14:paraId="0E3FC2A9" w14:textId="77777777" w:rsidR="00421E75" w:rsidRDefault="00421E75" w:rsidP="00421E75">
            <w:pPr>
              <w:pStyle w:val="rvps2"/>
              <w:shd w:val="clear" w:color="auto" w:fill="FFFFFF"/>
              <w:spacing w:before="0" w:beforeAutospacing="0" w:after="0" w:afterAutospacing="0"/>
              <w:jc w:val="both"/>
              <w:rPr>
                <w:sz w:val="28"/>
                <w:szCs w:val="28"/>
                <w:lang w:eastAsia="ru-RU"/>
              </w:rPr>
            </w:pPr>
            <w:r>
              <w:rPr>
                <w:sz w:val="28"/>
                <w:szCs w:val="28"/>
                <w:lang w:eastAsia="ru-RU"/>
              </w:rPr>
              <w:t>……………</w:t>
            </w:r>
          </w:p>
          <w:p w14:paraId="3F1B758E"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sz w:val="28"/>
                <w:szCs w:val="28"/>
              </w:rPr>
              <w:lastRenderedPageBreak/>
              <w:t>Залучення сімейним фермерським господарством інших громадян відповідно до </w:t>
            </w:r>
            <w:hyperlink r:id="rId15" w:anchor="n174" w:history="1">
              <w:r>
                <w:rPr>
                  <w:rStyle w:val="aa"/>
                  <w:rFonts w:ascii="Times New Roman" w:hAnsi="Times New Roman" w:cs="Times New Roman"/>
                  <w:sz w:val="28"/>
                  <w:szCs w:val="28"/>
                </w:rPr>
                <w:t>статті 27</w:t>
              </w:r>
            </w:hyperlink>
            <w:r>
              <w:rPr>
                <w:rFonts w:ascii="Times New Roman" w:hAnsi="Times New Roman" w:cs="Times New Roman"/>
                <w:sz w:val="28"/>
                <w:szCs w:val="28"/>
              </w:rPr>
              <w:t xml:space="preserve"> цього Закону може здійснюватися виключно для виконання сезонних та окремих робіт, які безпосередньо пов’язані з діяльністю господарства і потребують спеціальних знань чи навичок.</w:t>
            </w:r>
          </w:p>
        </w:tc>
        <w:tc>
          <w:tcPr>
            <w:tcW w:w="2524" w:type="pct"/>
            <w:tcBorders>
              <w:top w:val="single" w:sz="4" w:space="0" w:color="auto"/>
              <w:left w:val="single" w:sz="4" w:space="0" w:color="auto"/>
              <w:bottom w:val="single" w:sz="4" w:space="0" w:color="auto"/>
              <w:right w:val="single" w:sz="4" w:space="0" w:color="auto"/>
            </w:tcBorders>
            <w:hideMark/>
          </w:tcPr>
          <w:p w14:paraId="1B79B037" w14:textId="77777777" w:rsidR="00421E75" w:rsidRDefault="00421E75" w:rsidP="00421E75">
            <w:pPr>
              <w:pStyle w:val="rvps2"/>
              <w:shd w:val="clear" w:color="auto" w:fill="FFFFFF"/>
              <w:spacing w:before="0" w:beforeAutospacing="0" w:after="0" w:afterAutospacing="0"/>
              <w:jc w:val="both"/>
              <w:rPr>
                <w:sz w:val="28"/>
                <w:szCs w:val="28"/>
                <w:lang w:eastAsia="ru-RU"/>
              </w:rPr>
            </w:pPr>
            <w:r>
              <w:rPr>
                <w:b/>
                <w:bCs/>
                <w:sz w:val="28"/>
                <w:szCs w:val="28"/>
                <w:lang w:eastAsia="ru-RU"/>
              </w:rPr>
              <w:lastRenderedPageBreak/>
              <w:t>Стаття 1. </w:t>
            </w:r>
            <w:r>
              <w:rPr>
                <w:sz w:val="28"/>
                <w:szCs w:val="28"/>
                <w:lang w:eastAsia="ru-RU"/>
              </w:rPr>
              <w:t>Поняття фермерського господарства</w:t>
            </w:r>
          </w:p>
          <w:p w14:paraId="2669E97A" w14:textId="77777777" w:rsidR="00421E75" w:rsidRDefault="00421E75" w:rsidP="00421E75">
            <w:pPr>
              <w:pStyle w:val="rvps2"/>
              <w:shd w:val="clear" w:color="auto" w:fill="FFFFFF"/>
              <w:spacing w:before="0" w:beforeAutospacing="0" w:after="0" w:afterAutospacing="0"/>
              <w:jc w:val="both"/>
              <w:rPr>
                <w:sz w:val="28"/>
                <w:szCs w:val="28"/>
                <w:lang w:eastAsia="ru-RU"/>
              </w:rPr>
            </w:pPr>
            <w:r>
              <w:rPr>
                <w:sz w:val="28"/>
                <w:szCs w:val="28"/>
                <w:lang w:eastAsia="ru-RU"/>
              </w:rPr>
              <w:t>……………</w:t>
            </w:r>
          </w:p>
          <w:p w14:paraId="482EA956" w14:textId="77777777" w:rsidR="00421E75" w:rsidRDefault="00421E75" w:rsidP="00421E75">
            <w:pPr>
              <w:spacing w:after="0"/>
              <w:ind w:firstLine="734"/>
              <w:jc w:val="both"/>
              <w:rPr>
                <w:rFonts w:ascii="Times New Roman" w:hAnsi="Times New Roman" w:cs="Times New Roman"/>
                <w:b/>
                <w:sz w:val="28"/>
                <w:szCs w:val="28"/>
              </w:rPr>
            </w:pPr>
            <w:r>
              <w:rPr>
                <w:rFonts w:ascii="Times New Roman" w:hAnsi="Times New Roman" w:cs="Times New Roman"/>
                <w:sz w:val="28"/>
                <w:szCs w:val="28"/>
              </w:rPr>
              <w:lastRenderedPageBreak/>
              <w:t>Залучення сімейним фермерським господарством інших громадян відповідно до </w:t>
            </w:r>
            <w:hyperlink r:id="rId16" w:anchor="n174" w:history="1">
              <w:r>
                <w:rPr>
                  <w:rStyle w:val="aa"/>
                  <w:rFonts w:ascii="Times New Roman" w:hAnsi="Times New Roman" w:cs="Times New Roman"/>
                  <w:sz w:val="28"/>
                  <w:szCs w:val="28"/>
                </w:rPr>
                <w:t>статті 27</w:t>
              </w:r>
            </w:hyperlink>
            <w:r>
              <w:rPr>
                <w:rFonts w:ascii="Times New Roman" w:hAnsi="Times New Roman" w:cs="Times New Roman"/>
                <w:sz w:val="28"/>
                <w:szCs w:val="28"/>
              </w:rPr>
              <w:t xml:space="preserve"> цього Закону може здійснюватися виключно для виконання сезонних та окремих робіт, які безпосередньо пов’язані з діяльністю господарства і потребують спеціальних знань чи навичок</w:t>
            </w:r>
            <w:r>
              <w:rPr>
                <w:rFonts w:ascii="Times New Roman" w:hAnsi="Times New Roman" w:cs="Times New Roman"/>
                <w:b/>
                <w:sz w:val="28"/>
                <w:szCs w:val="28"/>
              </w:rPr>
              <w:t>, кількість яких не може одночасно перевищувати 10 осіб.</w:t>
            </w:r>
          </w:p>
        </w:tc>
      </w:tr>
    </w:tbl>
    <w:p w14:paraId="7AB69CCA" w14:textId="77777777" w:rsidR="00371347" w:rsidRPr="005A7284" w:rsidRDefault="00371347" w:rsidP="00832E3B">
      <w:pPr>
        <w:spacing w:after="0"/>
        <w:jc w:val="both"/>
        <w:rPr>
          <w:rFonts w:ascii="Times New Roman" w:eastAsia="Times New Roman" w:hAnsi="Times New Roman" w:cs="Times New Roman"/>
          <w:sz w:val="28"/>
          <w:szCs w:val="28"/>
        </w:rPr>
      </w:pPr>
    </w:p>
    <w:p w14:paraId="4AA9E526" w14:textId="77777777" w:rsidR="00371347" w:rsidRPr="005A7284" w:rsidRDefault="00371347" w:rsidP="00832E3B">
      <w:pPr>
        <w:spacing w:after="0"/>
        <w:jc w:val="both"/>
        <w:rPr>
          <w:rFonts w:ascii="Times New Roman" w:eastAsia="Times New Roman" w:hAnsi="Times New Roman" w:cs="Times New Roman"/>
          <w:sz w:val="28"/>
          <w:szCs w:val="28"/>
        </w:rPr>
      </w:pPr>
    </w:p>
    <w:p w14:paraId="72C8AEB4" w14:textId="775FD4DC" w:rsidR="00371347" w:rsidRDefault="0007215F" w:rsidP="00832E3B">
      <w:pPr>
        <w:spacing w:after="0"/>
        <w:jc w:val="both"/>
        <w:rPr>
          <w:rFonts w:ascii="Times New Roman" w:hAnsi="Times New Roman" w:cs="Times New Roman"/>
          <w:b/>
          <w:sz w:val="28"/>
          <w:szCs w:val="28"/>
        </w:rPr>
      </w:pPr>
      <w:r w:rsidRPr="005A7284">
        <w:rPr>
          <w:rFonts w:ascii="Times New Roman" w:hAnsi="Times New Roman" w:cs="Times New Roman"/>
          <w:b/>
          <w:sz w:val="28"/>
          <w:szCs w:val="28"/>
        </w:rPr>
        <w:t>Народний депутат України</w:t>
      </w:r>
      <w:r w:rsidR="00A103D7">
        <w:rPr>
          <w:rFonts w:ascii="Times New Roman" w:hAnsi="Times New Roman" w:cs="Times New Roman"/>
          <w:b/>
          <w:sz w:val="28"/>
          <w:szCs w:val="28"/>
        </w:rPr>
        <w:t xml:space="preserve"> </w:t>
      </w:r>
      <w:r w:rsidR="00A103D7">
        <w:rPr>
          <w:rFonts w:ascii="Times New Roman" w:hAnsi="Times New Roman" w:cs="Times New Roman"/>
          <w:b/>
          <w:sz w:val="28"/>
          <w:szCs w:val="28"/>
        </w:rPr>
        <w:tab/>
      </w:r>
      <w:r w:rsidR="00A103D7">
        <w:rPr>
          <w:rFonts w:ascii="Times New Roman" w:hAnsi="Times New Roman" w:cs="Times New Roman"/>
          <w:b/>
          <w:sz w:val="28"/>
          <w:szCs w:val="28"/>
        </w:rPr>
        <w:tab/>
      </w:r>
      <w:r w:rsidR="00A103D7">
        <w:rPr>
          <w:rFonts w:ascii="Times New Roman" w:hAnsi="Times New Roman" w:cs="Times New Roman"/>
          <w:b/>
          <w:sz w:val="28"/>
          <w:szCs w:val="28"/>
        </w:rPr>
        <w:tab/>
      </w:r>
      <w:r w:rsidR="00A103D7">
        <w:rPr>
          <w:rFonts w:ascii="Times New Roman" w:hAnsi="Times New Roman" w:cs="Times New Roman"/>
          <w:b/>
          <w:sz w:val="28"/>
          <w:szCs w:val="28"/>
        </w:rPr>
        <w:tab/>
      </w:r>
      <w:r w:rsidR="00A103D7">
        <w:rPr>
          <w:rFonts w:ascii="Times New Roman" w:hAnsi="Times New Roman" w:cs="Times New Roman"/>
          <w:b/>
          <w:sz w:val="28"/>
          <w:szCs w:val="28"/>
        </w:rPr>
        <w:tab/>
      </w:r>
      <w:r w:rsidR="00A103D7">
        <w:rPr>
          <w:rFonts w:ascii="Times New Roman" w:hAnsi="Times New Roman" w:cs="Times New Roman"/>
          <w:b/>
          <w:sz w:val="28"/>
          <w:szCs w:val="28"/>
        </w:rPr>
        <w:tab/>
      </w:r>
      <w:r w:rsidR="00A103D7">
        <w:rPr>
          <w:rFonts w:ascii="Times New Roman" w:hAnsi="Times New Roman" w:cs="Times New Roman"/>
          <w:b/>
          <w:sz w:val="28"/>
          <w:szCs w:val="28"/>
        </w:rPr>
        <w:tab/>
      </w:r>
      <w:r w:rsidR="00A103D7">
        <w:rPr>
          <w:rFonts w:ascii="Times New Roman" w:hAnsi="Times New Roman" w:cs="Times New Roman"/>
          <w:b/>
          <w:sz w:val="28"/>
          <w:szCs w:val="28"/>
        </w:rPr>
        <w:tab/>
      </w:r>
      <w:r w:rsidR="00A103D7">
        <w:rPr>
          <w:rFonts w:ascii="Times New Roman" w:hAnsi="Times New Roman" w:cs="Times New Roman"/>
          <w:b/>
          <w:sz w:val="28"/>
          <w:szCs w:val="28"/>
        </w:rPr>
        <w:tab/>
      </w:r>
      <w:r w:rsidR="00A103D7">
        <w:rPr>
          <w:rFonts w:ascii="Times New Roman" w:hAnsi="Times New Roman" w:cs="Times New Roman"/>
          <w:b/>
          <w:sz w:val="28"/>
          <w:szCs w:val="28"/>
        </w:rPr>
        <w:tab/>
      </w:r>
      <w:r w:rsidR="00A103D7">
        <w:rPr>
          <w:rFonts w:ascii="Times New Roman" w:hAnsi="Times New Roman" w:cs="Times New Roman"/>
          <w:b/>
          <w:sz w:val="28"/>
          <w:szCs w:val="28"/>
        </w:rPr>
        <w:tab/>
      </w:r>
      <w:r w:rsidR="00A103D7">
        <w:rPr>
          <w:rFonts w:ascii="Times New Roman" w:hAnsi="Times New Roman" w:cs="Times New Roman"/>
          <w:b/>
          <w:sz w:val="28"/>
          <w:szCs w:val="28"/>
        </w:rPr>
        <w:tab/>
      </w:r>
      <w:r w:rsidR="00A103D7">
        <w:rPr>
          <w:rFonts w:ascii="Times New Roman" w:hAnsi="Times New Roman" w:cs="Times New Roman"/>
          <w:b/>
          <w:sz w:val="28"/>
          <w:szCs w:val="28"/>
        </w:rPr>
        <w:tab/>
        <w:t>Д. О. Гетманцев</w:t>
      </w:r>
    </w:p>
    <w:p w14:paraId="5D92B4C5" w14:textId="6F5B1ED1" w:rsidR="00A103D7" w:rsidRPr="0007215F" w:rsidRDefault="00A103D7" w:rsidP="00832E3B">
      <w:pPr>
        <w:spacing w:after="0"/>
        <w:ind w:firstLine="720"/>
        <w:jc w:val="both"/>
        <w:rPr>
          <w:rFonts w:ascii="Times New Roman" w:hAnsi="Times New Roman" w:cs="Times New Roman"/>
          <w:b/>
          <w:sz w:val="28"/>
          <w:szCs w:val="28"/>
        </w:rPr>
      </w:pPr>
      <w:r>
        <w:rPr>
          <w:rFonts w:ascii="Times New Roman" w:hAnsi="Times New Roman" w:cs="Times New Roman"/>
          <w:b/>
          <w:sz w:val="28"/>
          <w:szCs w:val="28"/>
        </w:rPr>
        <w:t xml:space="preserve">    </w:t>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Pr>
          <w:rFonts w:ascii="Times New Roman" w:hAnsi="Times New Roman" w:cs="Times New Roman"/>
          <w:b/>
          <w:sz w:val="28"/>
          <w:szCs w:val="28"/>
        </w:rPr>
        <w:tab/>
      </w:r>
      <w:r w:rsidR="008268BE" w:rsidRPr="00A24C7B">
        <w:rPr>
          <w:rFonts w:ascii="Times New Roman" w:hAnsi="Times New Roman" w:cs="Times New Roman"/>
          <w:b/>
          <w:sz w:val="28"/>
          <w:szCs w:val="28"/>
          <w:lang w:val="ru-RU"/>
        </w:rPr>
        <w:t xml:space="preserve">  </w:t>
      </w:r>
      <w:r>
        <w:rPr>
          <w:rFonts w:ascii="Times New Roman" w:hAnsi="Times New Roman" w:cs="Times New Roman"/>
          <w:b/>
          <w:sz w:val="28"/>
          <w:szCs w:val="28"/>
        </w:rPr>
        <w:t>(посвід. № 20)</w:t>
      </w:r>
    </w:p>
    <w:p w14:paraId="17E32FAC" w14:textId="77777777" w:rsidR="00371347" w:rsidRPr="00EF75E2" w:rsidRDefault="00371347" w:rsidP="00832E3B">
      <w:pPr>
        <w:spacing w:after="0"/>
        <w:jc w:val="both"/>
        <w:rPr>
          <w:rFonts w:ascii="Times New Roman" w:eastAsia="Times New Roman" w:hAnsi="Times New Roman" w:cs="Times New Roman"/>
          <w:sz w:val="28"/>
          <w:szCs w:val="28"/>
        </w:rPr>
      </w:pPr>
    </w:p>
    <w:sectPr w:rsidR="00371347" w:rsidRPr="00EF75E2">
      <w:footerReference w:type="default" r:id="rId17"/>
      <w:pgSz w:w="16838" w:h="11906"/>
      <w:pgMar w:top="992"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3392AF" w14:textId="77777777" w:rsidR="00D33081" w:rsidRDefault="00D33081" w:rsidP="00F7168A">
      <w:pPr>
        <w:spacing w:after="0"/>
      </w:pPr>
      <w:r>
        <w:separator/>
      </w:r>
    </w:p>
  </w:endnote>
  <w:endnote w:type="continuationSeparator" w:id="0">
    <w:p w14:paraId="0C4B2775" w14:textId="77777777" w:rsidR="00D33081" w:rsidRDefault="00D33081" w:rsidP="00F716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9820965"/>
      <w:docPartObj>
        <w:docPartGallery w:val="Page Numbers (Bottom of Page)"/>
        <w:docPartUnique/>
      </w:docPartObj>
    </w:sdtPr>
    <w:sdtEndPr/>
    <w:sdtContent>
      <w:p w14:paraId="1EA82B60" w14:textId="24ED6D30" w:rsidR="00026817" w:rsidRDefault="00026817">
        <w:pPr>
          <w:pStyle w:val="a8"/>
          <w:jc w:val="right"/>
        </w:pPr>
        <w:r>
          <w:fldChar w:fldCharType="begin"/>
        </w:r>
        <w:r>
          <w:instrText>PAGE   \* MERGEFORMAT</w:instrText>
        </w:r>
        <w:r>
          <w:fldChar w:fldCharType="separate"/>
        </w:r>
        <w:r w:rsidR="002621A3">
          <w:rPr>
            <w:noProof/>
          </w:rPr>
          <w:t>2</w:t>
        </w:r>
        <w:r>
          <w:fldChar w:fldCharType="end"/>
        </w:r>
      </w:p>
    </w:sdtContent>
  </w:sdt>
  <w:p w14:paraId="3494CCF4" w14:textId="77777777" w:rsidR="00026817" w:rsidRDefault="0002681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648566" w14:textId="77777777" w:rsidR="00D33081" w:rsidRDefault="00D33081" w:rsidP="00F7168A">
      <w:pPr>
        <w:spacing w:after="0"/>
      </w:pPr>
      <w:r>
        <w:separator/>
      </w:r>
    </w:p>
  </w:footnote>
  <w:footnote w:type="continuationSeparator" w:id="0">
    <w:p w14:paraId="111EF419" w14:textId="77777777" w:rsidR="00D33081" w:rsidRDefault="00D33081" w:rsidP="00F7168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35A7D"/>
    <w:multiLevelType w:val="multilevel"/>
    <w:tmpl w:val="7F7E9472"/>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EFE5976"/>
    <w:multiLevelType w:val="multilevel"/>
    <w:tmpl w:val="76A0540E"/>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0E42596"/>
    <w:multiLevelType w:val="multilevel"/>
    <w:tmpl w:val="3590430A"/>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27274689"/>
    <w:multiLevelType w:val="multilevel"/>
    <w:tmpl w:val="797E776C"/>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3F5729B7"/>
    <w:multiLevelType w:val="multilevel"/>
    <w:tmpl w:val="1ED664B2"/>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4BE441F4"/>
    <w:multiLevelType w:val="multilevel"/>
    <w:tmpl w:val="DAA8ED8E"/>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62216A84"/>
    <w:multiLevelType w:val="multilevel"/>
    <w:tmpl w:val="425C0ECA"/>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6DD72B96"/>
    <w:multiLevelType w:val="multilevel"/>
    <w:tmpl w:val="C6F4047E"/>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71133FD2"/>
    <w:multiLevelType w:val="multilevel"/>
    <w:tmpl w:val="13A27C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2"/>
  </w:num>
  <w:num w:numId="2">
    <w:abstractNumId w:val="3"/>
  </w:num>
  <w:num w:numId="3">
    <w:abstractNumId w:val="7"/>
  </w:num>
  <w:num w:numId="4">
    <w:abstractNumId w:val="6"/>
  </w:num>
  <w:num w:numId="5">
    <w:abstractNumId w:val="8"/>
  </w:num>
  <w:num w:numId="6">
    <w:abstractNumId w:val="4"/>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347"/>
    <w:rsid w:val="0001595A"/>
    <w:rsid w:val="00026817"/>
    <w:rsid w:val="0007215F"/>
    <w:rsid w:val="00091240"/>
    <w:rsid w:val="000B2017"/>
    <w:rsid w:val="000C7DF4"/>
    <w:rsid w:val="000D5579"/>
    <w:rsid w:val="000E1FA9"/>
    <w:rsid w:val="000F5F6F"/>
    <w:rsid w:val="00114713"/>
    <w:rsid w:val="00157F74"/>
    <w:rsid w:val="00182204"/>
    <w:rsid w:val="001B5B65"/>
    <w:rsid w:val="001C0C9E"/>
    <w:rsid w:val="001D42CC"/>
    <w:rsid w:val="001E0596"/>
    <w:rsid w:val="001E35A4"/>
    <w:rsid w:val="001F1575"/>
    <w:rsid w:val="001F25BA"/>
    <w:rsid w:val="002245A6"/>
    <w:rsid w:val="002621A3"/>
    <w:rsid w:val="00271D5A"/>
    <w:rsid w:val="00281AAB"/>
    <w:rsid w:val="00284B43"/>
    <w:rsid w:val="002C322F"/>
    <w:rsid w:val="002D26D3"/>
    <w:rsid w:val="002D2C31"/>
    <w:rsid w:val="002D3A11"/>
    <w:rsid w:val="002D6DEA"/>
    <w:rsid w:val="002E072C"/>
    <w:rsid w:val="002F7887"/>
    <w:rsid w:val="003113E3"/>
    <w:rsid w:val="00317EDA"/>
    <w:rsid w:val="00345200"/>
    <w:rsid w:val="003603F8"/>
    <w:rsid w:val="00371347"/>
    <w:rsid w:val="003C2BE2"/>
    <w:rsid w:val="003D5E94"/>
    <w:rsid w:val="00407748"/>
    <w:rsid w:val="00415E43"/>
    <w:rsid w:val="00417CDF"/>
    <w:rsid w:val="00421E75"/>
    <w:rsid w:val="004447E3"/>
    <w:rsid w:val="00481F80"/>
    <w:rsid w:val="00491FBB"/>
    <w:rsid w:val="004A03DA"/>
    <w:rsid w:val="004C1733"/>
    <w:rsid w:val="004F3451"/>
    <w:rsid w:val="00524690"/>
    <w:rsid w:val="00541972"/>
    <w:rsid w:val="005452D3"/>
    <w:rsid w:val="005522D9"/>
    <w:rsid w:val="0056414E"/>
    <w:rsid w:val="00572D32"/>
    <w:rsid w:val="00574E4D"/>
    <w:rsid w:val="005A7284"/>
    <w:rsid w:val="005B048E"/>
    <w:rsid w:val="005B1BC7"/>
    <w:rsid w:val="005D454A"/>
    <w:rsid w:val="00625369"/>
    <w:rsid w:val="006440EF"/>
    <w:rsid w:val="00676969"/>
    <w:rsid w:val="00684B76"/>
    <w:rsid w:val="006941D4"/>
    <w:rsid w:val="00694349"/>
    <w:rsid w:val="006976C0"/>
    <w:rsid w:val="006F3B37"/>
    <w:rsid w:val="006F5235"/>
    <w:rsid w:val="007057A6"/>
    <w:rsid w:val="00706C29"/>
    <w:rsid w:val="00733567"/>
    <w:rsid w:val="00774670"/>
    <w:rsid w:val="00775FFB"/>
    <w:rsid w:val="007E3691"/>
    <w:rsid w:val="007F2E46"/>
    <w:rsid w:val="008268BE"/>
    <w:rsid w:val="00832E3B"/>
    <w:rsid w:val="00832EC8"/>
    <w:rsid w:val="00834493"/>
    <w:rsid w:val="008914B5"/>
    <w:rsid w:val="00897F71"/>
    <w:rsid w:val="008B0009"/>
    <w:rsid w:val="008B0021"/>
    <w:rsid w:val="008C29D8"/>
    <w:rsid w:val="008D19C9"/>
    <w:rsid w:val="008E6B5C"/>
    <w:rsid w:val="008F5923"/>
    <w:rsid w:val="00926223"/>
    <w:rsid w:val="009332E6"/>
    <w:rsid w:val="00946E56"/>
    <w:rsid w:val="00947629"/>
    <w:rsid w:val="00950193"/>
    <w:rsid w:val="00963E7A"/>
    <w:rsid w:val="00972391"/>
    <w:rsid w:val="009C15E9"/>
    <w:rsid w:val="009F70B6"/>
    <w:rsid w:val="00A103D7"/>
    <w:rsid w:val="00A24C7B"/>
    <w:rsid w:val="00A372BE"/>
    <w:rsid w:val="00A509F9"/>
    <w:rsid w:val="00A550DA"/>
    <w:rsid w:val="00A90EDC"/>
    <w:rsid w:val="00A91B9E"/>
    <w:rsid w:val="00AA7E50"/>
    <w:rsid w:val="00AA7FB2"/>
    <w:rsid w:val="00AC5BB2"/>
    <w:rsid w:val="00AD48AF"/>
    <w:rsid w:val="00AE4A52"/>
    <w:rsid w:val="00AE5621"/>
    <w:rsid w:val="00AE5A07"/>
    <w:rsid w:val="00AF0D9A"/>
    <w:rsid w:val="00AF11A0"/>
    <w:rsid w:val="00B22B5F"/>
    <w:rsid w:val="00B54025"/>
    <w:rsid w:val="00B76DB5"/>
    <w:rsid w:val="00B872CE"/>
    <w:rsid w:val="00BA6B70"/>
    <w:rsid w:val="00BB69BC"/>
    <w:rsid w:val="00BC170F"/>
    <w:rsid w:val="00BE06BB"/>
    <w:rsid w:val="00BE0D29"/>
    <w:rsid w:val="00BF3786"/>
    <w:rsid w:val="00C00D30"/>
    <w:rsid w:val="00C04004"/>
    <w:rsid w:val="00C11010"/>
    <w:rsid w:val="00C26E76"/>
    <w:rsid w:val="00C34C08"/>
    <w:rsid w:val="00C4142D"/>
    <w:rsid w:val="00C42A28"/>
    <w:rsid w:val="00C75C3E"/>
    <w:rsid w:val="00C801BC"/>
    <w:rsid w:val="00CA4061"/>
    <w:rsid w:val="00CF21A3"/>
    <w:rsid w:val="00D33081"/>
    <w:rsid w:val="00D36124"/>
    <w:rsid w:val="00D534FC"/>
    <w:rsid w:val="00D57447"/>
    <w:rsid w:val="00D63C57"/>
    <w:rsid w:val="00D76172"/>
    <w:rsid w:val="00D82135"/>
    <w:rsid w:val="00DB6BE1"/>
    <w:rsid w:val="00DD3D8F"/>
    <w:rsid w:val="00DD412B"/>
    <w:rsid w:val="00DE2CCC"/>
    <w:rsid w:val="00E067F8"/>
    <w:rsid w:val="00E520E4"/>
    <w:rsid w:val="00E655F8"/>
    <w:rsid w:val="00E73AD9"/>
    <w:rsid w:val="00E74BD1"/>
    <w:rsid w:val="00EC2E61"/>
    <w:rsid w:val="00EC35EC"/>
    <w:rsid w:val="00ED3F7A"/>
    <w:rsid w:val="00ED40FA"/>
    <w:rsid w:val="00EF75E2"/>
    <w:rsid w:val="00F1487B"/>
    <w:rsid w:val="00F61431"/>
    <w:rsid w:val="00F67194"/>
    <w:rsid w:val="00F7168A"/>
    <w:rsid w:val="00FE04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C4EB1"/>
  <w15:docId w15:val="{4EAA8936-5CFF-4F18-B29A-8B5A1129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30">
    <w:name w:val="3"/>
    <w:basedOn w:val="TableNormal"/>
    <w:tblPr>
      <w:tblStyleRowBandSize w:val="1"/>
      <w:tblStyleColBandSize w:val="1"/>
      <w:tblCellMar>
        <w:top w:w="100" w:type="dxa"/>
        <w:left w:w="100" w:type="dxa"/>
        <w:bottom w:w="100" w:type="dxa"/>
        <w:right w:w="100" w:type="dxa"/>
      </w:tblCellMar>
    </w:tblPr>
  </w:style>
  <w:style w:type="table" w:customStyle="1" w:styleId="20">
    <w:name w:val="2"/>
    <w:basedOn w:val="TableNormal"/>
    <w:pPr>
      <w:spacing w:after="0"/>
    </w:pPr>
    <w:tblPr>
      <w:tblStyleRowBandSize w:val="1"/>
      <w:tblStyleColBandSize w:val="1"/>
      <w:tblCellMar>
        <w:left w:w="108" w:type="dxa"/>
        <w:right w:w="108" w:type="dxa"/>
      </w:tblCellMar>
    </w:tblPr>
  </w:style>
  <w:style w:type="table" w:customStyle="1" w:styleId="10">
    <w:name w:val="1"/>
    <w:basedOn w:val="TableNormal"/>
    <w:tblPr>
      <w:tblStyleRowBandSize w:val="1"/>
      <w:tblStyleColBandSize w:val="1"/>
      <w:tblCellMar>
        <w:top w:w="100" w:type="dxa"/>
        <w:left w:w="100" w:type="dxa"/>
        <w:bottom w:w="100" w:type="dxa"/>
        <w:right w:w="100" w:type="dxa"/>
      </w:tblCellMar>
    </w:tblPr>
  </w:style>
  <w:style w:type="paragraph" w:styleId="a5">
    <w:name w:val="List Paragraph"/>
    <w:basedOn w:val="a"/>
    <w:uiPriority w:val="34"/>
    <w:qFormat/>
    <w:rsid w:val="00C801BC"/>
    <w:pPr>
      <w:spacing w:after="0"/>
      <w:ind w:left="720" w:firstLine="709"/>
      <w:contextualSpacing/>
      <w:jc w:val="both"/>
    </w:pPr>
    <w:rPr>
      <w:rFonts w:ascii="Times New Roman" w:eastAsiaTheme="minorHAnsi" w:hAnsi="Times New Roman" w:cs="Times New Roman"/>
      <w:sz w:val="28"/>
      <w:szCs w:val="28"/>
      <w:lang w:val="ru-RU" w:eastAsia="en-US"/>
    </w:rPr>
  </w:style>
  <w:style w:type="character" w:customStyle="1" w:styleId="rvts37">
    <w:name w:val="rvts37"/>
    <w:rsid w:val="00706C29"/>
  </w:style>
  <w:style w:type="character" w:customStyle="1" w:styleId="rvts0">
    <w:name w:val="rvts0"/>
    <w:uiPriority w:val="99"/>
    <w:rsid w:val="00963E7A"/>
  </w:style>
  <w:style w:type="paragraph" w:styleId="a6">
    <w:name w:val="header"/>
    <w:basedOn w:val="a"/>
    <w:link w:val="a7"/>
    <w:uiPriority w:val="99"/>
    <w:unhideWhenUsed/>
    <w:rsid w:val="00F7168A"/>
    <w:pPr>
      <w:tabs>
        <w:tab w:val="center" w:pos="4819"/>
        <w:tab w:val="right" w:pos="9639"/>
      </w:tabs>
      <w:spacing w:after="0"/>
    </w:pPr>
  </w:style>
  <w:style w:type="character" w:customStyle="1" w:styleId="a7">
    <w:name w:val="Верхній колонтитул Знак"/>
    <w:basedOn w:val="a0"/>
    <w:link w:val="a6"/>
    <w:uiPriority w:val="99"/>
    <w:rsid w:val="00F7168A"/>
  </w:style>
  <w:style w:type="paragraph" w:styleId="a8">
    <w:name w:val="footer"/>
    <w:basedOn w:val="a"/>
    <w:link w:val="a9"/>
    <w:uiPriority w:val="99"/>
    <w:unhideWhenUsed/>
    <w:rsid w:val="00F7168A"/>
    <w:pPr>
      <w:tabs>
        <w:tab w:val="center" w:pos="4819"/>
        <w:tab w:val="right" w:pos="9639"/>
      </w:tabs>
      <w:spacing w:after="0"/>
    </w:pPr>
  </w:style>
  <w:style w:type="character" w:customStyle="1" w:styleId="a9">
    <w:name w:val="Нижній колонтитул Знак"/>
    <w:basedOn w:val="a0"/>
    <w:link w:val="a8"/>
    <w:uiPriority w:val="99"/>
    <w:rsid w:val="00F7168A"/>
  </w:style>
  <w:style w:type="paragraph" w:customStyle="1" w:styleId="rvps2">
    <w:name w:val="rvps2"/>
    <w:basedOn w:val="a"/>
    <w:uiPriority w:val="99"/>
    <w:rsid w:val="00F67194"/>
    <w:pPr>
      <w:spacing w:before="100" w:beforeAutospacing="1" w:after="100" w:afterAutospacing="1"/>
    </w:pPr>
    <w:rPr>
      <w:rFonts w:ascii="Times New Roman" w:eastAsia="Times New Roman" w:hAnsi="Times New Roman" w:cs="Times New Roman"/>
      <w:sz w:val="24"/>
      <w:szCs w:val="24"/>
      <w:lang w:eastAsia="uk-UA"/>
    </w:rPr>
  </w:style>
  <w:style w:type="character" w:customStyle="1" w:styleId="rvts9">
    <w:name w:val="rvts9"/>
    <w:basedOn w:val="a0"/>
    <w:rsid w:val="00F67194"/>
  </w:style>
  <w:style w:type="character" w:styleId="aa">
    <w:name w:val="Hyperlink"/>
    <w:basedOn w:val="a0"/>
    <w:unhideWhenUsed/>
    <w:rsid w:val="00C26E76"/>
    <w:rPr>
      <w:color w:val="0000FF"/>
      <w:u w:val="single"/>
    </w:rPr>
  </w:style>
  <w:style w:type="character" w:customStyle="1" w:styleId="-">
    <w:name w:val="Интернет-ссылка"/>
    <w:uiPriority w:val="99"/>
    <w:rsid w:val="000F5F6F"/>
    <w:rPr>
      <w:color w:val="0000FF"/>
      <w:u w:val="single"/>
    </w:rPr>
  </w:style>
  <w:style w:type="character" w:customStyle="1" w:styleId="hps">
    <w:name w:val="hps"/>
    <w:basedOn w:val="a0"/>
    <w:uiPriority w:val="99"/>
    <w:rsid w:val="000F5F6F"/>
    <w:rPr>
      <w:rFonts w:cs="Times New Roman"/>
    </w:rPr>
  </w:style>
  <w:style w:type="character" w:customStyle="1" w:styleId="rvts46">
    <w:name w:val="rvts46"/>
    <w:basedOn w:val="a0"/>
    <w:rsid w:val="000F5F6F"/>
  </w:style>
  <w:style w:type="paragraph" w:styleId="ab">
    <w:name w:val="Normal (Web)"/>
    <w:basedOn w:val="a"/>
    <w:uiPriority w:val="99"/>
    <w:unhideWhenUsed/>
    <w:rsid w:val="00AE4A52"/>
    <w:pPr>
      <w:spacing w:before="100" w:beforeAutospacing="1" w:after="100" w:afterAutospacing="1"/>
    </w:pPr>
    <w:rPr>
      <w:rFonts w:ascii="Times New Roman" w:eastAsia="Times New Roman" w:hAnsi="Times New Roman" w:cs="Times New Roman"/>
      <w:sz w:val="24"/>
      <w:szCs w:val="24"/>
      <w:lang w:eastAsia="uk-UA"/>
    </w:rPr>
  </w:style>
  <w:style w:type="character" w:styleId="ac">
    <w:name w:val="annotation reference"/>
    <w:basedOn w:val="a0"/>
    <w:uiPriority w:val="99"/>
    <w:semiHidden/>
    <w:unhideWhenUsed/>
    <w:rsid w:val="00541972"/>
    <w:rPr>
      <w:sz w:val="16"/>
      <w:szCs w:val="16"/>
    </w:rPr>
  </w:style>
  <w:style w:type="paragraph" w:styleId="ad">
    <w:name w:val="annotation text"/>
    <w:basedOn w:val="a"/>
    <w:link w:val="ae"/>
    <w:uiPriority w:val="99"/>
    <w:semiHidden/>
    <w:unhideWhenUsed/>
    <w:rsid w:val="00541972"/>
    <w:rPr>
      <w:sz w:val="20"/>
      <w:szCs w:val="20"/>
    </w:rPr>
  </w:style>
  <w:style w:type="character" w:customStyle="1" w:styleId="ae">
    <w:name w:val="Текст примітки Знак"/>
    <w:basedOn w:val="a0"/>
    <w:link w:val="ad"/>
    <w:uiPriority w:val="99"/>
    <w:semiHidden/>
    <w:rsid w:val="00541972"/>
    <w:rPr>
      <w:sz w:val="20"/>
      <w:szCs w:val="20"/>
    </w:rPr>
  </w:style>
  <w:style w:type="paragraph" w:styleId="af">
    <w:name w:val="annotation subject"/>
    <w:basedOn w:val="ad"/>
    <w:next w:val="ad"/>
    <w:link w:val="af0"/>
    <w:uiPriority w:val="99"/>
    <w:semiHidden/>
    <w:unhideWhenUsed/>
    <w:rsid w:val="00541972"/>
    <w:rPr>
      <w:b/>
      <w:bCs/>
    </w:rPr>
  </w:style>
  <w:style w:type="character" w:customStyle="1" w:styleId="af0">
    <w:name w:val="Тема примітки Знак"/>
    <w:basedOn w:val="ae"/>
    <w:link w:val="af"/>
    <w:uiPriority w:val="99"/>
    <w:semiHidden/>
    <w:rsid w:val="00541972"/>
    <w:rPr>
      <w:b/>
      <w:bCs/>
      <w:sz w:val="20"/>
      <w:szCs w:val="20"/>
    </w:rPr>
  </w:style>
  <w:style w:type="paragraph" w:styleId="af1">
    <w:name w:val="Balloon Text"/>
    <w:basedOn w:val="a"/>
    <w:link w:val="af2"/>
    <w:semiHidden/>
    <w:unhideWhenUsed/>
    <w:rsid w:val="00541972"/>
    <w:pPr>
      <w:spacing w:after="0"/>
    </w:pPr>
    <w:rPr>
      <w:rFonts w:ascii="Times New Roman" w:hAnsi="Times New Roman" w:cs="Times New Roman"/>
      <w:sz w:val="18"/>
      <w:szCs w:val="18"/>
    </w:rPr>
  </w:style>
  <w:style w:type="character" w:customStyle="1" w:styleId="af2">
    <w:name w:val="Текст у виносці Знак"/>
    <w:basedOn w:val="a0"/>
    <w:link w:val="af1"/>
    <w:semiHidden/>
    <w:rsid w:val="00541972"/>
    <w:rPr>
      <w:rFonts w:ascii="Times New Roman" w:hAnsi="Times New Roman" w:cs="Times New Roman"/>
      <w:sz w:val="18"/>
      <w:szCs w:val="18"/>
    </w:rPr>
  </w:style>
  <w:style w:type="character" w:customStyle="1" w:styleId="apple-converted-space">
    <w:name w:val="apple-converted-space"/>
    <w:basedOn w:val="a0"/>
    <w:rsid w:val="00BE06BB"/>
  </w:style>
  <w:style w:type="character" w:customStyle="1" w:styleId="rvts23">
    <w:name w:val="rvts23"/>
    <w:basedOn w:val="a0"/>
    <w:rsid w:val="009501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395136">
      <w:bodyDiv w:val="1"/>
      <w:marLeft w:val="0"/>
      <w:marRight w:val="0"/>
      <w:marTop w:val="0"/>
      <w:marBottom w:val="0"/>
      <w:divBdr>
        <w:top w:val="none" w:sz="0" w:space="0" w:color="auto"/>
        <w:left w:val="none" w:sz="0" w:space="0" w:color="auto"/>
        <w:bottom w:val="none" w:sz="0" w:space="0" w:color="auto"/>
        <w:right w:val="none" w:sz="0" w:space="0" w:color="auto"/>
      </w:divBdr>
    </w:div>
    <w:div w:id="234557505">
      <w:bodyDiv w:val="1"/>
      <w:marLeft w:val="0"/>
      <w:marRight w:val="0"/>
      <w:marTop w:val="0"/>
      <w:marBottom w:val="0"/>
      <w:divBdr>
        <w:top w:val="none" w:sz="0" w:space="0" w:color="auto"/>
        <w:left w:val="none" w:sz="0" w:space="0" w:color="auto"/>
        <w:bottom w:val="none" w:sz="0" w:space="0" w:color="auto"/>
        <w:right w:val="none" w:sz="0" w:space="0" w:color="auto"/>
      </w:divBdr>
    </w:div>
    <w:div w:id="474377283">
      <w:bodyDiv w:val="1"/>
      <w:marLeft w:val="0"/>
      <w:marRight w:val="0"/>
      <w:marTop w:val="0"/>
      <w:marBottom w:val="0"/>
      <w:divBdr>
        <w:top w:val="none" w:sz="0" w:space="0" w:color="auto"/>
        <w:left w:val="none" w:sz="0" w:space="0" w:color="auto"/>
        <w:bottom w:val="none" w:sz="0" w:space="0" w:color="auto"/>
        <w:right w:val="none" w:sz="0" w:space="0" w:color="auto"/>
      </w:divBdr>
    </w:div>
    <w:div w:id="514727828">
      <w:bodyDiv w:val="1"/>
      <w:marLeft w:val="0"/>
      <w:marRight w:val="0"/>
      <w:marTop w:val="0"/>
      <w:marBottom w:val="0"/>
      <w:divBdr>
        <w:top w:val="none" w:sz="0" w:space="0" w:color="auto"/>
        <w:left w:val="none" w:sz="0" w:space="0" w:color="auto"/>
        <w:bottom w:val="none" w:sz="0" w:space="0" w:color="auto"/>
        <w:right w:val="none" w:sz="0" w:space="0" w:color="auto"/>
      </w:divBdr>
    </w:div>
    <w:div w:id="928780955">
      <w:bodyDiv w:val="1"/>
      <w:marLeft w:val="0"/>
      <w:marRight w:val="0"/>
      <w:marTop w:val="0"/>
      <w:marBottom w:val="0"/>
      <w:divBdr>
        <w:top w:val="none" w:sz="0" w:space="0" w:color="auto"/>
        <w:left w:val="none" w:sz="0" w:space="0" w:color="auto"/>
        <w:bottom w:val="none" w:sz="0" w:space="0" w:color="auto"/>
        <w:right w:val="none" w:sz="0" w:space="0" w:color="auto"/>
      </w:divBdr>
    </w:div>
    <w:div w:id="16019105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rada/show/2947-1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rada/show/973-1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zakon.rada.gov.ua/laws/show/973-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2947-14" TargetMode="External"/><Relationship Id="rId5" Type="http://schemas.openxmlformats.org/officeDocument/2006/relationships/styles" Target="styles.xml"/><Relationship Id="rId15" Type="http://schemas.openxmlformats.org/officeDocument/2006/relationships/hyperlink" Target="https://zakon.rada.gov.ua/laws/show/973-15" TargetMode="External"/><Relationship Id="rId10" Type="http://schemas.openxmlformats.org/officeDocument/2006/relationships/hyperlink" Target="https://zakon.rada.gov.ua/rada/show/973-15"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371%D0%B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24F095-BACD-4844-99FD-C845B9FB220B}">
  <ds:schemaRefs>
    <ds:schemaRef ds:uri="http://schemas.microsoft.com/sharepoint/v3/contenttype/forms"/>
  </ds:schemaRefs>
</ds:datastoreItem>
</file>

<file path=customXml/itemProps2.xml><?xml version="1.0" encoding="utf-8"?>
<ds:datastoreItem xmlns:ds="http://schemas.openxmlformats.org/officeDocument/2006/customXml" ds:itemID="{798EC7FD-3140-4CAE-B92D-FA9C9CC865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4EDA3F-6729-4929-9181-910D0CE7F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37870</Words>
  <Characters>21587</Characters>
  <Application>Microsoft Office Word</Application>
  <DocSecurity>0</DocSecurity>
  <Lines>179</Lines>
  <Paragraphs>118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2020-07-16T06:47:00Z</dcterms:created>
  <dcterms:modified xsi:type="dcterms:W3CDTF">2020-07-16T06:47:00Z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