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463CD1" w:rsidRPr="00233611" w:rsidRDefault="00463CD1" w:rsidP="00463CD1">
      <w:pPr>
        <w:pStyle w:val="a6"/>
        <w:rPr>
          <w:rFonts w:ascii="Times New Roman" w:hAnsi="Times New Roman"/>
          <w:b w:val="0"/>
          <w:sz w:val="28"/>
          <w:szCs w:val="28"/>
        </w:rPr>
      </w:pPr>
      <w:r>
        <w:rPr>
          <w:rFonts w:ascii="Times New Roman" w:hAnsi="Times New Roman"/>
          <w:b w:val="0"/>
          <w:sz w:val="28"/>
          <w:szCs w:val="28"/>
        </w:rPr>
        <w:t xml:space="preserve">Про </w:t>
      </w:r>
      <w:r w:rsidRPr="00233611">
        <w:rPr>
          <w:rFonts w:ascii="Times New Roman" w:hAnsi="Times New Roman"/>
          <w:b w:val="0"/>
          <w:sz w:val="28"/>
          <w:szCs w:val="28"/>
        </w:rPr>
        <w:t>перелік об</w:t>
      </w:r>
      <w:r>
        <w:rPr>
          <w:rFonts w:ascii="Times New Roman" w:hAnsi="Times New Roman"/>
          <w:b w:val="0"/>
          <w:sz w:val="28"/>
          <w:szCs w:val="28"/>
        </w:rPr>
        <w:t>’</w:t>
      </w:r>
      <w:r w:rsidRPr="00233611">
        <w:rPr>
          <w:rFonts w:ascii="Times New Roman" w:hAnsi="Times New Roman"/>
          <w:b w:val="0"/>
          <w:sz w:val="28"/>
          <w:szCs w:val="28"/>
        </w:rPr>
        <w:t>єктів права державної</w:t>
      </w:r>
      <w:r w:rsidRPr="00233611">
        <w:rPr>
          <w:rFonts w:ascii="Times New Roman" w:hAnsi="Times New Roman"/>
          <w:b w:val="0"/>
          <w:sz w:val="28"/>
          <w:szCs w:val="28"/>
        </w:rPr>
        <w:br/>
        <w:t>власності, що не підлягають приватизації</w:t>
      </w:r>
      <w:r w:rsidRPr="00233611">
        <w:rPr>
          <w:rFonts w:ascii="Times New Roman" w:hAnsi="Times New Roman"/>
          <w:b w:val="0"/>
          <w:sz w:val="28"/>
          <w:szCs w:val="28"/>
        </w:rPr>
        <w:br/>
        <w:t>_____________________________________</w:t>
      </w:r>
    </w:p>
    <w:p w:rsidR="00463CD1" w:rsidRDefault="00463CD1" w:rsidP="00463CD1">
      <w:pPr>
        <w:pStyle w:val="a3"/>
        <w:rPr>
          <w:rFonts w:ascii="Times New Roman" w:hAnsi="Times New Roman"/>
          <w:sz w:val="28"/>
          <w:szCs w:val="28"/>
        </w:rPr>
      </w:pPr>
      <w:r w:rsidRPr="00233611">
        <w:rPr>
          <w:rFonts w:ascii="Times New Roman" w:hAnsi="Times New Roman"/>
          <w:sz w:val="28"/>
          <w:szCs w:val="28"/>
        </w:rPr>
        <w:t>Стаття 1. Затвердити переліки</w:t>
      </w:r>
      <w:r>
        <w:rPr>
          <w:rFonts w:ascii="Times New Roman" w:hAnsi="Times New Roman"/>
          <w:sz w:val="28"/>
          <w:szCs w:val="28"/>
        </w:rPr>
        <w:t xml:space="preserve"> об’єктів права державної власності, що не підлягають приватизації, згідно з такими додатками:</w:t>
      </w:r>
    </w:p>
    <w:p w:rsidR="00463CD1" w:rsidRDefault="00463CD1" w:rsidP="00463CD1">
      <w:pPr>
        <w:pStyle w:val="a3"/>
        <w:rPr>
          <w:rFonts w:ascii="Times New Roman" w:hAnsi="Times New Roman"/>
          <w:sz w:val="28"/>
          <w:szCs w:val="28"/>
        </w:rPr>
      </w:pPr>
      <w:r>
        <w:rPr>
          <w:rFonts w:ascii="Times New Roman" w:hAnsi="Times New Roman"/>
          <w:sz w:val="28"/>
          <w:szCs w:val="28"/>
        </w:rPr>
        <w:t xml:space="preserve">перелік акціонерних товариств, у статутних капіталах яких частка корпоративних прав, що належать державі, не може бути меншою </w:t>
      </w:r>
      <w:r>
        <w:rPr>
          <w:rFonts w:ascii="Times New Roman" w:hAnsi="Times New Roman"/>
          <w:sz w:val="28"/>
          <w:szCs w:val="28"/>
        </w:rPr>
        <w:br/>
        <w:t>ніж 50 відсотків + одна акція та не підлягає приватизації, згідно з додатком 1;</w:t>
      </w:r>
    </w:p>
    <w:p w:rsidR="00463CD1" w:rsidRDefault="00463CD1" w:rsidP="00463CD1">
      <w:pPr>
        <w:pStyle w:val="a3"/>
        <w:rPr>
          <w:rFonts w:ascii="Times New Roman" w:hAnsi="Times New Roman"/>
          <w:sz w:val="28"/>
          <w:szCs w:val="28"/>
        </w:rPr>
      </w:pPr>
      <w:r>
        <w:rPr>
          <w:rFonts w:ascii="Times New Roman" w:hAnsi="Times New Roman"/>
          <w:sz w:val="28"/>
          <w:szCs w:val="28"/>
        </w:rPr>
        <w:t xml:space="preserve">перелік господарських товариств та об’єднань, у статутних капіталах яких частка корпоративних прав, що належать державі, становить </w:t>
      </w:r>
      <w:r>
        <w:rPr>
          <w:rFonts w:ascii="Times New Roman" w:hAnsi="Times New Roman"/>
          <w:sz w:val="28"/>
          <w:szCs w:val="28"/>
        </w:rPr>
        <w:br/>
        <w:t xml:space="preserve">100 відсотків, </w:t>
      </w:r>
      <w:r w:rsidRPr="003122E7">
        <w:rPr>
          <w:rFonts w:ascii="Times New Roman" w:hAnsi="Times New Roman"/>
          <w:sz w:val="28"/>
          <w:szCs w:val="28"/>
        </w:rPr>
        <w:t>державних комерційних та казенних</w:t>
      </w:r>
      <w:r>
        <w:rPr>
          <w:rFonts w:ascii="Times New Roman" w:hAnsi="Times New Roman"/>
          <w:sz w:val="28"/>
          <w:szCs w:val="28"/>
        </w:rPr>
        <w:t xml:space="preserve"> підприємств, що не підлягають приватизації, згідно з додатком 2;</w:t>
      </w:r>
    </w:p>
    <w:p w:rsidR="00463CD1" w:rsidRDefault="00463CD1" w:rsidP="00463CD1">
      <w:pPr>
        <w:pStyle w:val="a3"/>
        <w:rPr>
          <w:rFonts w:ascii="Times New Roman" w:hAnsi="Times New Roman"/>
          <w:sz w:val="28"/>
          <w:szCs w:val="28"/>
        </w:rPr>
      </w:pPr>
      <w:r>
        <w:rPr>
          <w:rFonts w:ascii="Times New Roman" w:hAnsi="Times New Roman"/>
          <w:sz w:val="28"/>
          <w:szCs w:val="28"/>
        </w:rPr>
        <w:t xml:space="preserve">перелік </w:t>
      </w:r>
      <w:r w:rsidRPr="0091393B">
        <w:rPr>
          <w:rFonts w:ascii="Times New Roman" w:hAnsi="Times New Roman" w:hint="eastAsia"/>
          <w:sz w:val="28"/>
          <w:szCs w:val="28"/>
        </w:rPr>
        <w:t>об’єктів</w:t>
      </w:r>
      <w:r w:rsidRPr="0091393B">
        <w:rPr>
          <w:rFonts w:ascii="Times New Roman" w:hAnsi="Times New Roman"/>
          <w:sz w:val="28"/>
          <w:szCs w:val="28"/>
        </w:rPr>
        <w:t xml:space="preserve"> </w:t>
      </w:r>
      <w:r w:rsidRPr="0091393B">
        <w:rPr>
          <w:rFonts w:ascii="Times New Roman" w:hAnsi="Times New Roman" w:hint="eastAsia"/>
          <w:sz w:val="28"/>
          <w:szCs w:val="28"/>
        </w:rPr>
        <w:t>культури</w:t>
      </w:r>
      <w:r>
        <w:rPr>
          <w:rFonts w:ascii="Times New Roman" w:hAnsi="Times New Roman"/>
          <w:sz w:val="28"/>
          <w:szCs w:val="28"/>
        </w:rPr>
        <w:t xml:space="preserve"> та</w:t>
      </w:r>
      <w:r w:rsidRPr="0091393B">
        <w:rPr>
          <w:rFonts w:ascii="Times New Roman" w:hAnsi="Times New Roman"/>
          <w:sz w:val="28"/>
          <w:szCs w:val="28"/>
        </w:rPr>
        <w:t xml:space="preserve"> </w:t>
      </w:r>
      <w:r w:rsidRPr="0091393B">
        <w:rPr>
          <w:rFonts w:ascii="Times New Roman" w:hAnsi="Times New Roman" w:hint="eastAsia"/>
          <w:sz w:val="28"/>
          <w:szCs w:val="28"/>
        </w:rPr>
        <w:t>спорту</w:t>
      </w:r>
      <w:r w:rsidRPr="0091393B">
        <w:rPr>
          <w:rFonts w:ascii="Times New Roman" w:hAnsi="Times New Roman"/>
          <w:sz w:val="28"/>
          <w:szCs w:val="28"/>
        </w:rPr>
        <w:t>,</w:t>
      </w:r>
      <w:r w:rsidRPr="0091393B">
        <w:rPr>
          <w:rFonts w:ascii="Times New Roman" w:hAnsi="Times New Roman"/>
          <w:sz w:val="28"/>
          <w:szCs w:val="28"/>
          <w:lang w:val="ru-RU"/>
        </w:rPr>
        <w:t xml:space="preserve"> </w:t>
      </w:r>
      <w:r w:rsidRPr="0091393B">
        <w:rPr>
          <w:rFonts w:ascii="Times New Roman" w:hAnsi="Times New Roman" w:hint="eastAsia"/>
          <w:sz w:val="28"/>
          <w:szCs w:val="28"/>
        </w:rPr>
        <w:t>що</w:t>
      </w:r>
      <w:r w:rsidRPr="0091393B">
        <w:rPr>
          <w:rFonts w:ascii="Times New Roman" w:hAnsi="Times New Roman"/>
          <w:sz w:val="28"/>
          <w:szCs w:val="28"/>
        </w:rPr>
        <w:t xml:space="preserve"> </w:t>
      </w:r>
      <w:r w:rsidRPr="0091393B">
        <w:rPr>
          <w:rFonts w:ascii="Times New Roman" w:hAnsi="Times New Roman" w:hint="eastAsia"/>
          <w:sz w:val="28"/>
          <w:szCs w:val="28"/>
        </w:rPr>
        <w:t>не</w:t>
      </w:r>
      <w:r w:rsidRPr="0091393B">
        <w:rPr>
          <w:rFonts w:ascii="Times New Roman" w:hAnsi="Times New Roman"/>
          <w:sz w:val="28"/>
          <w:szCs w:val="28"/>
        </w:rPr>
        <w:t xml:space="preserve"> </w:t>
      </w:r>
      <w:r w:rsidRPr="0091393B">
        <w:rPr>
          <w:rFonts w:ascii="Times New Roman" w:hAnsi="Times New Roman" w:hint="eastAsia"/>
          <w:sz w:val="28"/>
          <w:szCs w:val="28"/>
        </w:rPr>
        <w:t>підлягають</w:t>
      </w:r>
      <w:r w:rsidRPr="0091393B">
        <w:rPr>
          <w:rFonts w:ascii="Times New Roman" w:hAnsi="Times New Roman"/>
          <w:sz w:val="28"/>
          <w:szCs w:val="28"/>
        </w:rPr>
        <w:t xml:space="preserve"> </w:t>
      </w:r>
      <w:r w:rsidRPr="0091393B">
        <w:rPr>
          <w:rFonts w:ascii="Times New Roman" w:hAnsi="Times New Roman" w:hint="eastAsia"/>
          <w:sz w:val="28"/>
          <w:szCs w:val="28"/>
        </w:rPr>
        <w:t>приватизації</w:t>
      </w:r>
      <w:r>
        <w:rPr>
          <w:rFonts w:ascii="Times New Roman" w:hAnsi="Times New Roman"/>
          <w:sz w:val="28"/>
          <w:szCs w:val="28"/>
        </w:rPr>
        <w:t>, згідно з додатком 3;</w:t>
      </w:r>
    </w:p>
    <w:p w:rsidR="00463CD1" w:rsidRDefault="00463CD1" w:rsidP="00463CD1">
      <w:pPr>
        <w:pStyle w:val="a3"/>
        <w:rPr>
          <w:rFonts w:ascii="Times New Roman" w:hAnsi="Times New Roman"/>
          <w:sz w:val="28"/>
          <w:szCs w:val="28"/>
        </w:rPr>
      </w:pPr>
      <w:r w:rsidRPr="00C34CD5">
        <w:rPr>
          <w:rFonts w:ascii="Times New Roman" w:hAnsi="Times New Roman"/>
          <w:sz w:val="28"/>
          <w:szCs w:val="28"/>
        </w:rPr>
        <w:t>перелік державних підприємств, що не підлягають приватизації, але можуть бути перетв</w:t>
      </w:r>
      <w:r>
        <w:rPr>
          <w:rFonts w:ascii="Times New Roman" w:hAnsi="Times New Roman"/>
          <w:sz w:val="28"/>
          <w:szCs w:val="28"/>
        </w:rPr>
        <w:t>орені в господарські товариства,</w:t>
      </w:r>
      <w:r w:rsidRPr="00C34CD5">
        <w:rPr>
          <w:rFonts w:ascii="Times New Roman" w:hAnsi="Times New Roman"/>
          <w:sz w:val="28"/>
          <w:szCs w:val="28"/>
        </w:rPr>
        <w:t xml:space="preserve"> згідно з додатком 4</w:t>
      </w:r>
      <w:r>
        <w:rPr>
          <w:rFonts w:ascii="Times New Roman" w:hAnsi="Times New Roman"/>
          <w:sz w:val="28"/>
          <w:szCs w:val="28"/>
        </w:rPr>
        <w:t>;</w:t>
      </w:r>
    </w:p>
    <w:p w:rsidR="00463CD1" w:rsidRDefault="00463CD1" w:rsidP="00463CD1">
      <w:pPr>
        <w:pStyle w:val="a3"/>
        <w:rPr>
          <w:rFonts w:ascii="Times New Roman" w:hAnsi="Times New Roman"/>
          <w:sz w:val="28"/>
          <w:szCs w:val="28"/>
        </w:rPr>
      </w:pPr>
      <w:r>
        <w:rPr>
          <w:rFonts w:ascii="Times New Roman" w:hAnsi="Times New Roman"/>
          <w:sz w:val="28"/>
          <w:szCs w:val="28"/>
        </w:rPr>
        <w:t xml:space="preserve">перелік </w:t>
      </w:r>
      <w:r w:rsidRPr="0091393B">
        <w:rPr>
          <w:rFonts w:ascii="Times New Roman" w:hAnsi="Times New Roman" w:hint="eastAsia"/>
          <w:sz w:val="28"/>
          <w:szCs w:val="28"/>
        </w:rPr>
        <w:t>об’єктів</w:t>
      </w:r>
      <w:r w:rsidRPr="0091393B">
        <w:rPr>
          <w:rFonts w:ascii="Times New Roman" w:hAnsi="Times New Roman"/>
          <w:sz w:val="28"/>
          <w:szCs w:val="28"/>
        </w:rPr>
        <w:t xml:space="preserve"> </w:t>
      </w:r>
      <w:r w:rsidRPr="0091393B">
        <w:rPr>
          <w:rFonts w:ascii="Times New Roman" w:hAnsi="Times New Roman" w:hint="eastAsia"/>
          <w:sz w:val="28"/>
          <w:szCs w:val="28"/>
        </w:rPr>
        <w:t>лісового</w:t>
      </w:r>
      <w:r w:rsidRPr="0091393B">
        <w:rPr>
          <w:rFonts w:ascii="Times New Roman" w:hAnsi="Times New Roman"/>
          <w:sz w:val="28"/>
          <w:szCs w:val="28"/>
        </w:rPr>
        <w:t xml:space="preserve"> </w:t>
      </w:r>
      <w:r w:rsidRPr="0091393B">
        <w:rPr>
          <w:rFonts w:ascii="Times New Roman" w:hAnsi="Times New Roman" w:hint="eastAsia"/>
          <w:sz w:val="28"/>
          <w:szCs w:val="28"/>
        </w:rPr>
        <w:t>господарства</w:t>
      </w:r>
      <w:r w:rsidRPr="0091393B">
        <w:rPr>
          <w:rFonts w:ascii="Times New Roman" w:hAnsi="Times New Roman"/>
          <w:sz w:val="28"/>
          <w:szCs w:val="28"/>
        </w:rPr>
        <w:t>,</w:t>
      </w:r>
      <w:r w:rsidRPr="0091393B">
        <w:rPr>
          <w:rFonts w:ascii="Times New Roman" w:hAnsi="Times New Roman"/>
          <w:sz w:val="28"/>
          <w:szCs w:val="28"/>
          <w:lang w:val="ru-RU"/>
        </w:rPr>
        <w:t xml:space="preserve"> </w:t>
      </w:r>
      <w:r w:rsidRPr="0091393B">
        <w:rPr>
          <w:rFonts w:ascii="Times New Roman" w:hAnsi="Times New Roman" w:hint="eastAsia"/>
          <w:sz w:val="28"/>
          <w:szCs w:val="28"/>
        </w:rPr>
        <w:t>що</w:t>
      </w:r>
      <w:r w:rsidRPr="0091393B">
        <w:rPr>
          <w:rFonts w:ascii="Times New Roman" w:hAnsi="Times New Roman"/>
          <w:sz w:val="28"/>
          <w:szCs w:val="28"/>
        </w:rPr>
        <w:t xml:space="preserve"> </w:t>
      </w:r>
      <w:r w:rsidRPr="0091393B">
        <w:rPr>
          <w:rFonts w:ascii="Times New Roman" w:hAnsi="Times New Roman" w:hint="eastAsia"/>
          <w:sz w:val="28"/>
          <w:szCs w:val="28"/>
        </w:rPr>
        <w:t>не</w:t>
      </w:r>
      <w:r w:rsidRPr="0091393B">
        <w:rPr>
          <w:rFonts w:ascii="Times New Roman" w:hAnsi="Times New Roman"/>
          <w:sz w:val="28"/>
          <w:szCs w:val="28"/>
        </w:rPr>
        <w:t xml:space="preserve"> </w:t>
      </w:r>
      <w:r w:rsidRPr="0091393B">
        <w:rPr>
          <w:rFonts w:ascii="Times New Roman" w:hAnsi="Times New Roman" w:hint="eastAsia"/>
          <w:sz w:val="28"/>
          <w:szCs w:val="28"/>
        </w:rPr>
        <w:t>підлягають</w:t>
      </w:r>
      <w:r w:rsidRPr="0091393B">
        <w:rPr>
          <w:rFonts w:ascii="Times New Roman" w:hAnsi="Times New Roman"/>
          <w:sz w:val="28"/>
          <w:szCs w:val="28"/>
        </w:rPr>
        <w:t xml:space="preserve"> </w:t>
      </w:r>
      <w:r w:rsidRPr="0091393B">
        <w:rPr>
          <w:rFonts w:ascii="Times New Roman" w:hAnsi="Times New Roman" w:hint="eastAsia"/>
          <w:sz w:val="28"/>
          <w:szCs w:val="28"/>
        </w:rPr>
        <w:t>приватизації</w:t>
      </w:r>
      <w:r>
        <w:rPr>
          <w:rFonts w:ascii="Times New Roman" w:hAnsi="Times New Roman"/>
          <w:sz w:val="28"/>
          <w:szCs w:val="28"/>
        </w:rPr>
        <w:t>, згідно з додатком 5.</w:t>
      </w:r>
    </w:p>
    <w:p w:rsidR="00463CD1" w:rsidRDefault="00463CD1" w:rsidP="00463CD1">
      <w:pPr>
        <w:pStyle w:val="a3"/>
        <w:rPr>
          <w:rFonts w:ascii="Times New Roman" w:hAnsi="Times New Roman"/>
          <w:sz w:val="28"/>
          <w:szCs w:val="28"/>
        </w:rPr>
      </w:pPr>
      <w:r>
        <w:rPr>
          <w:rFonts w:ascii="Times New Roman" w:hAnsi="Times New Roman"/>
          <w:sz w:val="28"/>
          <w:szCs w:val="28"/>
        </w:rPr>
        <w:t xml:space="preserve">Стаття 2. У разі прийняття рішення про зменшення в установленому законодавством порядку частки корпоративних прав, що належать державі у статутному капіталі господарських товариств та об’єднань, зазначених у додатку 2 до цього Закону, а також про перетворення державних комерційних та казенних підприємств, зазначених у цьому додатку, в акціонерні товариства частка корпоративних прав, що належать державі у статутному капіталі таких товариств, не може бути меншою </w:t>
      </w:r>
      <w:r>
        <w:rPr>
          <w:rFonts w:ascii="Times New Roman" w:hAnsi="Times New Roman"/>
          <w:sz w:val="28"/>
          <w:szCs w:val="28"/>
        </w:rPr>
        <w:br/>
        <w:t>ніж 50 відсотків + одна акція та не підлягає приватизації.</w:t>
      </w:r>
    </w:p>
    <w:p w:rsidR="00463CD1" w:rsidRDefault="00463CD1" w:rsidP="00463CD1">
      <w:pPr>
        <w:pStyle w:val="a3"/>
        <w:rPr>
          <w:rFonts w:ascii="Times New Roman" w:hAnsi="Times New Roman"/>
          <w:sz w:val="28"/>
          <w:szCs w:val="28"/>
        </w:rPr>
      </w:pPr>
    </w:p>
    <w:p w:rsidR="00463CD1" w:rsidRDefault="00463CD1" w:rsidP="00463CD1">
      <w:pPr>
        <w:pStyle w:val="a3"/>
        <w:rPr>
          <w:rFonts w:ascii="Times New Roman" w:hAnsi="Times New Roman"/>
          <w:sz w:val="28"/>
          <w:szCs w:val="28"/>
        </w:rPr>
      </w:pPr>
      <w:r>
        <w:rPr>
          <w:rFonts w:ascii="Times New Roman" w:hAnsi="Times New Roman"/>
          <w:sz w:val="28"/>
          <w:szCs w:val="28"/>
        </w:rPr>
        <w:lastRenderedPageBreak/>
        <w:t>Стаття 3. Прикінцеві положення</w:t>
      </w:r>
    </w:p>
    <w:p w:rsidR="00463CD1" w:rsidRDefault="00463CD1" w:rsidP="00463CD1">
      <w:pPr>
        <w:pStyle w:val="a3"/>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w:t>
      </w:r>
    </w:p>
    <w:p w:rsidR="00463CD1" w:rsidRDefault="00463CD1" w:rsidP="00463CD1">
      <w:pPr>
        <w:pStyle w:val="a3"/>
        <w:rPr>
          <w:rFonts w:ascii="Times New Roman" w:hAnsi="Times New Roman"/>
          <w:sz w:val="28"/>
          <w:szCs w:val="28"/>
        </w:rPr>
      </w:pPr>
      <w:r>
        <w:rPr>
          <w:rFonts w:ascii="Times New Roman" w:hAnsi="Times New Roman"/>
          <w:sz w:val="28"/>
          <w:szCs w:val="28"/>
        </w:rPr>
        <w:t>2. Пункт 3 розділу III “Прикінцеві та перехідні положення” Закону України “Про визнання таким, що втратив чинність, Закону України “Про перелік об’єктів права державної власності, що не підлягають приватизації” (Відомості Верховної Ради України, 2019 р., № 46, ст. 302) викласти в такій редакції:</w:t>
      </w:r>
    </w:p>
    <w:p w:rsidR="00463CD1" w:rsidRDefault="00463CD1" w:rsidP="00463CD1">
      <w:pPr>
        <w:pStyle w:val="a3"/>
        <w:rPr>
          <w:rFonts w:ascii="Times New Roman" w:hAnsi="Times New Roman"/>
          <w:sz w:val="28"/>
          <w:szCs w:val="28"/>
        </w:rPr>
      </w:pPr>
      <w:r>
        <w:rPr>
          <w:rFonts w:ascii="Times New Roman" w:hAnsi="Times New Roman"/>
          <w:sz w:val="28"/>
          <w:szCs w:val="28"/>
        </w:rPr>
        <w:t>“3. Протягом трьох років забороняється звертати стягнення на об’єкти нерухомого майна та інші основні засоби виробництва, що забезпечують ведення виробничої діяльності об</w:t>
      </w:r>
      <w:r>
        <w:rPr>
          <w:sz w:val="28"/>
          <w:szCs w:val="28"/>
        </w:rPr>
        <w:t>’</w:t>
      </w:r>
      <w:r>
        <w:rPr>
          <w:rFonts w:ascii="Times New Roman" w:hAnsi="Times New Roman"/>
          <w:sz w:val="28"/>
          <w:szCs w:val="28"/>
        </w:rPr>
        <w:t>єктів права державної власності, які на день набрання чинності цим Законом були включені до переліків, затверджених Законом України “Про перелік об</w:t>
      </w:r>
      <w:r>
        <w:rPr>
          <w:sz w:val="28"/>
          <w:szCs w:val="28"/>
        </w:rPr>
        <w:t>’</w:t>
      </w:r>
      <w:r>
        <w:rPr>
          <w:rFonts w:ascii="Times New Roman" w:hAnsi="Times New Roman"/>
          <w:sz w:val="28"/>
          <w:szCs w:val="28"/>
        </w:rPr>
        <w:t>єктів права державної власності, що не підлягають приватизації” (Відомості Верховної Ради України, 1999 р., № 37, ст. 332), крім випадків, коли стягнення звертається для погашення виплат із заробітної плати та інших виплат, що належать працівнику у зв’язку із трудовими відносинами, відшкодування матеріальної (майнової) шкоди, заподіяної каліцтвом, іншим ушкодженням здоров’я або смертю, стягнення аліментів та рішень про стягнення заборгованості із сплати внесків до фондів загальнообов’язкового державного соціального страхування, заборгованості із сплати єдиного внеску на загальнообов’язкове державне соціальне страхування.”.</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2B53D3" w:rsidRPr="004F402D"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57D" w:rsidRDefault="00D4157D">
      <w:r>
        <w:separator/>
      </w:r>
    </w:p>
  </w:endnote>
  <w:endnote w:type="continuationSeparator" w:id="0">
    <w:p w:rsidR="00D4157D" w:rsidRDefault="00D41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57D" w:rsidRDefault="00D4157D">
      <w:r>
        <w:separator/>
      </w:r>
    </w:p>
  </w:footnote>
  <w:footnote w:type="continuationSeparator" w:id="0">
    <w:p w:rsidR="00D4157D" w:rsidRDefault="00D415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Pr="00463CD1" w:rsidRDefault="00445A63">
    <w:pPr>
      <w:framePr w:wrap="around" w:vAnchor="text" w:hAnchor="margin" w:xAlign="center" w:y="1"/>
      <w:rPr>
        <w:rFonts w:ascii="Times New Roman" w:hAnsi="Times New Roman"/>
        <w:sz w:val="28"/>
        <w:szCs w:val="28"/>
      </w:rPr>
    </w:pPr>
    <w:r w:rsidRPr="00463CD1">
      <w:rPr>
        <w:rFonts w:ascii="Times New Roman" w:hAnsi="Times New Roman"/>
        <w:sz w:val="28"/>
        <w:szCs w:val="28"/>
      </w:rPr>
      <w:fldChar w:fldCharType="begin"/>
    </w:r>
    <w:r w:rsidRPr="00463CD1">
      <w:rPr>
        <w:rFonts w:ascii="Times New Roman" w:hAnsi="Times New Roman"/>
        <w:sz w:val="28"/>
        <w:szCs w:val="28"/>
      </w:rPr>
      <w:instrText xml:space="preserve">PAGE  </w:instrText>
    </w:r>
    <w:r w:rsidRPr="00463CD1">
      <w:rPr>
        <w:rFonts w:ascii="Times New Roman" w:hAnsi="Times New Roman"/>
        <w:sz w:val="28"/>
        <w:szCs w:val="28"/>
      </w:rPr>
      <w:fldChar w:fldCharType="separate"/>
    </w:r>
    <w:r w:rsidR="00DD4FCB">
      <w:rPr>
        <w:rFonts w:ascii="Times New Roman" w:hAnsi="Times New Roman"/>
        <w:noProof/>
        <w:sz w:val="28"/>
        <w:szCs w:val="28"/>
      </w:rPr>
      <w:t>2</w:t>
    </w:r>
    <w:r w:rsidRPr="00463CD1">
      <w:rPr>
        <w:rFonts w:ascii="Times New Roman" w:hAnsi="Times New Roman"/>
        <w:sz w:val="28"/>
        <w:szCs w:val="28"/>
      </w:rP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703E"/>
    <w:rsid w:val="000D44E9"/>
    <w:rsid w:val="0010252F"/>
    <w:rsid w:val="00137040"/>
    <w:rsid w:val="001E63DA"/>
    <w:rsid w:val="002223C5"/>
    <w:rsid w:val="00222A07"/>
    <w:rsid w:val="002729B5"/>
    <w:rsid w:val="002B53D3"/>
    <w:rsid w:val="002D5098"/>
    <w:rsid w:val="002F1A96"/>
    <w:rsid w:val="00445A63"/>
    <w:rsid w:val="00455CFC"/>
    <w:rsid w:val="00463CD1"/>
    <w:rsid w:val="004C2CFD"/>
    <w:rsid w:val="005C3CB4"/>
    <w:rsid w:val="006C6D58"/>
    <w:rsid w:val="007370F8"/>
    <w:rsid w:val="00757FFD"/>
    <w:rsid w:val="00764C95"/>
    <w:rsid w:val="00780723"/>
    <w:rsid w:val="007B5FAB"/>
    <w:rsid w:val="007D1318"/>
    <w:rsid w:val="008016F2"/>
    <w:rsid w:val="00860445"/>
    <w:rsid w:val="008D506E"/>
    <w:rsid w:val="008E0FCE"/>
    <w:rsid w:val="00906AB0"/>
    <w:rsid w:val="00935F38"/>
    <w:rsid w:val="00957D7F"/>
    <w:rsid w:val="00A202B1"/>
    <w:rsid w:val="00A455BA"/>
    <w:rsid w:val="00A5295D"/>
    <w:rsid w:val="00AD6988"/>
    <w:rsid w:val="00B76F4B"/>
    <w:rsid w:val="00BB56AD"/>
    <w:rsid w:val="00C3481E"/>
    <w:rsid w:val="00C362EA"/>
    <w:rsid w:val="00CB44E4"/>
    <w:rsid w:val="00D4157D"/>
    <w:rsid w:val="00D4191B"/>
    <w:rsid w:val="00DD4FCB"/>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1928</Words>
  <Characters>1099</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3021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2020-09-02T08:19:00Z</dcterms:created>
  <dcterms:modified xsi:type="dcterms:W3CDTF">2020-09-02T08:19:00Z</dcterms:modified>
</cp:coreProperties>
</file>