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4D48" w:rsidRDefault="001554C3">
      <w:pPr>
        <w:pBdr>
          <w:top w:val="nil"/>
          <w:left w:val="nil"/>
          <w:bottom w:val="nil"/>
          <w:right w:val="nil"/>
          <w:between w:val="nil"/>
        </w:pBdr>
        <w:spacing w:after="0" w:line="360" w:lineRule="auto"/>
        <w:jc w:val="center"/>
        <w:rPr>
          <w:rFonts w:ascii="Times New Roman" w:eastAsia="Times New Roman" w:hAnsi="Times New Roman" w:cs="Times New Roman"/>
          <w:b/>
          <w:color w:val="000000"/>
          <w:sz w:val="28"/>
          <w:szCs w:val="28"/>
        </w:rPr>
      </w:pPr>
      <w:bookmarkStart w:id="0" w:name="_GoBack"/>
      <w:bookmarkEnd w:id="0"/>
      <w:r>
        <w:rPr>
          <w:rFonts w:ascii="Times New Roman" w:eastAsia="Times New Roman" w:hAnsi="Times New Roman" w:cs="Times New Roman"/>
          <w:b/>
          <w:color w:val="000000"/>
          <w:sz w:val="28"/>
          <w:szCs w:val="28"/>
        </w:rPr>
        <w:t>ПОЯСНЮВАЛЬНА ЗАПИСКА</w:t>
      </w:r>
    </w:p>
    <w:p w:rsidR="00A34D48" w:rsidRDefault="001554C3">
      <w:pPr>
        <w:pBdr>
          <w:top w:val="nil"/>
          <w:left w:val="nil"/>
          <w:bottom w:val="nil"/>
          <w:right w:val="nil"/>
          <w:between w:val="nil"/>
        </w:pBdr>
        <w:spacing w:after="0" w:line="36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до проекту Закону України «Про внесення змін до деяких законодавчих актів України щодо організації діяльності закладів професійної (професійно-технічної освіти) із специфічними умовами навчання»</w:t>
      </w:r>
    </w:p>
    <w:p w:rsidR="00A34D48" w:rsidRDefault="00A34D48">
      <w:pPr>
        <w:spacing w:line="360" w:lineRule="auto"/>
        <w:ind w:firstLine="709"/>
        <w:jc w:val="both"/>
        <w:rPr>
          <w:rFonts w:ascii="Times New Roman" w:eastAsia="Times New Roman" w:hAnsi="Times New Roman" w:cs="Times New Roman"/>
          <w:sz w:val="28"/>
          <w:szCs w:val="28"/>
        </w:rPr>
      </w:pPr>
    </w:p>
    <w:p w:rsidR="00A34D48" w:rsidRDefault="001554C3">
      <w:pPr>
        <w:pBdr>
          <w:top w:val="nil"/>
          <w:left w:val="nil"/>
          <w:bottom w:val="nil"/>
          <w:right w:val="nil"/>
          <w:between w:val="nil"/>
        </w:pBdr>
        <w:spacing w:after="120" w:line="360" w:lineRule="auto"/>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1. Обґрунтування необхідності прийняття акту</w:t>
      </w:r>
    </w:p>
    <w:p w:rsidR="00A34D48" w:rsidRDefault="001554C3">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Важливою складовою реформи правоохоронної системи є організація професійної підготовки фахівців для потреб Національної поліції, що потребує формування мережі закладів освіти, модернізації освітнього процесу, навчального, методичного та наукового забезпечення. З поетапним розвитком і становленням патрульної поліції постало питання щодо якості підготовки поліцейських.</w:t>
      </w:r>
    </w:p>
    <w:p w:rsidR="00A34D48" w:rsidRDefault="001554C3">
      <w:pPr>
        <w:spacing w:after="0" w:line="360" w:lineRule="auto"/>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Статтею 72 Закону України «Про Національну поліцію» передбачено складові професійного навчання поліцейських: первинна професійна підготовка, підготовка у закладах вищої освіти із специфічними умовами навчання, післядипломна освіта, службова підготовка. </w:t>
      </w:r>
    </w:p>
    <w:p w:rsidR="00A34D48" w:rsidRDefault="001554C3">
      <w:pPr>
        <w:pBdr>
          <w:top w:val="nil"/>
          <w:left w:val="nil"/>
          <w:bottom w:val="nil"/>
          <w:right w:val="nil"/>
          <w:between w:val="nil"/>
        </w:pBdr>
        <w:shd w:val="clear" w:color="auto" w:fill="FFFFFF"/>
        <w:spacing w:after="0" w:line="360" w:lineRule="auto"/>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Первинна професійна підготовка поліцейських, яких вперше прийнято на службу в поліції – це вимога статті 73 Закону України «Про Національну поліцію» і здійснюється відповідно до наказу МВС України № 105 від 16.02.2016 «Про затвердження Положення про організацію первинної професійної підготовки поліцейських, яких вперше прийнято на службу в поліції» й проходить на базі закладів вищої осві</w:t>
      </w:r>
      <w:r>
        <w:rPr>
          <w:rFonts w:ascii="Times New Roman" w:eastAsia="Times New Roman" w:hAnsi="Times New Roman" w:cs="Times New Roman"/>
          <w:sz w:val="28"/>
          <w:szCs w:val="28"/>
          <w:highlight w:val="white"/>
        </w:rPr>
        <w:t>ти</w:t>
      </w:r>
      <w:r>
        <w:rPr>
          <w:rFonts w:ascii="Times New Roman" w:eastAsia="Times New Roman" w:hAnsi="Times New Roman" w:cs="Times New Roman"/>
          <w:color w:val="000000"/>
          <w:sz w:val="28"/>
          <w:szCs w:val="28"/>
          <w:highlight w:val="white"/>
        </w:rPr>
        <w:t xml:space="preserve"> Міністерства внутрішніх справ України зі специфічними умовами навчання та установ (закладів) Національної поліції, що діють для забезпечення організації відповідної спеціальної підготовки поліцейських, </w:t>
      </w:r>
      <w:r>
        <w:rPr>
          <w:rFonts w:ascii="Times New Roman" w:eastAsia="Times New Roman" w:hAnsi="Times New Roman" w:cs="Times New Roman"/>
          <w:sz w:val="28"/>
          <w:szCs w:val="28"/>
          <w:highlight w:val="white"/>
        </w:rPr>
        <w:t>вперше</w:t>
      </w:r>
      <w:r>
        <w:rPr>
          <w:rFonts w:ascii="Times New Roman" w:eastAsia="Times New Roman" w:hAnsi="Times New Roman" w:cs="Times New Roman"/>
          <w:color w:val="000000"/>
          <w:sz w:val="28"/>
          <w:szCs w:val="28"/>
          <w:highlight w:val="white"/>
        </w:rPr>
        <w:t xml:space="preserve"> прийнятих на службу в поліції. Таких установ (закладів) Національної поліції в Україні чотири -  Державна установа «Академія патрульної поліції» (м. Київ), Державна установа «Криворізька академія патрульної поліції», Державна установа «Рівненська академія патрульної поліції», Державна установа «Житомирський навчальний центр підготовки поліцейських», також існують окремі центри первинної професійної підготовки поліцейських при закладах вищої освіти із специфічними умовами навчання (як </w:t>
      </w:r>
      <w:r>
        <w:rPr>
          <w:rFonts w:ascii="Times New Roman" w:eastAsia="Times New Roman" w:hAnsi="Times New Roman" w:cs="Times New Roman"/>
          <w:color w:val="000000"/>
          <w:sz w:val="28"/>
          <w:szCs w:val="28"/>
          <w:highlight w:val="white"/>
        </w:rPr>
        <w:lastRenderedPageBreak/>
        <w:t>структурні підрозділи навчальних закладів).</w:t>
      </w:r>
      <w:r>
        <w:rPr>
          <w:rFonts w:ascii="Times New Roman" w:eastAsia="Times New Roman" w:hAnsi="Times New Roman" w:cs="Times New Roman"/>
          <w:sz w:val="28"/>
          <w:szCs w:val="28"/>
          <w:highlight w:val="white"/>
        </w:rPr>
        <w:t xml:space="preserve"> Також</w:t>
      </w:r>
      <w:r>
        <w:rPr>
          <w:rFonts w:ascii="Times New Roman" w:eastAsia="Times New Roman" w:hAnsi="Times New Roman" w:cs="Times New Roman"/>
          <w:color w:val="000000"/>
          <w:sz w:val="28"/>
          <w:szCs w:val="28"/>
          <w:highlight w:val="white"/>
        </w:rPr>
        <w:t xml:space="preserve"> в системі МВС існують відомчі навчальні заклади професійної (професійно-технічної) та вищої освіти для підготовки фахівців для Національної гвардії України, Державної служби з надзвичайних ситуацій, Державної прикордонної служби. </w:t>
      </w:r>
    </w:p>
    <w:p w:rsidR="00A34D48" w:rsidRDefault="001554C3">
      <w:pPr>
        <w:pBdr>
          <w:top w:val="nil"/>
          <w:left w:val="nil"/>
          <w:bottom w:val="nil"/>
          <w:right w:val="nil"/>
          <w:between w:val="nil"/>
        </w:pBdr>
        <w:shd w:val="clear" w:color="auto" w:fill="FFFFFF"/>
        <w:spacing w:after="0" w:line="360" w:lineRule="auto"/>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В</w:t>
      </w:r>
      <w:r>
        <w:rPr>
          <w:rFonts w:ascii="Times New Roman" w:eastAsia="Times New Roman" w:hAnsi="Times New Roman" w:cs="Times New Roman"/>
          <w:color w:val="000000"/>
          <w:sz w:val="28"/>
          <w:szCs w:val="28"/>
        </w:rPr>
        <w:t xml:space="preserve">ажливим питанням залишається те, що в системі Національної поліції відбувається професійне навчання поліцейських не на базі </w:t>
      </w:r>
      <w:r>
        <w:rPr>
          <w:rFonts w:ascii="Times New Roman" w:eastAsia="Times New Roman" w:hAnsi="Times New Roman" w:cs="Times New Roman"/>
          <w:sz w:val="28"/>
          <w:szCs w:val="28"/>
        </w:rPr>
        <w:t>закладів освіти</w:t>
      </w:r>
      <w:r>
        <w:rPr>
          <w:rFonts w:ascii="Times New Roman" w:eastAsia="Times New Roman" w:hAnsi="Times New Roman" w:cs="Times New Roman"/>
          <w:color w:val="000000"/>
          <w:sz w:val="28"/>
          <w:szCs w:val="28"/>
        </w:rPr>
        <w:t xml:space="preserve">, а на базі установ забезпечення, що створює правові суперечності у багатьох питаннях. Це </w:t>
      </w:r>
      <w:r>
        <w:rPr>
          <w:rFonts w:ascii="Times New Roman" w:eastAsia="Times New Roman" w:hAnsi="Times New Roman" w:cs="Times New Roman"/>
          <w:sz w:val="28"/>
          <w:szCs w:val="28"/>
        </w:rPr>
        <w:t>зумовлено</w:t>
      </w:r>
      <w:r>
        <w:rPr>
          <w:rFonts w:ascii="Times New Roman" w:eastAsia="Times New Roman" w:hAnsi="Times New Roman" w:cs="Times New Roman"/>
          <w:color w:val="000000"/>
          <w:sz w:val="28"/>
          <w:szCs w:val="28"/>
        </w:rPr>
        <w:t xml:space="preserve"> тим, що частина 4 статті 13 Закону України «Про Національну поліцію України» містить зміни, які раніше не були притаманні Закону України «Про міліцію» </w:t>
      </w:r>
      <w:r>
        <w:rPr>
          <w:rFonts w:ascii="Times New Roman" w:eastAsia="Times New Roman" w:hAnsi="Times New Roman" w:cs="Times New Roman"/>
          <w:color w:val="000000"/>
          <w:sz w:val="28"/>
          <w:szCs w:val="28"/>
          <w:highlight w:val="white"/>
        </w:rPr>
        <w:t>(втрата чинності 07.11.2015) (відповідно до якої в поліції можуть утворюватися науково-дослідні установи та установи забезпечення. Термін «навчальні заклади» було вилучено).</w:t>
      </w:r>
    </w:p>
    <w:p w:rsidR="00A34D48" w:rsidRDefault="001554C3">
      <w:pPr>
        <w:spacing w:after="0" w:line="360" w:lineRule="auto"/>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Підготовка </w:t>
      </w:r>
      <w:r>
        <w:rPr>
          <w:rFonts w:ascii="Times New Roman" w:eastAsia="Times New Roman" w:hAnsi="Times New Roman" w:cs="Times New Roman"/>
          <w:sz w:val="28"/>
          <w:szCs w:val="28"/>
        </w:rPr>
        <w:t>кадрів рядового та молодшого начальницького складу поліції</w:t>
      </w:r>
      <w:r>
        <w:rPr>
          <w:rFonts w:ascii="Times New Roman" w:eastAsia="Times New Roman" w:hAnsi="Times New Roman" w:cs="Times New Roman"/>
          <w:sz w:val="28"/>
          <w:szCs w:val="28"/>
          <w:highlight w:val="white"/>
        </w:rPr>
        <w:t xml:space="preserve"> лише на базі закладів вищої освіти зі специфічними умовами навчання не є доцільною. По-перше, витрати на підготовку слухача у закладі вищої освіти зростають у рази через проведення навчання науково-педагогічними працівниками; по-друге, професорсько-викладацький склад закладів вищої освіти зорієнтований більше на теоретичну та навчально-наукову, ніж на професійно-практичну підготовку, що веде за собою порушення ступеневості професійної освіти, визначеної Законом України «Про освіту».</w:t>
      </w:r>
    </w:p>
    <w:p w:rsidR="00A34D48" w:rsidRDefault="001554C3">
      <w:pPr>
        <w:widowControl w:val="0"/>
        <w:spacing w:after="120" w:line="264"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Мета і шляхи її досягнення</w:t>
      </w:r>
    </w:p>
    <w:p w:rsidR="00A34D48" w:rsidRDefault="001554C3">
      <w:p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Запропоновані зміни та доповнення створять умови для:</w:t>
      </w:r>
    </w:p>
    <w:p w:rsidR="00A34D48" w:rsidRDefault="001554C3">
      <w:pPr>
        <w:numPr>
          <w:ilvl w:val="0"/>
          <w:numId w:val="1"/>
        </w:numPr>
        <w:pBdr>
          <w:top w:val="nil"/>
          <w:left w:val="nil"/>
          <w:bottom w:val="nil"/>
          <w:right w:val="nil"/>
          <w:between w:val="nil"/>
        </w:pBdr>
        <w:shd w:val="clear" w:color="auto" w:fill="FFFFFF"/>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вирішення питання статусу та типу закладу професійної (</w:t>
      </w:r>
      <w:r>
        <w:rPr>
          <w:rFonts w:ascii="Times New Roman" w:eastAsia="Times New Roman" w:hAnsi="Times New Roman" w:cs="Times New Roman"/>
          <w:sz w:val="28"/>
          <w:szCs w:val="28"/>
          <w:highlight w:val="white"/>
        </w:rPr>
        <w:t>професійно</w:t>
      </w:r>
      <w:r>
        <w:rPr>
          <w:rFonts w:ascii="Times New Roman" w:eastAsia="Times New Roman" w:hAnsi="Times New Roman" w:cs="Times New Roman"/>
          <w:color w:val="000000"/>
          <w:sz w:val="28"/>
          <w:szCs w:val="28"/>
          <w:highlight w:val="white"/>
        </w:rPr>
        <w:t>-технічної) освіти;</w:t>
      </w:r>
    </w:p>
    <w:p w:rsidR="00A34D48" w:rsidRDefault="001554C3">
      <w:pPr>
        <w:numPr>
          <w:ilvl w:val="0"/>
          <w:numId w:val="1"/>
        </w:numPr>
        <w:pBdr>
          <w:top w:val="nil"/>
          <w:left w:val="nil"/>
          <w:bottom w:val="nil"/>
          <w:right w:val="nil"/>
          <w:between w:val="nil"/>
        </w:pBdr>
        <w:shd w:val="clear" w:color="auto" w:fill="FFFFFF"/>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визначення основних повноважень та напрямів діяльності закладу;</w:t>
      </w:r>
    </w:p>
    <w:p w:rsidR="00A34D48" w:rsidRDefault="001554C3">
      <w:pPr>
        <w:numPr>
          <w:ilvl w:val="0"/>
          <w:numId w:val="1"/>
        </w:numPr>
        <w:pBdr>
          <w:top w:val="nil"/>
          <w:left w:val="nil"/>
          <w:bottom w:val="nil"/>
          <w:right w:val="nil"/>
          <w:between w:val="nil"/>
        </w:pBdr>
        <w:shd w:val="clear" w:color="auto" w:fill="FFFFFF"/>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врегулювання питань управління закладом, прийому та відрахування здобувачів професійної </w:t>
      </w:r>
      <w:r>
        <w:rPr>
          <w:rFonts w:ascii="Times New Roman" w:eastAsia="Times New Roman" w:hAnsi="Times New Roman" w:cs="Times New Roman"/>
          <w:sz w:val="28"/>
          <w:szCs w:val="28"/>
          <w:highlight w:val="white"/>
        </w:rPr>
        <w:t xml:space="preserve">(професійно-технічної) </w:t>
      </w:r>
      <w:r>
        <w:rPr>
          <w:rFonts w:ascii="Times New Roman" w:eastAsia="Times New Roman" w:hAnsi="Times New Roman" w:cs="Times New Roman"/>
          <w:color w:val="000000"/>
          <w:sz w:val="28"/>
          <w:szCs w:val="28"/>
          <w:highlight w:val="white"/>
        </w:rPr>
        <w:t xml:space="preserve">освіти; </w:t>
      </w:r>
    </w:p>
    <w:p w:rsidR="00A34D48" w:rsidRDefault="001554C3">
      <w:pPr>
        <w:numPr>
          <w:ilvl w:val="0"/>
          <w:numId w:val="1"/>
        </w:numPr>
        <w:pBdr>
          <w:top w:val="nil"/>
          <w:left w:val="nil"/>
          <w:bottom w:val="nil"/>
          <w:right w:val="nil"/>
          <w:between w:val="nil"/>
        </w:pBdr>
        <w:shd w:val="clear" w:color="auto" w:fill="FFFFFF"/>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оптимізації та підвищення якості первинної професійної підготовки поліцейських та управління системою підготовки кадрів;</w:t>
      </w:r>
    </w:p>
    <w:p w:rsidR="00A34D48" w:rsidRDefault="001554C3">
      <w:pPr>
        <w:numPr>
          <w:ilvl w:val="0"/>
          <w:numId w:val="1"/>
        </w:numPr>
        <w:pBdr>
          <w:top w:val="nil"/>
          <w:left w:val="nil"/>
          <w:bottom w:val="nil"/>
          <w:right w:val="nil"/>
          <w:between w:val="nil"/>
        </w:pBdr>
        <w:shd w:val="clear" w:color="auto" w:fill="FFFFFF"/>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орієнтації освітнього процесу на формування фахової, діяльнісної, особистісної компетенцій;</w:t>
      </w:r>
    </w:p>
    <w:p w:rsidR="00A34D48" w:rsidRDefault="001554C3">
      <w:pPr>
        <w:numPr>
          <w:ilvl w:val="0"/>
          <w:numId w:val="1"/>
        </w:numPr>
        <w:pBdr>
          <w:top w:val="nil"/>
          <w:left w:val="nil"/>
          <w:bottom w:val="nil"/>
          <w:right w:val="nil"/>
          <w:between w:val="nil"/>
        </w:pBdr>
        <w:shd w:val="clear" w:color="auto" w:fill="FFFFFF"/>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lastRenderedPageBreak/>
        <w:t>формування відповідної психологічної готовності та морально-ділових якостей майбутніх поліцейських; формування позитивного іміджу поліцейського і поліцейської освіти;</w:t>
      </w:r>
    </w:p>
    <w:p w:rsidR="00A34D48" w:rsidRDefault="001554C3">
      <w:pPr>
        <w:numPr>
          <w:ilvl w:val="0"/>
          <w:numId w:val="1"/>
        </w:numPr>
        <w:pBdr>
          <w:top w:val="nil"/>
          <w:left w:val="nil"/>
          <w:bottom w:val="nil"/>
          <w:right w:val="nil"/>
          <w:between w:val="nil"/>
        </w:pBdr>
        <w:shd w:val="clear" w:color="auto" w:fill="FFFFFF"/>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оновлення змісту підготовки поліцейських;</w:t>
      </w:r>
    </w:p>
    <w:p w:rsidR="00A34D48" w:rsidRDefault="001554C3">
      <w:pPr>
        <w:numPr>
          <w:ilvl w:val="0"/>
          <w:numId w:val="1"/>
        </w:numPr>
        <w:pBdr>
          <w:top w:val="nil"/>
          <w:left w:val="nil"/>
          <w:bottom w:val="nil"/>
          <w:right w:val="nil"/>
          <w:between w:val="nil"/>
        </w:pBdr>
        <w:shd w:val="clear" w:color="auto" w:fill="FFFFFF"/>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впровадження передових педагогічних технологій в освіту поліцейських;</w:t>
      </w:r>
    </w:p>
    <w:p w:rsidR="00A34D48" w:rsidRDefault="001554C3">
      <w:pPr>
        <w:numPr>
          <w:ilvl w:val="0"/>
          <w:numId w:val="1"/>
        </w:numPr>
        <w:pBdr>
          <w:top w:val="nil"/>
          <w:left w:val="nil"/>
          <w:bottom w:val="nil"/>
          <w:right w:val="nil"/>
          <w:between w:val="nil"/>
        </w:pBdr>
        <w:shd w:val="clear" w:color="auto" w:fill="FFFFFF"/>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запровадження нових стандартів підготовки, що забезпечують високий рівень професійності, духовності та духу патріотизму; </w:t>
      </w:r>
    </w:p>
    <w:p w:rsidR="00A34D48" w:rsidRDefault="001554C3">
      <w:pPr>
        <w:numPr>
          <w:ilvl w:val="0"/>
          <w:numId w:val="1"/>
        </w:numPr>
        <w:pBdr>
          <w:top w:val="nil"/>
          <w:left w:val="nil"/>
          <w:bottom w:val="nil"/>
          <w:right w:val="nil"/>
          <w:between w:val="nil"/>
        </w:pBdr>
        <w:shd w:val="clear" w:color="auto" w:fill="FFFFFF"/>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удосконалення та подальший розвиток ресурсного та матеріально – технічного забезпечення; </w:t>
      </w:r>
    </w:p>
    <w:p w:rsidR="00A34D48" w:rsidRDefault="001554C3">
      <w:pPr>
        <w:numPr>
          <w:ilvl w:val="0"/>
          <w:numId w:val="1"/>
        </w:numPr>
        <w:pBdr>
          <w:top w:val="nil"/>
          <w:left w:val="nil"/>
          <w:bottom w:val="nil"/>
          <w:right w:val="nil"/>
          <w:between w:val="nil"/>
        </w:pBdr>
        <w:shd w:val="clear" w:color="auto" w:fill="FFFFFF"/>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розвитку та забезпечення ступеневості професійної </w:t>
      </w:r>
      <w:r>
        <w:rPr>
          <w:rFonts w:ascii="Times New Roman" w:eastAsia="Times New Roman" w:hAnsi="Times New Roman" w:cs="Times New Roman"/>
          <w:sz w:val="28"/>
          <w:szCs w:val="28"/>
          <w:highlight w:val="white"/>
        </w:rPr>
        <w:t>(професійно-технічної)</w:t>
      </w:r>
      <w:r>
        <w:rPr>
          <w:rFonts w:ascii="Times New Roman" w:eastAsia="Times New Roman" w:hAnsi="Times New Roman" w:cs="Times New Roman"/>
          <w:color w:val="000000"/>
          <w:sz w:val="28"/>
          <w:szCs w:val="28"/>
          <w:highlight w:val="white"/>
        </w:rPr>
        <w:t xml:space="preserve"> освіти та освіти дорослих;</w:t>
      </w:r>
    </w:p>
    <w:p w:rsidR="00A34D48" w:rsidRDefault="001554C3">
      <w:pPr>
        <w:numPr>
          <w:ilvl w:val="0"/>
          <w:numId w:val="1"/>
        </w:numPr>
        <w:pBdr>
          <w:top w:val="nil"/>
          <w:left w:val="nil"/>
          <w:bottom w:val="nil"/>
          <w:right w:val="nil"/>
          <w:between w:val="nil"/>
        </w:pBdr>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створення і забезпечення роботи гуртожитків, їдалень, медичних пунктів, спортивних, оздоровчих, культурних та інших підрозділів;</w:t>
      </w:r>
    </w:p>
    <w:p w:rsidR="00A34D48" w:rsidRDefault="001554C3">
      <w:pPr>
        <w:numPr>
          <w:ilvl w:val="0"/>
          <w:numId w:val="1"/>
        </w:numPr>
        <w:pBdr>
          <w:top w:val="nil"/>
          <w:left w:val="nil"/>
          <w:bottom w:val="nil"/>
          <w:right w:val="nil"/>
          <w:between w:val="nil"/>
        </w:pBdr>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надання додаткових освітніх послуг (автошкола, поліграфічні послуги, курси з домедичної підготовки, тактики самозахисту та ін.);</w:t>
      </w:r>
    </w:p>
    <w:p w:rsidR="00A34D48" w:rsidRDefault="001554C3">
      <w:pPr>
        <w:numPr>
          <w:ilvl w:val="0"/>
          <w:numId w:val="1"/>
        </w:numPr>
        <w:pBdr>
          <w:top w:val="nil"/>
          <w:left w:val="nil"/>
          <w:bottom w:val="nil"/>
          <w:right w:val="nil"/>
          <w:between w:val="nil"/>
        </w:pBdr>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приведення у відповідність до законодавства обсяги навчального навантаження слухача та викладача; </w:t>
      </w:r>
    </w:p>
    <w:p w:rsidR="00A34D48" w:rsidRDefault="001554C3">
      <w:pPr>
        <w:numPr>
          <w:ilvl w:val="0"/>
          <w:numId w:val="1"/>
        </w:numPr>
        <w:pBdr>
          <w:top w:val="nil"/>
          <w:left w:val="nil"/>
          <w:bottom w:val="nil"/>
          <w:right w:val="nil"/>
          <w:between w:val="nil"/>
        </w:pBdr>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проведення процедури атестації та підвищення кваліфікації викладачів;</w:t>
      </w:r>
    </w:p>
    <w:p w:rsidR="00A34D48" w:rsidRDefault="001554C3">
      <w:pPr>
        <w:numPr>
          <w:ilvl w:val="0"/>
          <w:numId w:val="1"/>
        </w:numPr>
        <w:pBdr>
          <w:top w:val="nil"/>
          <w:left w:val="nil"/>
          <w:bottom w:val="nil"/>
          <w:right w:val="nil"/>
          <w:between w:val="nil"/>
        </w:pBdr>
        <w:spacing w:after="0" w:line="360" w:lineRule="auto"/>
        <w:ind w:left="426" w:firstLine="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врегулювання прав і обов’язків учасників освітнього процесу.</w:t>
      </w:r>
    </w:p>
    <w:p w:rsidR="00A34D48" w:rsidRDefault="00A34D48">
      <w:pPr>
        <w:spacing w:after="0" w:line="360" w:lineRule="auto"/>
        <w:jc w:val="both"/>
        <w:rPr>
          <w:rFonts w:ascii="Times New Roman" w:eastAsia="Times New Roman" w:hAnsi="Times New Roman" w:cs="Times New Roman"/>
          <w:sz w:val="28"/>
          <w:szCs w:val="28"/>
          <w:highlight w:val="white"/>
        </w:rPr>
      </w:pPr>
    </w:p>
    <w:p w:rsidR="00A34D48" w:rsidRDefault="001554C3">
      <w:pPr>
        <w:widowControl w:val="0"/>
        <w:spacing w:after="120" w:line="264"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Загальна характеристика і основні положення законопроекту</w:t>
      </w:r>
    </w:p>
    <w:p w:rsidR="00A34D48" w:rsidRDefault="001554C3">
      <w:pPr>
        <w:pBdr>
          <w:top w:val="nil"/>
          <w:left w:val="nil"/>
          <w:bottom w:val="nil"/>
          <w:right w:val="nil"/>
          <w:between w:val="nil"/>
        </w:pBdr>
        <w:spacing w:after="0" w:line="264"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Проектом Закону пропонується внесення доповнень до Закону України «Про професійну (професійно-технічну) освіту», Закону України «Про Національну поліцію» щодо організації діяльності закладів професійної (професійно-технічної освіти) із специфічними умовами навчання.</w:t>
      </w:r>
    </w:p>
    <w:p w:rsidR="00A34D48" w:rsidRDefault="00A34D48">
      <w:pPr>
        <w:pBdr>
          <w:top w:val="nil"/>
          <w:left w:val="nil"/>
          <w:bottom w:val="nil"/>
          <w:right w:val="nil"/>
          <w:between w:val="nil"/>
        </w:pBdr>
        <w:spacing w:after="0" w:line="264" w:lineRule="auto"/>
        <w:ind w:firstLine="567"/>
        <w:jc w:val="both"/>
        <w:rPr>
          <w:rFonts w:ascii="Times New Roman" w:eastAsia="Times New Roman" w:hAnsi="Times New Roman" w:cs="Times New Roman"/>
          <w:color w:val="000000"/>
          <w:sz w:val="28"/>
          <w:szCs w:val="28"/>
        </w:rPr>
      </w:pPr>
    </w:p>
    <w:p w:rsidR="00A34D48" w:rsidRDefault="001554C3">
      <w:pPr>
        <w:widowControl w:val="0"/>
        <w:tabs>
          <w:tab w:val="left" w:pos="851"/>
        </w:tabs>
        <w:spacing w:after="120" w:line="264"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4. Стан нормативно-правової бази у даній сфері правового регулювання</w:t>
      </w:r>
    </w:p>
    <w:p w:rsidR="00A34D48" w:rsidRDefault="001554C3">
      <w:pPr>
        <w:widowControl w:val="0"/>
        <w:spacing w:after="0" w:line="264"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Основними нормативно-правовими актами, якими регулюються порушені у законопроекті питання є Закон України «Про професійну (професійно-технічну) освіту» та Закон України «Про Національну поліцію». Реалізація положень законопроекту не потребує внесення змін до інших законів.</w:t>
      </w:r>
    </w:p>
    <w:p w:rsidR="00A34D48" w:rsidRDefault="001554C3">
      <w:pPr>
        <w:widowControl w:val="0"/>
        <w:spacing w:after="0" w:line="264"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Положення проекту Закону не суперечать зобов’язанням України, що випливають з членства в міжнародних організаціях, торговельних угодах.</w:t>
      </w:r>
    </w:p>
    <w:p w:rsidR="00A34D48" w:rsidRDefault="00A34D48">
      <w:pPr>
        <w:widowControl w:val="0"/>
        <w:spacing w:after="0" w:line="264" w:lineRule="auto"/>
        <w:ind w:firstLine="567"/>
        <w:jc w:val="both"/>
        <w:rPr>
          <w:rFonts w:ascii="Times New Roman" w:eastAsia="Times New Roman" w:hAnsi="Times New Roman" w:cs="Times New Roman"/>
          <w:sz w:val="28"/>
          <w:szCs w:val="28"/>
        </w:rPr>
      </w:pPr>
    </w:p>
    <w:p w:rsidR="00A34D48" w:rsidRDefault="001554C3">
      <w:pPr>
        <w:widowControl w:val="0"/>
        <w:spacing w:after="120" w:line="264"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5. Фінансово-економічне обґрунтування</w:t>
      </w:r>
    </w:p>
    <w:p w:rsidR="00A34D48" w:rsidRDefault="001554C3">
      <w:pPr>
        <w:widowControl w:val="0"/>
        <w:spacing w:after="0" w:line="264"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Прийняття та реалізація проекту Закону не потребуватиме додаткових фінансових витрат з Державного бюджету України. </w:t>
      </w:r>
    </w:p>
    <w:p w:rsidR="00A34D48" w:rsidRDefault="00A34D48">
      <w:pPr>
        <w:widowControl w:val="0"/>
        <w:tabs>
          <w:tab w:val="left" w:pos="993"/>
        </w:tabs>
        <w:spacing w:after="0" w:line="264" w:lineRule="auto"/>
        <w:ind w:firstLine="567"/>
        <w:jc w:val="both"/>
        <w:rPr>
          <w:rFonts w:ascii="Times New Roman" w:eastAsia="Times New Roman" w:hAnsi="Times New Roman" w:cs="Times New Roman"/>
          <w:sz w:val="28"/>
          <w:szCs w:val="28"/>
        </w:rPr>
      </w:pPr>
    </w:p>
    <w:p w:rsidR="00A34D48" w:rsidRDefault="001554C3">
      <w:pPr>
        <w:widowControl w:val="0"/>
        <w:spacing w:after="120" w:line="264"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акту</w:t>
      </w:r>
    </w:p>
    <w:p w:rsidR="00A34D48" w:rsidRDefault="001554C3">
      <w:pPr>
        <w:widowControl w:val="0"/>
        <w:spacing w:after="0" w:line="264"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Прийняття запропонованих змін до законодавства сприяє визначенню такого закладу освіти як заклад професійної (професійно-технічної освіти) із специфічними умовами навчання, закріплює визначення організації освітнього процесу в такому закладі освіти, регламентує правовий статус здобувачів професійної (професійно-технічної) освіти із специфічними умовами навчання, педагогічних працівників таких закладів, встановлює гарантії їх діяльності. </w:t>
      </w:r>
    </w:p>
    <w:p w:rsidR="00A34D48" w:rsidRDefault="00A34D48">
      <w:pPr>
        <w:widowControl w:val="0"/>
        <w:spacing w:after="0" w:line="264" w:lineRule="auto"/>
        <w:ind w:firstLine="567"/>
        <w:jc w:val="both"/>
        <w:rPr>
          <w:rFonts w:ascii="Times New Roman" w:eastAsia="Times New Roman" w:hAnsi="Times New Roman" w:cs="Times New Roman"/>
          <w:sz w:val="28"/>
          <w:szCs w:val="28"/>
        </w:rPr>
      </w:pPr>
    </w:p>
    <w:tbl>
      <w:tblPr>
        <w:tblStyle w:val="a8"/>
        <w:tblW w:w="8789" w:type="dxa"/>
        <w:tblInd w:w="562" w:type="dxa"/>
        <w:tblLayout w:type="fixed"/>
        <w:tblLook w:val="0000" w:firstRow="0" w:lastRow="0" w:firstColumn="0" w:lastColumn="0" w:noHBand="0" w:noVBand="0"/>
      </w:tblPr>
      <w:tblGrid>
        <w:gridCol w:w="4962"/>
        <w:gridCol w:w="3118"/>
        <w:gridCol w:w="709"/>
      </w:tblGrid>
      <w:tr w:rsidR="00A34D48">
        <w:trPr>
          <w:trHeight w:val="609"/>
        </w:trPr>
        <w:tc>
          <w:tcPr>
            <w:tcW w:w="4962" w:type="dxa"/>
          </w:tcPr>
          <w:p w:rsidR="00A34D48" w:rsidRDefault="001554C3">
            <w:pPr>
              <w:shd w:val="clear" w:color="auto" w:fill="FFFFFF"/>
            </w:pPr>
            <w:r>
              <w:rPr>
                <w:rFonts w:ascii="Times New Roman" w:eastAsia="Times New Roman" w:hAnsi="Times New Roman" w:cs="Times New Roman"/>
                <w:b/>
                <w:sz w:val="28"/>
                <w:szCs w:val="28"/>
              </w:rPr>
              <w:t>Народні депутати України</w:t>
            </w:r>
          </w:p>
        </w:tc>
        <w:tc>
          <w:tcPr>
            <w:tcW w:w="3118" w:type="dxa"/>
          </w:tcPr>
          <w:p w:rsidR="00A34D48" w:rsidRDefault="00A34D48">
            <w:pPr>
              <w:shd w:val="clear" w:color="auto" w:fill="FFFFFF"/>
              <w:rPr>
                <w:rFonts w:ascii="Times New Roman" w:eastAsia="Times New Roman" w:hAnsi="Times New Roman" w:cs="Times New Roman"/>
                <w:b/>
                <w:sz w:val="28"/>
                <w:szCs w:val="28"/>
              </w:rPr>
            </w:pPr>
          </w:p>
        </w:tc>
        <w:tc>
          <w:tcPr>
            <w:tcW w:w="709" w:type="dxa"/>
          </w:tcPr>
          <w:p w:rsidR="00A34D48" w:rsidRDefault="00A34D48">
            <w:pPr>
              <w:rPr>
                <w:rFonts w:ascii="Times New Roman" w:eastAsia="Times New Roman" w:hAnsi="Times New Roman" w:cs="Times New Roman"/>
                <w:b/>
                <w:sz w:val="28"/>
                <w:szCs w:val="28"/>
              </w:rPr>
            </w:pPr>
          </w:p>
        </w:tc>
      </w:tr>
    </w:tbl>
    <w:p w:rsidR="00A34D48" w:rsidRDefault="00A34D48">
      <w:pPr>
        <w:widowControl w:val="0"/>
        <w:spacing w:after="0" w:line="264" w:lineRule="auto"/>
        <w:ind w:firstLine="567"/>
        <w:jc w:val="both"/>
        <w:rPr>
          <w:rFonts w:ascii="Times New Roman" w:eastAsia="Times New Roman" w:hAnsi="Times New Roman" w:cs="Times New Roman"/>
          <w:b/>
          <w:sz w:val="28"/>
          <w:szCs w:val="28"/>
          <w:highlight w:val="white"/>
        </w:rPr>
      </w:pPr>
      <w:bookmarkStart w:id="1" w:name="_heading=h.30j0zll" w:colFirst="0" w:colLast="0"/>
      <w:bookmarkEnd w:id="1"/>
    </w:p>
    <w:sectPr w:rsidR="00A34D48">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62B89"/>
    <w:multiLevelType w:val="multilevel"/>
    <w:tmpl w:val="A148BC10"/>
    <w:lvl w:ilvl="0">
      <w:start w:val="9"/>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D48"/>
    <w:rsid w:val="001554C3"/>
    <w:rsid w:val="00923E9D"/>
    <w:rsid w:val="00A34D4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5934B5-AF2B-4B8B-8644-1075C4E25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660E"/>
    <w:rPr>
      <w:lang w:val="en-US"/>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customStyle="1" w:styleId="TimesNewRoman">
    <w:name w:val="Times New Roman"/>
    <w:basedOn w:val="a4"/>
    <w:qFormat/>
    <w:rsid w:val="0020660E"/>
    <w:rPr>
      <w:rFonts w:ascii="Times New Roman" w:hAnsi="Times New Roman" w:cs="Times New Roman"/>
      <w:sz w:val="28"/>
    </w:rPr>
  </w:style>
  <w:style w:type="paragraph" w:styleId="a4">
    <w:name w:val="No Spacing"/>
    <w:uiPriority w:val="1"/>
    <w:qFormat/>
    <w:rsid w:val="0020660E"/>
    <w:pPr>
      <w:spacing w:after="0" w:line="240" w:lineRule="auto"/>
    </w:pPr>
    <w:rPr>
      <w:lang w:val="en-US"/>
    </w:rPr>
  </w:style>
  <w:style w:type="paragraph" w:customStyle="1" w:styleId="rvps2">
    <w:name w:val="rvps2"/>
    <w:basedOn w:val="a"/>
    <w:rsid w:val="0079313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at0">
    <w:name w:val="dat0"/>
    <w:rsid w:val="0079313A"/>
  </w:style>
  <w:style w:type="paragraph" w:styleId="a5">
    <w:name w:val="List Paragraph"/>
    <w:basedOn w:val="a"/>
    <w:uiPriority w:val="34"/>
    <w:qFormat/>
    <w:rsid w:val="0079313A"/>
    <w:pPr>
      <w:ind w:left="720"/>
      <w:contextualSpacing/>
    </w:pPr>
    <w:rPr>
      <w:rFonts w:cs="Times New Roman"/>
      <w:lang w:val="uk-UA"/>
    </w:rPr>
  </w:style>
  <w:style w:type="paragraph" w:customStyle="1" w:styleId="a6">
    <w:name w:val="Ігор"/>
    <w:basedOn w:val="a"/>
    <w:uiPriority w:val="99"/>
    <w:rsid w:val="00017925"/>
    <w:pPr>
      <w:autoSpaceDE w:val="0"/>
      <w:autoSpaceDN w:val="0"/>
      <w:spacing w:before="120" w:after="0" w:line="240" w:lineRule="auto"/>
      <w:ind w:firstLine="567"/>
      <w:jc w:val="both"/>
    </w:pPr>
    <w:rPr>
      <w:rFonts w:ascii="Times New Roman" w:eastAsia="Times New Roman" w:hAnsi="Times New Roman" w:cs="Times New Roman"/>
      <w:sz w:val="28"/>
      <w:szCs w:val="26"/>
      <w:lang w:val="uk-UA" w:eastAsia="ru-RU"/>
    </w:rPr>
  </w:style>
  <w:style w:type="paragraph" w:styleId="a7">
    <w:name w:val="Subtitle"/>
    <w:basedOn w:val="a"/>
    <w:next w:val="a"/>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hO6aE0JeWJQ0y6end9WdQLsXrw==">AMUW2mURmb1lXi0UXQ+slELqDcDCWHD0ibDdcCQ39aS77N/mlJmDwPrKLaLNcTWTqkEWm/GdeW7UfLKiVLXkGZ4JQg6ae4qvAegS+Fffa6EhNsan8E7L+2qIJvnBvFvwnJ3lQTzztwg9</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BD91672-74E6-4FBC-80F0-51A173838C1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4D5C49C-A55A-42B6-9AE6-611B646EC83D}">
  <ds:schemaRefs>
    <ds:schemaRef ds:uri="http://schemas.microsoft.com/sharepoint/v3/contenttype/forms"/>
  </ds:schemaRefs>
</ds:datastoreItem>
</file>

<file path=customXml/itemProps4.xml><?xml version="1.0" encoding="utf-8"?>
<ds:datastoreItem xmlns:ds="http://schemas.openxmlformats.org/officeDocument/2006/customXml" ds:itemID="{0D18C78C-E80F-4D41-8D43-A243653E5F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4159</Words>
  <Characters>2371</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2020-09-21T14:56:00Z</dcterms:created>
  <dcterms:modified xsi:type="dcterms:W3CDTF">2020-09-21T14:56:00Z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