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4C3" w:rsidRPr="00D92E53" w:rsidRDefault="000E14C3" w:rsidP="000E14C3">
      <w:pPr>
        <w:spacing w:after="0"/>
        <w:ind w:left="6372"/>
        <w:jc w:val="both"/>
        <w:rPr>
          <w:rFonts w:ascii="Times New Roman" w:hAnsi="Times New Roman"/>
          <w:sz w:val="28"/>
          <w:szCs w:val="28"/>
          <w:lang w:val="uk-UA"/>
        </w:rPr>
      </w:pPr>
      <w:r w:rsidRPr="00D92E53">
        <w:rPr>
          <w:rFonts w:ascii="Times New Roman" w:hAnsi="Times New Roman"/>
          <w:sz w:val="28"/>
          <w:szCs w:val="28"/>
          <w:lang w:val="uk-UA"/>
        </w:rPr>
        <w:t xml:space="preserve">До реєстр. № 3651-д </w:t>
      </w:r>
    </w:p>
    <w:p w:rsidR="000E14C3" w:rsidRPr="00D92E53" w:rsidRDefault="000E14C3" w:rsidP="000E14C3">
      <w:pPr>
        <w:spacing w:after="0"/>
        <w:ind w:left="6372" w:firstLine="708"/>
        <w:jc w:val="both"/>
        <w:rPr>
          <w:rFonts w:ascii="Times New Roman" w:hAnsi="Times New Roman"/>
          <w:sz w:val="28"/>
          <w:szCs w:val="28"/>
          <w:lang w:val="uk-UA"/>
        </w:rPr>
      </w:pPr>
      <w:r w:rsidRPr="00D92E53">
        <w:rPr>
          <w:rFonts w:ascii="Times New Roman" w:hAnsi="Times New Roman"/>
          <w:sz w:val="28"/>
          <w:szCs w:val="28"/>
          <w:lang w:val="uk-UA"/>
        </w:rPr>
        <w:t>(друге читання)</w:t>
      </w:r>
    </w:p>
    <w:p w:rsidR="000E14C3" w:rsidRPr="00D92E53" w:rsidRDefault="000E14C3" w:rsidP="000E14C3">
      <w:pPr>
        <w:spacing w:after="0"/>
        <w:ind w:right="85"/>
        <w:jc w:val="both"/>
        <w:rPr>
          <w:rFonts w:ascii="Times New Roman" w:eastAsia="Times New Roman" w:hAnsi="Times New Roman"/>
          <w:b/>
          <w:sz w:val="28"/>
          <w:szCs w:val="28"/>
          <w:lang w:val="uk-UA" w:eastAsia="ru-RU"/>
        </w:rPr>
      </w:pPr>
    </w:p>
    <w:p w:rsidR="000E14C3" w:rsidRPr="00D92E53" w:rsidRDefault="000E14C3" w:rsidP="000E14C3">
      <w:pPr>
        <w:spacing w:after="0"/>
        <w:ind w:right="85"/>
        <w:jc w:val="center"/>
        <w:rPr>
          <w:rFonts w:ascii="Times New Roman" w:eastAsia="Times New Roman" w:hAnsi="Times New Roman"/>
          <w:b/>
          <w:sz w:val="28"/>
          <w:szCs w:val="28"/>
          <w:lang w:val="uk-UA" w:eastAsia="ru-RU"/>
        </w:rPr>
      </w:pPr>
      <w:r w:rsidRPr="00D92E53">
        <w:rPr>
          <w:rFonts w:ascii="Times New Roman" w:eastAsia="Times New Roman" w:hAnsi="Times New Roman"/>
          <w:b/>
          <w:sz w:val="28"/>
          <w:szCs w:val="28"/>
          <w:lang w:val="uk-UA" w:eastAsia="ru-RU"/>
        </w:rPr>
        <w:t>ЗАУВАЖЕННЯ</w:t>
      </w:r>
    </w:p>
    <w:p w:rsidR="000E14C3" w:rsidRPr="00D92E53" w:rsidRDefault="000E14C3" w:rsidP="000E14C3">
      <w:pPr>
        <w:keepNext/>
        <w:shd w:val="clear" w:color="auto" w:fill="FFFFFF"/>
        <w:spacing w:after="0"/>
        <w:jc w:val="center"/>
        <w:textAlignment w:val="baseline"/>
        <w:outlineLvl w:val="2"/>
        <w:rPr>
          <w:rFonts w:ascii="Times New Roman" w:eastAsia="Times New Roman" w:hAnsi="Times New Roman"/>
          <w:b/>
          <w:bCs/>
          <w:sz w:val="28"/>
          <w:szCs w:val="28"/>
          <w:lang w:val="uk-UA" w:eastAsia="ru-RU"/>
        </w:rPr>
      </w:pPr>
      <w:r w:rsidRPr="00D92E53">
        <w:rPr>
          <w:rFonts w:ascii="Times New Roman" w:eastAsia="Times New Roman" w:hAnsi="Times New Roman"/>
          <w:b/>
          <w:bCs/>
          <w:sz w:val="28"/>
          <w:szCs w:val="28"/>
          <w:lang w:val="uk-UA" w:eastAsia="ru-RU"/>
        </w:rPr>
        <w:t>до проекту Закону України</w:t>
      </w:r>
    </w:p>
    <w:p w:rsidR="000E14C3" w:rsidRPr="00D92E53" w:rsidRDefault="000E14C3" w:rsidP="000E14C3">
      <w:pPr>
        <w:spacing w:after="0"/>
        <w:ind w:right="85"/>
        <w:jc w:val="center"/>
        <w:rPr>
          <w:rFonts w:ascii="Times New Roman" w:eastAsia="Times New Roman" w:hAnsi="Times New Roman"/>
          <w:b/>
          <w:bCs/>
          <w:sz w:val="28"/>
          <w:szCs w:val="28"/>
          <w:lang w:val="uk-UA" w:eastAsia="ru-RU"/>
        </w:rPr>
      </w:pPr>
      <w:r w:rsidRPr="00D92E53">
        <w:rPr>
          <w:rFonts w:ascii="Times New Roman" w:eastAsia="Times New Roman" w:hAnsi="Times New Roman"/>
          <w:b/>
          <w:bCs/>
          <w:sz w:val="28"/>
          <w:szCs w:val="28"/>
          <w:lang w:val="uk-UA" w:eastAsia="ru-RU"/>
        </w:rPr>
        <w:t>про 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w:t>
      </w:r>
    </w:p>
    <w:p w:rsidR="000E14C3" w:rsidRPr="00D92E53" w:rsidRDefault="000E14C3" w:rsidP="000E14C3">
      <w:pPr>
        <w:spacing w:after="0"/>
        <w:ind w:right="85"/>
        <w:jc w:val="center"/>
        <w:rPr>
          <w:rFonts w:ascii="Times New Roman" w:eastAsia="Times New Roman" w:hAnsi="Times New Roman"/>
          <w:b/>
          <w:sz w:val="28"/>
          <w:szCs w:val="28"/>
          <w:lang w:val="uk-UA" w:eastAsia="ru-RU"/>
        </w:rPr>
      </w:pPr>
      <w:r w:rsidRPr="00D92E53">
        <w:rPr>
          <w:rFonts w:ascii="Times New Roman" w:hAnsi="Times New Roman"/>
          <w:b/>
          <w:sz w:val="28"/>
          <w:szCs w:val="28"/>
          <w:lang w:val="uk-UA"/>
        </w:rPr>
        <w:t>(реєстр. № 3651-д)</w:t>
      </w:r>
    </w:p>
    <w:p w:rsidR="000E14C3" w:rsidRPr="00D92E53" w:rsidRDefault="000E14C3" w:rsidP="000E14C3">
      <w:pPr>
        <w:spacing w:after="0"/>
        <w:ind w:right="85"/>
        <w:jc w:val="center"/>
        <w:rPr>
          <w:rFonts w:ascii="Times New Roman" w:eastAsia="Times New Roman" w:hAnsi="Times New Roman"/>
          <w:b/>
          <w:sz w:val="28"/>
          <w:szCs w:val="28"/>
          <w:lang w:val="uk-UA" w:eastAsia="ru-RU"/>
        </w:rPr>
      </w:pPr>
    </w:p>
    <w:p w:rsidR="000E14C3" w:rsidRPr="00D92E53" w:rsidRDefault="000E14C3" w:rsidP="000E14C3">
      <w:pPr>
        <w:spacing w:after="0"/>
        <w:ind w:right="85" w:firstLine="567"/>
        <w:jc w:val="both"/>
        <w:rPr>
          <w:rFonts w:ascii="Times New Roman" w:eastAsia="Times New Roman" w:hAnsi="Times New Roman"/>
          <w:b/>
          <w:sz w:val="28"/>
          <w:szCs w:val="28"/>
          <w:lang w:val="uk-UA" w:eastAsia="ru-RU"/>
        </w:rPr>
      </w:pP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t>У Головному юридичному управлінні в межах фактично наданого часу (законопроект надійшов до Головного управління 17 листопада 2020 року о       10 год. 50 хв.) розглянуто п</w:t>
      </w:r>
      <w:r w:rsidRPr="00D92E53">
        <w:rPr>
          <w:rFonts w:ascii="Times New Roman" w:eastAsia="Times New Roman" w:hAnsi="Times New Roman"/>
          <w:bCs/>
          <w:color w:val="333333"/>
          <w:sz w:val="28"/>
          <w:szCs w:val="28"/>
          <w:lang w:val="uk-UA" w:eastAsia="ru-RU"/>
        </w:rPr>
        <w:t xml:space="preserve">роект </w:t>
      </w:r>
      <w:r w:rsidRPr="00D92E53">
        <w:rPr>
          <w:rFonts w:ascii="Times New Roman" w:eastAsia="Times New Roman" w:hAnsi="Times New Roman"/>
          <w:bCs/>
          <w:sz w:val="28"/>
          <w:szCs w:val="28"/>
          <w:lang w:val="uk-UA" w:eastAsia="ru-RU"/>
        </w:rPr>
        <w:t>Закону України про 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 підготовлений Комітетом Верховної Ради України з питань з питань організації державної влади, місцевого самоврядування, регіонального розвитку та містобудування до розгляду у другому читанні, та звертається увага на таке.</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hAnsi="Times New Roman"/>
          <w:color w:val="000000"/>
          <w:sz w:val="28"/>
          <w:szCs w:val="28"/>
          <w:lang w:val="uk-UA"/>
        </w:rPr>
        <w:t>Законопроектом передбачається внесення змін до законів України «Про місцеве самоврядування в Україні», «Про місцеві державні адміністрації», «Про Кабінет Міністрів України», «Про державну реєстрацію юридичних осіб, фізичних осіб – підприємців та громадських формувань» для</w:t>
      </w:r>
      <w:r w:rsidRPr="00D92E53">
        <w:rPr>
          <w:rFonts w:ascii="Times New Roman" w:hAnsi="Times New Roman"/>
          <w:sz w:val="28"/>
          <w:szCs w:val="28"/>
          <w:lang w:val="uk-UA"/>
        </w:rPr>
        <w:t xml:space="preserve"> врегулювання питань, пов’язаних з реорганізацією </w:t>
      </w:r>
      <w:r w:rsidRPr="00D92E53">
        <w:rPr>
          <w:rFonts w:ascii="Times New Roman" w:hAnsi="Times New Roman"/>
          <w:bCs/>
          <w:sz w:val="28"/>
          <w:szCs w:val="28"/>
          <w:lang w:val="uk-UA"/>
        </w:rPr>
        <w:t xml:space="preserve">органів місцевого самоврядування та місцевих державних адміністрацій у зв’язку із зміною адміністративно-територіального устрою України на районному </w:t>
      </w:r>
      <w:r w:rsidRPr="00D92E53">
        <w:rPr>
          <w:rFonts w:ascii="Times New Roman" w:eastAsia="Times New Roman" w:hAnsi="Times New Roman"/>
          <w:bCs/>
          <w:sz w:val="28"/>
          <w:szCs w:val="28"/>
          <w:lang w:val="uk-UA" w:eastAsia="ru-RU"/>
        </w:rPr>
        <w:t>рівні.</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t xml:space="preserve">Підтримуючи в цілому зауваження Головного науково-експертного управління до цього проекту від 27 жовтня 2020 року, ще раз звертаємо увагу </w:t>
      </w:r>
      <w:r w:rsidRPr="00D92E53">
        <w:rPr>
          <w:rFonts w:ascii="Times New Roman" w:eastAsia="Times New Roman" w:hAnsi="Times New Roman"/>
          <w:bCs/>
          <w:sz w:val="28"/>
          <w:szCs w:val="28"/>
          <w:lang w:val="uk-UA" w:eastAsia="ru-RU"/>
        </w:rPr>
        <w:lastRenderedPageBreak/>
        <w:t>на низку його положень, що не враховують вимог Конституції України та не узгоджуються між собою.</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t>1. Відповідно до статті 5 Конституції України народ здійснює владу безпосередньо і через органи державної влади та органи місцевого самоврядування. А згідно зі статтею 7 Конституції України в Україні визнається і гарантується місцеве самоврядування.</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t xml:space="preserve">Частина перша статті 140 Конституції України визначає місцеве самоврядування як право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 </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t xml:space="preserve">У 2015 році парламент прийняв Закон України «Про добровільне об’єднання територіальних громад», яким всупереч процитованій вище частині першій статті 140 Конституції України та в умовах відсутності закону про адміністративно-територіальний устрій дозволив визнавати суб’єктами добровільного об’єднання територіальних громад суміжні територіальні громади сіл, селищ, міст. </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t xml:space="preserve">Зазначеним законом було встановлено процедуру, яка передбачала добровільність такого об’єднання територіальних громад, хоч і на підставі перспективних планів формування територій громад Автономної Республіки Крим, області, розроблених Радою міністрів Автономної Республіки Крим, відповідною обласною державною адміністрацією згідно із затвердженою Кабінетом Міністрів України методикою формування спроможних територіальних громад (статті 5-8, 11 Закону України «Про добровільне об’єднання територіальних громад»). </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t>Законом України від 16 квітня 2020 року № 562-ІХ «Про внесення змін до деяких законів України щодо визначення територій та адміністративних центрів територіальних громад» (далі – Закон №562-ІХ) були внесені зміни до Закону України «Про місцеве самоврядування в Україні», якими  уповноважили Кабінет Міністрів України здійснювати «до прийняття закону про адміністративно-територіальний устрій України визначення адміністративних центрів територіальних громад та затвердження територій територіальних громад», а факт наявності зазначених рішень Кабінету Міністрів України визнано правовою підставою для  призначення Центральною виборчою комісією «перших місцевих виборів депутатів сільських, селищних, міських рад і сільських, селищних, міських голів відповідних територіальних громад» (пункт 7</w:t>
      </w:r>
      <w:r w:rsidRPr="00D92E53">
        <w:rPr>
          <w:rFonts w:ascii="Times New Roman" w:eastAsia="Times New Roman" w:hAnsi="Times New Roman"/>
          <w:bCs/>
          <w:sz w:val="28"/>
          <w:szCs w:val="28"/>
          <w:vertAlign w:val="superscript"/>
          <w:lang w:val="uk-UA" w:eastAsia="ru-RU"/>
        </w:rPr>
        <w:t>1</w:t>
      </w:r>
      <w:r w:rsidRPr="00D92E53">
        <w:rPr>
          <w:rFonts w:ascii="Times New Roman" w:eastAsia="Times New Roman" w:hAnsi="Times New Roman"/>
          <w:bCs/>
          <w:sz w:val="28"/>
          <w:szCs w:val="28"/>
          <w:lang w:val="uk-UA" w:eastAsia="ru-RU"/>
        </w:rPr>
        <w:t xml:space="preserve"> розділу V «Прикінцеві та перехідні положення» Закону України «Про місцеве самоврядування в Україні»).</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lastRenderedPageBreak/>
        <w:t>Оскільки для затвердження території територіальної громади потрібно, щоб така громада вже існувала фактично і юридично, законодавець доручив Уряду затвердити території територіальних громад, які вже утворені.</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t>Натомість Кабінет Міністрів України,  посилаючись на пункт 7</w:t>
      </w:r>
      <w:r w:rsidRPr="00D92E53">
        <w:rPr>
          <w:rFonts w:ascii="Times New Roman" w:eastAsia="Times New Roman" w:hAnsi="Times New Roman"/>
          <w:bCs/>
          <w:sz w:val="28"/>
          <w:szCs w:val="28"/>
          <w:vertAlign w:val="superscript"/>
          <w:lang w:val="uk-UA" w:eastAsia="ru-RU"/>
        </w:rPr>
        <w:t>1</w:t>
      </w:r>
      <w:r w:rsidRPr="00D92E53">
        <w:rPr>
          <w:rFonts w:ascii="Times New Roman" w:eastAsia="Times New Roman" w:hAnsi="Times New Roman"/>
          <w:bCs/>
          <w:sz w:val="28"/>
          <w:szCs w:val="28"/>
          <w:lang w:val="uk-UA" w:eastAsia="ru-RU"/>
        </w:rPr>
        <w:t xml:space="preserve"> розділу V «Прикінцеві та перехідні положення» Закону України «Про місцеве самоврядування в Україні», 12 червня 2020 року прийняв низку розпоряджень (№№ 707-р - 730-р), якими були визначені адміністративні центри та затверджені території територіальних громад 24 областей. Цими розпорядженнями Кабінет Міністрів України самостійно (без згоди відповідних територіальних громад) включив до складу окремих об’єднаних територіальних громад територіальні громади, які до прийняття цього урядового рішення не приєдналися до жодної об’єднаної територіальної громади.</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t xml:space="preserve">Відтак, під виглядом затвердження території та адміністративних центрів територіальних громад Уряд фактично самостійно «створив» нові територіальні громади без прийняття рішень відповідними місцевими радами про утворення таких громад, ліквідувавши при цьому як територіальні громади, що не приєдналися до жодної об’єднаної територіальної громади, так і територіальні громади, які завершили передбачену Законом України «Про добровільне об’єднання територіальних громад» процедуру об’єднання та обрали свої представницькі органи на перших місцевих виборах. </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t xml:space="preserve">Як зазначив Конституційний Суд України у своєму рішенні 18 червня 2002 року № 12-рп/2002 (справа про об'єднання територіальних громад) питання об'єднання  або  роз'єднання  територіальних  громад, виходячи з визначеного положеннями частини першої статті 140 Конституції України поняття "територіальна громада", має вирішуватися з урахуванням відповідного волевиявлення членів цих територіальних громад, яке здійснюється згідно з законом. </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t>Враховуючи, що зазначені розпорядження Кабінету Міністрів України згідно із Законом № 562-ІХ, а також Постанова Верховної Ради України 17 липня 2020 року № 807-IX  були підставою для призначення Центральною виборчою комісією перших місцевих виборів у відповідних територіальних громадах та районах, поданий на розгляд проект, яким пропонується врегулювати питання, пов’язані із закінченням повноважень сільських, селищних, міських голів, сільських, селищних, міських рад «розформованих територіальних громад», є одним з чергових кроків, що не узгоджується з положеннями Основного Закону України.</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r w:rsidRPr="00D92E53">
        <w:rPr>
          <w:rFonts w:ascii="Times New Roman" w:eastAsia="Times New Roman" w:hAnsi="Times New Roman"/>
          <w:bCs/>
          <w:sz w:val="28"/>
          <w:szCs w:val="28"/>
          <w:lang w:val="uk-UA" w:eastAsia="ru-RU"/>
        </w:rPr>
        <w:t>Запропонований до розгляду законопроект має на меті врегулювання питання реорганізації місцевого самоврядування після того, як у неконституційний спосіб Кабінет Міністрів України під виглядом затвердження територій територіальних громад та визначення їх адміністративних центрів фактично ліквідував всіх суб’єктів місцевого самоврядування базового рівня і створив нових на власний розсуд. Зазначений процес було здійснено Урядом в умовах відсутності у правовому полі України закону про адміністративно-територіальний устрій, а також всупереч гарантованому статтею 7 Конституції України праву на місцеве самоврядування та вимогі узгоджувати територіальні межі місцевого самоврядування з територіальними громадами (стаття 5 Європейської хартії місцевого самоврядування).</w:t>
      </w:r>
    </w:p>
    <w:p w:rsidR="000E14C3" w:rsidRPr="00D92E53" w:rsidRDefault="000E14C3" w:rsidP="000E14C3">
      <w:pPr>
        <w:spacing w:after="0"/>
        <w:ind w:right="85" w:firstLine="567"/>
        <w:jc w:val="both"/>
        <w:rPr>
          <w:rFonts w:ascii="Times New Roman" w:eastAsia="Times New Roman" w:hAnsi="Times New Roman"/>
          <w:bCs/>
          <w:sz w:val="28"/>
          <w:szCs w:val="28"/>
          <w:lang w:val="uk-UA" w:eastAsia="ru-RU"/>
        </w:rPr>
      </w:pPr>
    </w:p>
    <w:p w:rsidR="000E14C3" w:rsidRPr="00D92E53" w:rsidRDefault="000E14C3" w:rsidP="000E14C3">
      <w:pPr>
        <w:spacing w:after="0"/>
        <w:ind w:firstLine="709"/>
        <w:jc w:val="both"/>
        <w:rPr>
          <w:rFonts w:ascii="Times New Roman" w:hAnsi="Times New Roman"/>
          <w:sz w:val="28"/>
          <w:szCs w:val="28"/>
          <w:lang w:val="uk-UA"/>
        </w:rPr>
      </w:pPr>
      <w:r w:rsidRPr="00D92E53">
        <w:rPr>
          <w:rFonts w:ascii="Times New Roman" w:hAnsi="Times New Roman"/>
          <w:sz w:val="28"/>
          <w:szCs w:val="28"/>
          <w:lang w:val="uk-UA"/>
        </w:rPr>
        <w:t xml:space="preserve">2. Проектом зроблено спробу врегулювати питання реорганізації юридичних осіб публічного права. Підтримуємо позицію щодо цього питання Головного науково-експертного управління, яке у своєму висновку зазначає, що  </w:t>
      </w:r>
      <w:r w:rsidRPr="00D92E53">
        <w:rPr>
          <w:rFonts w:ascii="Times New Roman" w:hAnsi="Times New Roman"/>
          <w:bCs/>
          <w:sz w:val="28"/>
          <w:szCs w:val="28"/>
          <w:lang w:val="uk-UA"/>
        </w:rPr>
        <w:t xml:space="preserve">функції органу держави, які реалізовувались органом, що припинив своє існування, не можуть бути припинені і підлягають передачі іншим органам, що повинно знаходити своє відображення у правових актах, зокрема, тих, що передбачають реорганізацію або ліквідацію органу. У разі виникнення публічного правонаступництва усі </w:t>
      </w:r>
      <w:r w:rsidRPr="00D92E53">
        <w:rPr>
          <w:rFonts w:ascii="Times New Roman" w:hAnsi="Times New Roman"/>
          <w:sz w:val="28"/>
          <w:szCs w:val="28"/>
          <w:lang w:val="uk-UA"/>
        </w:rPr>
        <w:t>матеріально-правові зобов’язання суб’єкта-попередника передаються до суб’єкта-правонаступника, який відповідно має надалі виконувати ці зобов’язання перед фізичними (юридичними) особами. Саме у логічному завершенні виконання обов’язків суб’єктів владних повноважень перед юридичними та фізичними особами і полягає призначення публічного правонаступництва.</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bCs/>
          <w:sz w:val="28"/>
          <w:szCs w:val="28"/>
          <w:lang w:val="uk-UA"/>
        </w:rPr>
        <w:t>Крім цього, регламентація питань, пов’язаних з реорганізацією органів місцевого самоврядування у розділі Закону України «Про місцеве самоврядування в Україні», де вміщуються перехідні та прикінцеві положення, є некоректною, оскільки положення цього розділу вже вичерпали свою дію і їх розширення новими приписами, причому нормативного характеру, суперечить правилам законодавчої техніки.</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3. Змінами до частини першої статті 5 Закону України «Про місцеве самоврядування в Україні» пропонується включити до системи місцевого самоврядування «районні та обласні ради, що представляють спільні інтереси територіальних громад сіл, селищ, міст». Враховуючи, що запропоноване положення дублює абзац сьомий частини першої статті 1 цього Закону, а частина перша статті 5 чинного Закону не містить визначення інших елементів системи місцевого самоврядування,  зазначений абзац доцільно викласти в такій редакції: «районні та обласні ради».</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Крім того, запропонована у проекті термінологія щодо визначення назви територіальних громад «територіальні громади сіл, селищ, міст» не враховує інших положень Закону України «Про місцеве самоврядування в Україні», яким у статті 1 встановлено, що «територіальна громада - жителі, об'єднані постійним проживанням у межах села, селища, міста, що є самостійними адміністративно-територіальними одиницями, або добровільне об'єднання жителів кількох сіл, селищ, міст, що мають єдиний адміністративний центр». Відповідно до статті 6 зазначеного Закону територіальні громади села, селища, міста у встановленому законом порядку можуть об’єднуватися в одну сільську, селищну, міську територіальну громаду, утворювати єдині органи місцевого самоврядування та обирати відповідно сільського, селищного, міського голову.</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Оскільки після проведення «реформи укрупнення територіальних громад» переважна більшість територіальних громад в Україні складається з жителів декількох населених пунктів (сіл, селищ, міст) у проекті доцільно вживати термін «сільська, селищна, міська територіальна громада». Такий термін буде поширюватись на обидва типи територіальних громад – як на ті, що складаються з жителів одного населеного пункту, так і на ті, що складаються з жителів декількох населених пунктів.</w:t>
      </w:r>
    </w:p>
    <w:p w:rsidR="000E14C3" w:rsidRPr="00D92E53" w:rsidRDefault="000E14C3" w:rsidP="000E14C3">
      <w:pPr>
        <w:spacing w:after="0"/>
        <w:ind w:firstLine="567"/>
        <w:jc w:val="both"/>
        <w:rPr>
          <w:rFonts w:ascii="Times New Roman" w:hAnsi="Times New Roman"/>
          <w:sz w:val="28"/>
          <w:szCs w:val="28"/>
          <w:lang w:val="uk-UA"/>
        </w:rPr>
      </w:pP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4. У нових пунктах розділу V «Прикінцеві та перехідні положення» Закону України «Про місцеве самоврядування в Україні» пропонується передбачити, що повноваження сільських, селищних, міських рад, сільських, селищних, міських голів, обраних територіальними громадами, територія яких включена до території сформованої територіальної громади, припиняються в день набуття повноважень сільською, селищною, міською радою, обраною територіальною громадою, територія якої затверджена Кабінетом Міністрів України (підпункт 1 пункту 6</w:t>
      </w:r>
      <w:r w:rsidRPr="00D92E53">
        <w:rPr>
          <w:rFonts w:ascii="Times New Roman" w:hAnsi="Times New Roman"/>
          <w:sz w:val="28"/>
          <w:szCs w:val="28"/>
          <w:vertAlign w:val="superscript"/>
          <w:lang w:val="uk-UA"/>
        </w:rPr>
        <w:t>1</w:t>
      </w:r>
      <w:r w:rsidRPr="00D92E53">
        <w:rPr>
          <w:rFonts w:ascii="Times New Roman" w:hAnsi="Times New Roman"/>
          <w:sz w:val="28"/>
          <w:szCs w:val="28"/>
          <w:lang w:val="uk-UA"/>
        </w:rPr>
        <w:t xml:space="preserve">). </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 xml:space="preserve">Повноваження районних рад, які представляли спільні інтереси територіальних громад районів, ліквідованих Верховною Радою України, закінчуються в день набуття повноважень обраними на відповідних перших місцевих виборах районними радами районів, утворених Верховною Радою України (підпункт 1 </w:t>
      </w:r>
      <w:proofErr w:type="spellStart"/>
      <w:r w:rsidRPr="00D92E53">
        <w:rPr>
          <w:rFonts w:ascii="Times New Roman" w:hAnsi="Times New Roman"/>
          <w:sz w:val="28"/>
          <w:szCs w:val="28"/>
          <w:lang w:val="uk-UA"/>
        </w:rPr>
        <w:t>пунтку</w:t>
      </w:r>
      <w:proofErr w:type="spellEnd"/>
      <w:r w:rsidRPr="00D92E53">
        <w:rPr>
          <w:rFonts w:ascii="Times New Roman" w:hAnsi="Times New Roman"/>
          <w:sz w:val="28"/>
          <w:szCs w:val="28"/>
          <w:lang w:val="uk-UA"/>
        </w:rPr>
        <w:t xml:space="preserve"> 6</w:t>
      </w:r>
      <w:r w:rsidRPr="00D92E53">
        <w:rPr>
          <w:rFonts w:ascii="Times New Roman" w:hAnsi="Times New Roman"/>
          <w:sz w:val="28"/>
          <w:szCs w:val="28"/>
          <w:vertAlign w:val="superscript"/>
          <w:lang w:val="uk-UA"/>
        </w:rPr>
        <w:t>2</w:t>
      </w:r>
      <w:r w:rsidRPr="00D92E53">
        <w:rPr>
          <w:rFonts w:ascii="Times New Roman" w:hAnsi="Times New Roman"/>
          <w:sz w:val="28"/>
          <w:szCs w:val="28"/>
          <w:lang w:val="uk-UA"/>
        </w:rPr>
        <w:t>).</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При цьому не враховується, що відповідно до частини четвертої статті 45, частини другої статті 46 зазначеного Закону перша сесія новообраної сільської, селищної, міської ради скликається відповідною територіальною виборчою комісією не пізніш як через два тижні після реєстрації новообраних депутатів ради у кількості, не меншій двох третин депутатів від загального складу ради.</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Таким чином, сільські, селищні, міські та районні ради, обрані на перших місцевих виборах 25 жовтня 2020 року, набудуть повноважень у різні строки. Це, всупереч принципу верховенства права (стаття 8 Конституції України) створить юридичну невизначеність щодо строку закінчення повноважень депутатів та посадових осіб місцевих рад розформованих територіальних громад та ліквідованих районів, територія яких увійшла до кількох нових громад або кількох районів.</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5. Підпунктом 2 пункту 6</w:t>
      </w:r>
      <w:r w:rsidRPr="00D92E53">
        <w:rPr>
          <w:rFonts w:ascii="Times New Roman" w:hAnsi="Times New Roman"/>
          <w:sz w:val="28"/>
          <w:szCs w:val="28"/>
          <w:vertAlign w:val="superscript"/>
          <w:lang w:val="uk-UA"/>
        </w:rPr>
        <w:t>1</w:t>
      </w:r>
      <w:r w:rsidRPr="00D92E53">
        <w:rPr>
          <w:rFonts w:ascii="Times New Roman" w:hAnsi="Times New Roman"/>
          <w:sz w:val="28"/>
          <w:szCs w:val="28"/>
          <w:lang w:val="uk-UA"/>
        </w:rPr>
        <w:t xml:space="preserve"> розділу V "Прикінцеві та перехідні положення" Закону України "Про місцеве самоврядування в Україні" (у редакції законопроекту) визначено, що </w:t>
      </w:r>
      <w:r w:rsidRPr="00D92E53">
        <w:rPr>
          <w:rFonts w:ascii="Times New Roman" w:hAnsi="Times New Roman"/>
          <w:i/>
          <w:sz w:val="28"/>
          <w:szCs w:val="28"/>
          <w:lang w:val="uk-UA"/>
        </w:rPr>
        <w:t xml:space="preserve">"після </w:t>
      </w:r>
      <w:r w:rsidRPr="00D92E53">
        <w:rPr>
          <w:rFonts w:ascii="Times New Roman" w:hAnsi="Times New Roman"/>
          <w:b/>
          <w:i/>
          <w:sz w:val="28"/>
          <w:szCs w:val="28"/>
          <w:lang w:val="uk-UA"/>
        </w:rPr>
        <w:t xml:space="preserve">припинення </w:t>
      </w:r>
      <w:r w:rsidRPr="00D92E53">
        <w:rPr>
          <w:rFonts w:ascii="Times New Roman" w:hAnsi="Times New Roman"/>
          <w:i/>
          <w:sz w:val="28"/>
          <w:szCs w:val="28"/>
          <w:lang w:val="uk-UA"/>
        </w:rPr>
        <w:t>повноважень сільських, селищних, міських рад, обраних розформованими територіальними громадами (далі – ради, що припиняються), їхні виконавчі комітети продовжують здійснювати свої повноваження до затвердження сільською, селищною, міською радою, обраною сформованою територіальною громадою (далі – новообрана рада), персонального складу її виконавчого комітету. Протягом зазначеного строку сільський, селищний, міський голова, обраний сформованою територіальною громадою, очолює такі виконавчі комітети та входить до їх персонального складу"</w:t>
      </w:r>
      <w:r w:rsidRPr="00D92E53">
        <w:rPr>
          <w:rFonts w:ascii="Times New Roman" w:hAnsi="Times New Roman"/>
          <w:sz w:val="28"/>
          <w:szCs w:val="28"/>
          <w:lang w:val="uk-UA"/>
        </w:rPr>
        <w:t xml:space="preserve">. Однак, наведене положення не враховує того факту, що виконавчі комітети не завжди є окремо зареєстрованими юридичними особами. А тому, у разі, якщо певний орган місцевого самоврядування припинить своє існування внаслідок "розформування", а його виконавчий комітет не є зареєстрованою юридичною особою, то фактично не існуватиме окремого учасника, зокрема, цивільних правовідносин, що підтверджується таким. </w:t>
      </w:r>
    </w:p>
    <w:p w:rsidR="000E14C3" w:rsidRPr="00D92E53" w:rsidRDefault="000E14C3" w:rsidP="000E14C3">
      <w:pPr>
        <w:pStyle w:val="ad"/>
        <w:spacing w:after="0"/>
        <w:ind w:left="0" w:firstLine="567"/>
        <w:contextualSpacing w:val="0"/>
        <w:rPr>
          <w:rFonts w:cs="Times New Roman"/>
          <w:szCs w:val="28"/>
        </w:rPr>
      </w:pPr>
      <w:r w:rsidRPr="00D92E53">
        <w:rPr>
          <w:rFonts w:cs="Times New Roman"/>
          <w:szCs w:val="28"/>
        </w:rPr>
        <w:t xml:space="preserve">Так, абзацом першим частини першої статті 80 Цивільного кодексу України передбачено, що "юридичною особою є </w:t>
      </w:r>
      <w:r w:rsidRPr="00D92E53">
        <w:rPr>
          <w:rFonts w:cs="Times New Roman"/>
          <w:szCs w:val="28"/>
          <w:u w:val="single"/>
        </w:rPr>
        <w:t>організація, створена і зареєстрована</w:t>
      </w:r>
      <w:r w:rsidRPr="00D92E53">
        <w:rPr>
          <w:rFonts w:cs="Times New Roman"/>
          <w:szCs w:val="28"/>
        </w:rPr>
        <w:t xml:space="preserve"> у встановленому законом порядку". А абзацом другим частини третьої статті 81 Цивільного кодексу України визначено, що "порядок утворення та правовий статус юридичних осіб публічного права встановлюються Конституцією України та законом". Таким законом зокрема слід вважати Закон України "Про державну реєстрацію юридичних осіб, фізичних осіб - підприємців та громадських формувань" відповідно до пункту 4 частини першої статті 1 якого </w:t>
      </w:r>
      <w:r w:rsidRPr="00D92E53">
        <w:rPr>
          <w:rFonts w:cs="Times New Roman"/>
          <w:szCs w:val="28"/>
          <w:u w:val="single"/>
        </w:rPr>
        <w:t>"державна реєстрація юридичних осіб … – офіційне визнання шляхом засвідчення державою факту створення або припинення юридичної особи…"</w:t>
      </w:r>
      <w:r w:rsidRPr="00D92E53">
        <w:rPr>
          <w:rFonts w:cs="Times New Roman"/>
          <w:szCs w:val="28"/>
        </w:rPr>
        <w:t>.</w:t>
      </w:r>
    </w:p>
    <w:p w:rsidR="000E14C3" w:rsidRPr="00D92E53" w:rsidRDefault="000E14C3" w:rsidP="000E14C3">
      <w:pPr>
        <w:pStyle w:val="ad"/>
        <w:spacing w:after="0"/>
        <w:ind w:left="0" w:firstLine="567"/>
        <w:contextualSpacing w:val="0"/>
        <w:rPr>
          <w:rFonts w:cs="Times New Roman"/>
          <w:szCs w:val="28"/>
        </w:rPr>
      </w:pPr>
      <w:r w:rsidRPr="00D92E53">
        <w:rPr>
          <w:rFonts w:cs="Times New Roman"/>
          <w:szCs w:val="28"/>
        </w:rPr>
        <w:t xml:space="preserve">Таким чином, положення законопроекту допускає різне правове регулювання однотипних суспільних відносини, чим не враховує вимог щодо правової визначеності як елементу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Pr="00D92E53">
        <w:rPr>
          <w:rFonts w:cs="Times New Roman"/>
          <w:szCs w:val="28"/>
        </w:rPr>
        <w:t>однопредметними</w:t>
      </w:r>
      <w:proofErr w:type="spellEnd"/>
      <w:r w:rsidRPr="00D92E53">
        <w:rPr>
          <w:rFonts w:cs="Times New Roman"/>
          <w:szCs w:val="28"/>
        </w:rPr>
        <w:t xml:space="preserve"> нормативними правовими актами однакової сили, які за змістом суперечать один одному. Загальновизнаним є й те, що з прийняттям нового </w:t>
      </w:r>
      <w:proofErr w:type="spellStart"/>
      <w:r w:rsidRPr="00D92E53">
        <w:rPr>
          <w:rFonts w:cs="Times New Roman"/>
          <w:szCs w:val="28"/>
        </w:rPr>
        <w:t>акта</w:t>
      </w:r>
      <w:proofErr w:type="spellEnd"/>
      <w:r w:rsidRPr="00D92E53">
        <w:rPr>
          <w:rFonts w:cs="Times New Roman"/>
          <w:szCs w:val="28"/>
        </w:rPr>
        <w:t xml:space="preserve">, якщо інше не передбачено самим цим актом, автоматично скасовується </w:t>
      </w:r>
      <w:proofErr w:type="spellStart"/>
      <w:r w:rsidRPr="00D92E53">
        <w:rPr>
          <w:rFonts w:cs="Times New Roman"/>
          <w:szCs w:val="28"/>
        </w:rPr>
        <w:t>однопредметний</w:t>
      </w:r>
      <w:proofErr w:type="spellEnd"/>
      <w:r w:rsidRPr="00D92E53">
        <w:rPr>
          <w:rFonts w:cs="Times New Roman"/>
          <w:szCs w:val="28"/>
        </w:rPr>
        <w:t xml:space="preserve"> акт, який діяв у часі раніше (абзац п'ятий пункту 3 мотивувальної частини Рішення від 3 жовтня 1997 року № 4</w:t>
      </w:r>
      <w:r w:rsidRPr="00D92E53">
        <w:rPr>
          <w:rFonts w:cs="Times New Roman"/>
          <w:szCs w:val="28"/>
        </w:rPr>
        <w:noBreakHyphen/>
        <w:t xml:space="preserve">зп). </w:t>
      </w:r>
    </w:p>
    <w:p w:rsidR="000E14C3" w:rsidRPr="00D92E53" w:rsidRDefault="000E14C3" w:rsidP="000E14C3">
      <w:pPr>
        <w:pStyle w:val="ad"/>
        <w:spacing w:after="0"/>
        <w:ind w:left="0" w:firstLine="567"/>
        <w:contextualSpacing w:val="0"/>
        <w:rPr>
          <w:rFonts w:cs="Times New Roman"/>
          <w:szCs w:val="28"/>
        </w:rPr>
      </w:pPr>
      <w:r w:rsidRPr="00D92E53">
        <w:rPr>
          <w:rFonts w:cs="Times New Roman"/>
          <w:szCs w:val="28"/>
        </w:rPr>
        <w:t xml:space="preserve">Крім того, системний аналіз законопроекту не дає можливості однозначно встановити, яким чином виконавчі органи декількох "розформованих" територіальних громад, які об'єднані в одну нову "сформовану" територіальну громаду будуть взаємодіяти між собою та відповідним новоствореним органом місцевого самоврядування. А це </w:t>
      </w:r>
      <w:r w:rsidRPr="00D92E53">
        <w:rPr>
          <w:rStyle w:val="FontStyle"/>
          <w:rFonts w:cs="Times New Roman"/>
          <w:sz w:val="28"/>
          <w:szCs w:val="28"/>
        </w:rPr>
        <w:t>свідчить про незавершеність механізму правового регулювання, а також не враховує правової позиції Конституційного Суду України, висловленої у рішенні від 30 травня 2001 року за №7-рп/2001, за яким неповнота законодавчого регулювання суспільних відносин не відповідає конституційному визначенню України як правової держави.</w:t>
      </w:r>
    </w:p>
    <w:p w:rsidR="000E14C3" w:rsidRPr="00D92E53" w:rsidRDefault="000E14C3" w:rsidP="000E14C3">
      <w:pPr>
        <w:pStyle w:val="ad"/>
        <w:spacing w:after="0"/>
        <w:ind w:left="0" w:firstLine="567"/>
        <w:contextualSpacing w:val="0"/>
        <w:rPr>
          <w:rFonts w:cs="Times New Roman"/>
          <w:szCs w:val="28"/>
        </w:rPr>
      </w:pPr>
      <w:r w:rsidRPr="00D92E53">
        <w:rPr>
          <w:rFonts w:cs="Times New Roman"/>
          <w:szCs w:val="28"/>
        </w:rPr>
        <w:t>6. Положенням підпункту 5 пункту 6</w:t>
      </w:r>
      <w:r w:rsidRPr="00D92E53">
        <w:rPr>
          <w:rFonts w:cs="Times New Roman"/>
          <w:szCs w:val="28"/>
          <w:vertAlign w:val="superscript"/>
        </w:rPr>
        <w:t>1</w:t>
      </w:r>
      <w:r w:rsidRPr="00D92E53">
        <w:rPr>
          <w:rFonts w:cs="Times New Roman"/>
          <w:szCs w:val="28"/>
        </w:rPr>
        <w:t xml:space="preserve"> розділу V "Прикінцеві та перехідні положення" Закону України "Про місцеве самоврядування в Україні" (у редакції законопроекту) визначено: </w:t>
      </w:r>
      <w:r w:rsidRPr="00D92E53">
        <w:rPr>
          <w:rFonts w:cs="Times New Roman"/>
          <w:i/>
          <w:szCs w:val="28"/>
        </w:rPr>
        <w:t>"якщо територія розформованої територіальної громади включена до територій кількох сформованих територіальних громад, кожна з цих громад стає правонаступником належних розформованій територіальній громаді: … речей, призначених для обслуговування відповідних об’єктів нерухомого майна і пов’язаних з цим майном спільним призначенням (у тому числі у зв’язку із здійсненням відповідних повноважень або наданням послуг). Належність речей, призначених для обслуговування кожного об’єкта нерухомого майна і пов’язаних з цим майном спільним призначенням, визначається на підставі останньої суцільної інвентаризації …"</w:t>
      </w:r>
      <w:r w:rsidRPr="00D92E53">
        <w:rPr>
          <w:rFonts w:cs="Times New Roman"/>
          <w:szCs w:val="28"/>
        </w:rPr>
        <w:t xml:space="preserve">. </w:t>
      </w:r>
    </w:p>
    <w:p w:rsidR="000E14C3" w:rsidRPr="00D92E53" w:rsidRDefault="000E14C3" w:rsidP="000E14C3">
      <w:pPr>
        <w:pStyle w:val="ad"/>
        <w:spacing w:after="0"/>
        <w:ind w:left="0" w:firstLine="567"/>
        <w:contextualSpacing w:val="0"/>
        <w:rPr>
          <w:rFonts w:cs="Times New Roman"/>
          <w:szCs w:val="28"/>
        </w:rPr>
      </w:pPr>
      <w:r w:rsidRPr="00D92E53">
        <w:rPr>
          <w:rFonts w:cs="Times New Roman"/>
          <w:szCs w:val="28"/>
        </w:rPr>
        <w:t xml:space="preserve">Проте вказане положення позбавлене правової визначеності, оскільки неможливо однозначно встановити факт "призначення майна для обслуговування конкретного об'єкта нерухомості", а також факт "пов'язаності майна спільним призначенням", оскільки відповідно до законодавчих положень інституту речового права вказані правовідносини регулюються в інший спосіб. Тобто речі не можуть мати "спільне призначення" з нерухомим майном, в тому числі, внаслідок здійснення відповідних повноважень (публічно-правові відносини) або наданням послуг (договірне регулювання приватноправових відносин), оскільки конкретна річ є об'єктом права власності, а власник володіє, користується, розпоряджається своїм майном на власний розсуд (частина перша статті 319 Цивільного кодексу України). При цьому категорія </w:t>
      </w:r>
      <w:r w:rsidRPr="00D92E53">
        <w:rPr>
          <w:rFonts w:cs="Times New Roman"/>
          <w:i/>
          <w:szCs w:val="28"/>
        </w:rPr>
        <w:t>"остання суцільна інвентаризація"</w:t>
      </w:r>
      <w:r w:rsidRPr="00D92E53">
        <w:rPr>
          <w:rFonts w:cs="Times New Roman"/>
          <w:szCs w:val="28"/>
        </w:rPr>
        <w:t xml:space="preserve"> не є законодавчо визначеним терміном, який дозволяє визначити приналежність майна конкретному власнику, чи особі, яка здійснює управління відповідним майном. </w:t>
      </w:r>
    </w:p>
    <w:p w:rsidR="000E14C3" w:rsidRPr="00D92E53" w:rsidRDefault="000E14C3" w:rsidP="000E14C3">
      <w:pPr>
        <w:pStyle w:val="ad"/>
        <w:spacing w:after="0"/>
        <w:ind w:left="0" w:firstLine="567"/>
        <w:contextualSpacing w:val="0"/>
        <w:rPr>
          <w:rFonts w:cs="Times New Roman"/>
          <w:szCs w:val="28"/>
        </w:rPr>
      </w:pPr>
      <w:r w:rsidRPr="00D92E53">
        <w:rPr>
          <w:rFonts w:cs="Times New Roman"/>
          <w:szCs w:val="28"/>
        </w:rPr>
        <w:t xml:space="preserve">Відтак, наведена норма допускає різне її тлумачення, і, відповідно правозастосування, чим порушує принцип правової визначеності як елемент верховенства права (стаття 8 Конституції України). </w:t>
      </w:r>
    </w:p>
    <w:p w:rsidR="000E14C3" w:rsidRPr="00D92E53" w:rsidRDefault="000E14C3" w:rsidP="000E14C3">
      <w:pPr>
        <w:pStyle w:val="ad"/>
        <w:spacing w:after="0"/>
        <w:ind w:left="0" w:firstLine="567"/>
        <w:contextualSpacing w:val="0"/>
        <w:rPr>
          <w:rFonts w:cs="Times New Roman"/>
          <w:szCs w:val="28"/>
        </w:rPr>
      </w:pPr>
      <w:r w:rsidRPr="00D92E53">
        <w:rPr>
          <w:rFonts w:cs="Times New Roman"/>
          <w:szCs w:val="28"/>
        </w:rPr>
        <w:t>Аналогічні зауваження стосуються підпункту 13 пункту 6-2 розділу V "Прикінцеві та перехідні положення" Закону України "Про місцеве самоврядування в Україні" (у редакції законопроекту).</w:t>
      </w:r>
    </w:p>
    <w:p w:rsidR="000E14C3" w:rsidRPr="00D92E53" w:rsidRDefault="000E14C3" w:rsidP="000E14C3">
      <w:pPr>
        <w:pStyle w:val="ad"/>
        <w:spacing w:after="0"/>
        <w:ind w:left="0" w:firstLine="567"/>
        <w:rPr>
          <w:rFonts w:cs="Times New Roman"/>
          <w:szCs w:val="28"/>
        </w:rPr>
      </w:pPr>
      <w:r w:rsidRPr="00D92E53">
        <w:rPr>
          <w:rFonts w:cs="Times New Roman"/>
          <w:szCs w:val="28"/>
        </w:rPr>
        <w:t>7. Підпунктом 10 пункту 6</w:t>
      </w:r>
      <w:r w:rsidRPr="00D92E53">
        <w:rPr>
          <w:rFonts w:cs="Times New Roman"/>
          <w:szCs w:val="28"/>
          <w:vertAlign w:val="superscript"/>
        </w:rPr>
        <w:t>1</w:t>
      </w:r>
      <w:r w:rsidRPr="00D92E53">
        <w:rPr>
          <w:rFonts w:cs="Times New Roman"/>
          <w:szCs w:val="28"/>
        </w:rPr>
        <w:t xml:space="preserve"> розділу V "Прикінцеві та перехідні положення" Закону України "Про місцеве самоврядування в Україні" (у редакції законопроекту) пропонується визначити, що </w:t>
      </w:r>
      <w:r w:rsidRPr="00D92E53">
        <w:rPr>
          <w:rFonts w:cs="Times New Roman"/>
          <w:i/>
          <w:iCs/>
          <w:szCs w:val="28"/>
        </w:rPr>
        <w:t>"</w:t>
      </w:r>
      <w:r w:rsidRPr="00D92E53">
        <w:rPr>
          <w:rFonts w:cs="Times New Roman"/>
          <w:bCs/>
          <w:i/>
          <w:iCs/>
          <w:szCs w:val="28"/>
        </w:rPr>
        <w:t>з дня затвердження новообраною радою персонального складу її виконавчого комітету починається реорганізація відповідних юридичних осіб – виконавчих комітетів рад, що припиняються, шляхом їх приєднання до юридичної особи – виконавчого комітету новообраної ради. Після завершення реорганізації відповідні юридичні особи – виконавчі комітети сільських, селищних, міських рад припиняються у порядку, визначеному цим пунктом</w:t>
      </w:r>
      <w:r w:rsidRPr="00D92E53">
        <w:rPr>
          <w:rFonts w:cs="Times New Roman"/>
          <w:i/>
          <w:iCs/>
          <w:szCs w:val="28"/>
        </w:rPr>
        <w:t>"</w:t>
      </w:r>
      <w:r w:rsidRPr="00D92E53">
        <w:rPr>
          <w:rFonts w:cs="Times New Roman"/>
          <w:szCs w:val="28"/>
        </w:rPr>
        <w:t xml:space="preserve">. Однак, законопроектом залишено поза увагою той факт, що не всі виконавчі комітети органів місцевого самоврядування є зареєстрованими юридичними особами відповідно до закону. Відтак, наведе положення законопроекту, яким врегульовуються відносини виключно щодо реорганізації </w:t>
      </w:r>
      <w:r w:rsidRPr="00D92E53">
        <w:rPr>
          <w:rFonts w:cs="Times New Roman"/>
          <w:i/>
          <w:iCs/>
          <w:szCs w:val="28"/>
        </w:rPr>
        <w:t>"юридичних осіб – виконавчих комітетів рад, що припиняються"</w:t>
      </w:r>
      <w:r w:rsidRPr="00D92E53">
        <w:rPr>
          <w:rFonts w:cs="Times New Roman"/>
          <w:szCs w:val="28"/>
        </w:rPr>
        <w:t xml:space="preserve"> свідчить про неповноту правового регулювання, що унеможливлює додержання вимог статті 19 Конституції України щодо зобов’язання органів місцевого самоврядування діяти лише на підставі, в межах повноважень та у спосіб, що передбачені Конституцією та законами України</w:t>
      </w:r>
      <w:r w:rsidRPr="00D92E53">
        <w:rPr>
          <w:rStyle w:val="rvts0"/>
          <w:rFonts w:cs="Times New Roman"/>
          <w:szCs w:val="28"/>
        </w:rPr>
        <w:t xml:space="preserve"> і може призвести до порушення принципу </w:t>
      </w:r>
      <w:r w:rsidRPr="00D92E53">
        <w:rPr>
          <w:rFonts w:cs="Times New Roman"/>
          <w:szCs w:val="28"/>
        </w:rPr>
        <w:t>юридичної визначеності закону як складової принципу верховенства права (статті 1, 8  Конституції України). При цьому відсутність системного унормування суспільних відносин не відповідає визначенню України як правової держави, на чому наголошував Конституційний Суд України (рішення від 22 вересня 2005 року № 5-рп/2005, від 30 вересня.</w:t>
      </w:r>
    </w:p>
    <w:p w:rsidR="000E14C3" w:rsidRPr="00D92E53" w:rsidRDefault="000E14C3" w:rsidP="000E14C3">
      <w:pPr>
        <w:pStyle w:val="ad"/>
        <w:spacing w:after="0"/>
        <w:ind w:left="0" w:firstLine="567"/>
        <w:contextualSpacing w:val="0"/>
        <w:rPr>
          <w:rFonts w:cs="Times New Roman"/>
          <w:szCs w:val="28"/>
        </w:rPr>
      </w:pPr>
      <w:r w:rsidRPr="00D92E53">
        <w:rPr>
          <w:rFonts w:cs="Times New Roman"/>
          <w:szCs w:val="28"/>
        </w:rPr>
        <w:t>Аналогічні зауваження стосуються і підпункту 11 пункту 6</w:t>
      </w:r>
      <w:r w:rsidRPr="00D92E53">
        <w:rPr>
          <w:rFonts w:cs="Times New Roman"/>
          <w:szCs w:val="28"/>
          <w:vertAlign w:val="superscript"/>
        </w:rPr>
        <w:t>1</w:t>
      </w:r>
      <w:r w:rsidRPr="00D92E53">
        <w:rPr>
          <w:rFonts w:cs="Times New Roman"/>
          <w:szCs w:val="28"/>
        </w:rPr>
        <w:t xml:space="preserve"> розділу V "Прикінцеві та перехідні положення" Закону України "Про місцеве самоврядування в Україні" (у редакції законопроекту), за яким </w:t>
      </w:r>
      <w:r w:rsidRPr="00D92E53">
        <w:rPr>
          <w:rFonts w:cs="Times New Roman"/>
          <w:i/>
          <w:iCs/>
          <w:szCs w:val="28"/>
        </w:rPr>
        <w:t>"юридична особа – виконавчий комітет новообраної ради є правонаступником прав та обов’язків юридичних осіб – виконавчих комітетів рад, що припиняються, з дня затвердження новообраною радою персонального складу її виконавчого комітету"</w:t>
      </w:r>
      <w:r w:rsidRPr="00D92E53">
        <w:rPr>
          <w:rFonts w:cs="Times New Roman"/>
          <w:szCs w:val="28"/>
        </w:rPr>
        <w:t>.</w:t>
      </w:r>
    </w:p>
    <w:p w:rsidR="000E14C3" w:rsidRPr="00D92E53" w:rsidRDefault="000E14C3" w:rsidP="000E14C3">
      <w:pPr>
        <w:pStyle w:val="ad"/>
        <w:spacing w:after="0"/>
        <w:ind w:left="0" w:firstLine="567"/>
        <w:contextualSpacing w:val="0"/>
        <w:rPr>
          <w:rFonts w:cs="Times New Roman"/>
          <w:szCs w:val="28"/>
        </w:rPr>
      </w:pPr>
      <w:r w:rsidRPr="00D92E53">
        <w:rPr>
          <w:rFonts w:cs="Times New Roman"/>
          <w:szCs w:val="28"/>
        </w:rPr>
        <w:t>8. Положення абзацу другого підпункту 5 пункту 6</w:t>
      </w:r>
      <w:r w:rsidRPr="00D92E53">
        <w:rPr>
          <w:rFonts w:cs="Times New Roman"/>
          <w:szCs w:val="28"/>
          <w:vertAlign w:val="superscript"/>
        </w:rPr>
        <w:t>2</w:t>
      </w:r>
      <w:r w:rsidRPr="00D92E53">
        <w:rPr>
          <w:rFonts w:cs="Times New Roman"/>
          <w:szCs w:val="28"/>
        </w:rPr>
        <w:t xml:space="preserve"> розділу V "Прикінцеві та перехідні положення" Закону України "Про місцеве самоврядування в Україні" (у редакції законопроекту), згідно з яким </w:t>
      </w:r>
      <w:r w:rsidRPr="00D92E53">
        <w:rPr>
          <w:rFonts w:cs="Times New Roman"/>
          <w:i/>
          <w:iCs/>
          <w:szCs w:val="28"/>
        </w:rPr>
        <w:t>"у разі відсутності районної ради в адміністративному центрі новоутвореного району, до територій якого включаються частини території одного або кількох ліквідованих районів</w:t>
      </w:r>
      <w:r w:rsidRPr="00D92E53">
        <w:rPr>
          <w:rFonts w:cs="Times New Roman"/>
          <w:i/>
          <w:iCs/>
          <w:szCs w:val="28"/>
          <w:u w:val="single"/>
        </w:rPr>
        <w:t xml:space="preserve">, утворення відповідної районної ради як юридичної особи публічного права здійснюється шляхом виділу частини майна та зобов’язань </w:t>
      </w:r>
      <w:r w:rsidRPr="00D92E53">
        <w:rPr>
          <w:rFonts w:cs="Times New Roman"/>
          <w:b/>
          <w:bCs/>
          <w:i/>
          <w:iCs/>
          <w:szCs w:val="28"/>
          <w:u w:val="single"/>
        </w:rPr>
        <w:t>районних рад</w:t>
      </w:r>
      <w:r w:rsidRPr="00D92E53">
        <w:rPr>
          <w:rFonts w:cs="Times New Roman"/>
          <w:i/>
          <w:iCs/>
          <w:szCs w:val="28"/>
          <w:u w:val="single"/>
        </w:rPr>
        <w:t xml:space="preserve"> ліквідованих районів</w:t>
      </w:r>
      <w:r w:rsidRPr="00D92E53">
        <w:rPr>
          <w:rFonts w:cs="Times New Roman"/>
          <w:i/>
          <w:iCs/>
          <w:szCs w:val="28"/>
        </w:rPr>
        <w:t xml:space="preserve">, території яких включені до складу відповідного новоутвореного району" </w:t>
      </w:r>
      <w:r w:rsidRPr="00D92E53">
        <w:rPr>
          <w:rFonts w:cs="Times New Roman"/>
          <w:szCs w:val="28"/>
        </w:rPr>
        <w:t xml:space="preserve">є юридично некоректним та не узгоджується з існуючим законодавчим регулюванням. </w:t>
      </w:r>
    </w:p>
    <w:p w:rsidR="000E14C3" w:rsidRPr="00D92E53" w:rsidRDefault="000E14C3" w:rsidP="000E14C3">
      <w:pPr>
        <w:pStyle w:val="ad"/>
        <w:spacing w:after="0"/>
        <w:ind w:left="0" w:firstLine="567"/>
        <w:contextualSpacing w:val="0"/>
        <w:rPr>
          <w:rFonts w:cs="Times New Roman"/>
          <w:szCs w:val="28"/>
        </w:rPr>
      </w:pPr>
      <w:r w:rsidRPr="00D92E53">
        <w:rPr>
          <w:rFonts w:cs="Times New Roman"/>
          <w:szCs w:val="28"/>
        </w:rPr>
        <w:t xml:space="preserve">Так, частиною першою статті 109 Цивільного кодексу України визначено, що "виділом є перехід за розподільчим балансом частини майна, прав та обов'язків </w:t>
      </w:r>
      <w:r w:rsidRPr="00D92E53">
        <w:rPr>
          <w:rFonts w:cs="Times New Roman"/>
          <w:szCs w:val="28"/>
          <w:u w:val="single"/>
        </w:rPr>
        <w:t>юридичної особи до однієї або кількох створюваних нових юридичних осіб</w:t>
      </w:r>
      <w:r w:rsidRPr="00D92E53">
        <w:rPr>
          <w:rFonts w:cs="Times New Roman"/>
          <w:szCs w:val="28"/>
        </w:rPr>
        <w:t xml:space="preserve">". Водночас частиною четвертою статті 4 Закону України "Про державну реєстрацію юридичних осіб, фізичних осіб – підприємців та громадських формувань" передбачено, що "у разі виділу юридичних осіб здійснюється державна реєстрація юридичних осіб, утворених у результаті виділу, та державна реєстрація змін до відомостей, що містяться в Єдиному державному реєстрі, про </w:t>
      </w:r>
      <w:r w:rsidRPr="00D92E53">
        <w:rPr>
          <w:rFonts w:cs="Times New Roman"/>
          <w:szCs w:val="28"/>
          <w:u w:val="single"/>
        </w:rPr>
        <w:t>юридичну особу, з якої здійснено виділ</w:t>
      </w:r>
      <w:r w:rsidRPr="00D92E53">
        <w:rPr>
          <w:rFonts w:cs="Times New Roman"/>
          <w:szCs w:val="28"/>
        </w:rPr>
        <w:t xml:space="preserve">, щодо юридичної особи – правонаступника. Виділ вважається завершеним з дати державної реєстрації змін до відомостей, що містяться у Єдиному державному реєстрі, про юридичну особу, з якої здійснено виділ, щодо юридичної особи – правонаступника". </w:t>
      </w:r>
    </w:p>
    <w:p w:rsidR="000E14C3" w:rsidRPr="00D92E53" w:rsidRDefault="000E14C3" w:rsidP="000E14C3">
      <w:pPr>
        <w:pStyle w:val="ad"/>
        <w:spacing w:after="0"/>
        <w:ind w:left="0" w:firstLine="567"/>
        <w:contextualSpacing w:val="0"/>
        <w:rPr>
          <w:rFonts w:cs="Times New Roman"/>
          <w:szCs w:val="28"/>
        </w:rPr>
      </w:pPr>
      <w:r w:rsidRPr="00D92E53">
        <w:rPr>
          <w:rFonts w:cs="Times New Roman"/>
          <w:szCs w:val="28"/>
        </w:rPr>
        <w:t xml:space="preserve">Отже, положеннями законодавства чітко визначено, що виділ може відбуватися з </w:t>
      </w:r>
      <w:r w:rsidRPr="00D92E53">
        <w:rPr>
          <w:rFonts w:cs="Times New Roman"/>
          <w:b/>
          <w:bCs/>
          <w:szCs w:val="28"/>
        </w:rPr>
        <w:t>однієї юридичної особи</w:t>
      </w:r>
      <w:r w:rsidRPr="00D92E53">
        <w:rPr>
          <w:rFonts w:cs="Times New Roman"/>
          <w:szCs w:val="28"/>
        </w:rPr>
        <w:t xml:space="preserve"> шляхом утворення </w:t>
      </w:r>
      <w:r w:rsidRPr="00D92E53">
        <w:rPr>
          <w:rFonts w:cs="Times New Roman"/>
          <w:b/>
          <w:bCs/>
          <w:szCs w:val="28"/>
        </w:rPr>
        <w:t>однієї/декількох юридичних осіб, що виділилися</w:t>
      </w:r>
      <w:r w:rsidRPr="00D92E53">
        <w:rPr>
          <w:rFonts w:cs="Times New Roman"/>
          <w:szCs w:val="28"/>
        </w:rPr>
        <w:t xml:space="preserve">. Проте пропоноване законопроектом положення всупереч вказаним нормам дозволяє утворення нової юридичної особи шляхом "виділу" з декількох юридичних осіб, а не злиття чи приєднання, що може призвести до неоднакового правозастосування. Відтак, запропоноване законопроектом положення не враховує вимог щодо правової визначеності як елементу верховенства права (стаття 8 Конституції України) та відповідної правової позиції Конституційного Суду України. </w:t>
      </w:r>
    </w:p>
    <w:p w:rsidR="000E14C3" w:rsidRPr="00D92E53" w:rsidRDefault="000E14C3" w:rsidP="000E14C3">
      <w:pPr>
        <w:pStyle w:val="ad"/>
        <w:spacing w:after="0"/>
        <w:ind w:left="0" w:firstLine="709"/>
        <w:contextualSpacing w:val="0"/>
        <w:rPr>
          <w:rFonts w:cs="Times New Roman"/>
          <w:szCs w:val="28"/>
        </w:rPr>
      </w:pPr>
      <w:r w:rsidRPr="00D92E53">
        <w:rPr>
          <w:rFonts w:cs="Times New Roman"/>
          <w:szCs w:val="28"/>
        </w:rPr>
        <w:t xml:space="preserve">При цьому зауважуємо, що законопроектом допускається у разі відсутності районної ради в адміністративному центрі новоутвореного району, до територій якого включаються частини території одного або кількох ліквідованих районів, </w:t>
      </w:r>
      <w:r w:rsidRPr="00D92E53">
        <w:rPr>
          <w:rFonts w:cs="Times New Roman"/>
          <w:szCs w:val="28"/>
          <w:u w:val="single"/>
        </w:rPr>
        <w:t xml:space="preserve">утворення відповідної районної ради як юридичної особи публічного права шляхом виділу частини майна та зобов’язань однієї з </w:t>
      </w:r>
      <w:r w:rsidRPr="00D92E53">
        <w:rPr>
          <w:rFonts w:cs="Times New Roman"/>
          <w:b/>
          <w:bCs/>
          <w:szCs w:val="28"/>
          <w:u w:val="single"/>
        </w:rPr>
        <w:t>районних рад</w:t>
      </w:r>
      <w:r w:rsidRPr="00D92E53">
        <w:rPr>
          <w:rFonts w:cs="Times New Roman"/>
          <w:szCs w:val="28"/>
          <w:u w:val="single"/>
        </w:rPr>
        <w:t xml:space="preserve"> ліквідованих районів</w:t>
      </w:r>
      <w:r w:rsidRPr="00D92E53">
        <w:rPr>
          <w:rFonts w:cs="Times New Roman"/>
          <w:szCs w:val="28"/>
        </w:rPr>
        <w:t>, території яких включені до складу відповідного новоутвореного району, та приєднання до такої новоутвореної юридичної особи інших</w:t>
      </w:r>
      <w:r w:rsidRPr="00D92E53">
        <w:rPr>
          <w:rFonts w:cs="Times New Roman"/>
          <w:b/>
          <w:bCs/>
          <w:szCs w:val="28"/>
        </w:rPr>
        <w:t xml:space="preserve"> районних рад</w:t>
      </w:r>
      <w:r w:rsidRPr="00D92E53">
        <w:rPr>
          <w:rFonts w:cs="Times New Roman"/>
          <w:szCs w:val="28"/>
        </w:rPr>
        <w:t xml:space="preserve"> ліквідованих районів, території яких включені до складу відповідного новоутвореного району</w:t>
      </w:r>
      <w:r w:rsidRPr="00D92E53">
        <w:rPr>
          <w:rFonts w:cs="Times New Roman"/>
          <w:i/>
          <w:iCs/>
          <w:szCs w:val="28"/>
        </w:rPr>
        <w:t>.</w:t>
      </w:r>
    </w:p>
    <w:p w:rsidR="000E14C3" w:rsidRPr="00D92E53" w:rsidRDefault="000E14C3" w:rsidP="000E14C3">
      <w:pPr>
        <w:spacing w:after="0"/>
        <w:ind w:firstLine="567"/>
        <w:jc w:val="both"/>
        <w:rPr>
          <w:rFonts w:ascii="Times New Roman" w:hAnsi="Times New Roman"/>
          <w:sz w:val="28"/>
          <w:szCs w:val="28"/>
          <w:lang w:val="uk-UA"/>
        </w:rPr>
      </w:pP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9. Окремі зміни, запропоновані законопроектом, не узгоджуються з нормами Бюджетного кодексу України.</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Так, у підпункті 7 пункту 6</w:t>
      </w:r>
      <w:r w:rsidRPr="00D92E53">
        <w:rPr>
          <w:rFonts w:ascii="Times New Roman" w:hAnsi="Times New Roman"/>
          <w:sz w:val="28"/>
          <w:szCs w:val="28"/>
          <w:vertAlign w:val="superscript"/>
          <w:lang w:val="uk-UA"/>
        </w:rPr>
        <w:t>1</w:t>
      </w:r>
      <w:r w:rsidRPr="00D92E53">
        <w:rPr>
          <w:rFonts w:ascii="Times New Roman" w:hAnsi="Times New Roman"/>
          <w:sz w:val="28"/>
          <w:szCs w:val="28"/>
          <w:lang w:val="uk-UA"/>
        </w:rPr>
        <w:t xml:space="preserve"> розділу V «Прикінцеві та перехідні положення» Закону України «Про місцеве самоврядування в Україні» передбачається, що «новообрані ради можуть прийняти рішення про розподіл майна територіальної громади, територію якої включено до територій їхніх територіальних громад….. згідно з приписами бюджетного законодавства України. </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Проте у Бюджетному кодексі України йдеться не про розподіл майна між громадами, а про видатки бюджету – кошти, що спрямовуються на здійснення відповідних програм та заходів. Зокрема, у статті 86 Кодексу визначено  розмежування видів видатків між місцевими бюджетами з урахуванням критеріїв повноти надання публічних послуг та наближення їх до безпосереднього споживача.</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 xml:space="preserve">Крім того, потребують уточнення, оскільки  не відповідають концептуальним положенням  Бюджетного кодексу України щодо міжбюджетних відносин, положення законопроекту щодо розподілу та перерахування до бюджетів утворених територіальних громад залишків коштів, що утворилися на кінець бюджетного періоду на рахунках бюджетів реорганізованих територіальних громад. </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Зокрема, у підпункті 17 пункту 6</w:t>
      </w:r>
      <w:r w:rsidRPr="00D92E53">
        <w:rPr>
          <w:rFonts w:ascii="Times New Roman" w:hAnsi="Times New Roman"/>
          <w:sz w:val="28"/>
          <w:szCs w:val="28"/>
          <w:vertAlign w:val="superscript"/>
          <w:lang w:val="uk-UA"/>
        </w:rPr>
        <w:t>1</w:t>
      </w:r>
      <w:r w:rsidRPr="00D92E53">
        <w:rPr>
          <w:rFonts w:ascii="Times New Roman" w:hAnsi="Times New Roman"/>
          <w:sz w:val="28"/>
          <w:szCs w:val="28"/>
          <w:lang w:val="uk-UA"/>
        </w:rPr>
        <w:t xml:space="preserve"> передбачається, що у випадку, коли територію однієї територіальної громади включено до складу територій декількох утворених територіальних громад «залишки коштів (у тому числі боргові зобов’язання) між відповідними сформованими територіальними громадами на підставі укладеного між ними договору з урахуванням їх цільового призначення, особливостей розподілу нерухомого майна територіальної громади, територія якої увійшла до декількох утворених територіальних громад, чисельності постійного населення, яке станом на 1 січня 2020 року проживало на території, що була включена до складу відповідної утвореної територіальної громади» …на підставі платіжних доручень за підписом сільського, селищного, міського голови, обраного утвореною територіальною громадою, до території якої  включено населений пункт - адміністративний центр територіальної громади, територія якої увійшла до декількох утворених територіальних громад, та договору.</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Наведена вище редакція не ґрунтується на нормах Бюджетного кодексу України, що не передбачає можливості «розподілу  залишків коштів» за договором, але відповідно до статті 142 Конституції України та статті 75 Бюджетного кодексу України допускається  «об'єднання на договірних засадах кошти бюджетів для виконання спільних проектів або для спільного фінансування (утримання) комунальних підприємств, організацій і установ».</w:t>
      </w:r>
    </w:p>
    <w:p w:rsidR="000E14C3" w:rsidRPr="00D92E53" w:rsidRDefault="000E14C3" w:rsidP="000E14C3">
      <w:pPr>
        <w:spacing w:after="0"/>
        <w:ind w:firstLine="567"/>
        <w:jc w:val="both"/>
        <w:rPr>
          <w:rFonts w:ascii="Times New Roman" w:hAnsi="Times New Roman"/>
          <w:sz w:val="28"/>
          <w:szCs w:val="28"/>
          <w:lang w:val="uk-UA"/>
        </w:rPr>
      </w:pPr>
      <w:r w:rsidRPr="00D92E53">
        <w:rPr>
          <w:rFonts w:ascii="Times New Roman" w:hAnsi="Times New Roman"/>
          <w:sz w:val="28"/>
          <w:szCs w:val="28"/>
          <w:lang w:val="uk-UA"/>
        </w:rPr>
        <w:t xml:space="preserve">Крім того, у статті 93 Бюджетного кодексу України передбачено порядок передачі коштів між місцевими бюджетами на здійснення окремих видатків місцевих бюджетів іншій місцевій раді у вигляді міжбюджетного трансферту.  Передача коштів між місцевими бюджетами «здійснюється на підставі рішень відповідних місцевих рад, прийнятих кожною із сторін, і укладання договору». </w:t>
      </w:r>
    </w:p>
    <w:p w:rsidR="000E14C3" w:rsidRPr="00D92E53" w:rsidRDefault="000E14C3" w:rsidP="000E14C3">
      <w:pPr>
        <w:spacing w:after="0"/>
        <w:ind w:firstLine="708"/>
        <w:jc w:val="both"/>
        <w:rPr>
          <w:rFonts w:ascii="Times New Roman" w:hAnsi="Times New Roman"/>
          <w:sz w:val="28"/>
          <w:szCs w:val="28"/>
          <w:lang w:val="uk-UA"/>
        </w:rPr>
      </w:pPr>
    </w:p>
    <w:p w:rsidR="000E14C3" w:rsidRPr="00D92E53" w:rsidRDefault="000E14C3" w:rsidP="000E14C3">
      <w:pPr>
        <w:spacing w:after="0"/>
        <w:ind w:firstLine="708"/>
        <w:jc w:val="both"/>
        <w:rPr>
          <w:rFonts w:ascii="Times New Roman" w:hAnsi="Times New Roman"/>
          <w:sz w:val="28"/>
          <w:szCs w:val="28"/>
          <w:lang w:val="uk-UA"/>
        </w:rPr>
      </w:pPr>
      <w:r w:rsidRPr="00D92E53">
        <w:rPr>
          <w:rFonts w:ascii="Times New Roman" w:hAnsi="Times New Roman"/>
          <w:sz w:val="28"/>
          <w:szCs w:val="28"/>
          <w:lang w:val="uk-UA"/>
        </w:rPr>
        <w:t>10. Запропонована редакція підпункту 15 пункту 6</w:t>
      </w:r>
      <w:r w:rsidRPr="00D92E53">
        <w:rPr>
          <w:rFonts w:ascii="Times New Roman" w:hAnsi="Times New Roman"/>
          <w:sz w:val="28"/>
          <w:szCs w:val="28"/>
          <w:vertAlign w:val="superscript"/>
          <w:lang w:val="uk-UA"/>
        </w:rPr>
        <w:t>1</w:t>
      </w:r>
      <w:r w:rsidRPr="00D92E53">
        <w:rPr>
          <w:rFonts w:ascii="Times New Roman" w:hAnsi="Times New Roman"/>
          <w:sz w:val="28"/>
          <w:szCs w:val="28"/>
          <w:lang w:val="uk-UA"/>
        </w:rPr>
        <w:t xml:space="preserve"> Прикінцевих та перехідних положень Закону України «Про місцеве самоврядування в Україні» щодо виконання функцій головних розпорядників бюджетних коштів не враховує приписів статті 23 Бюджетного кодексу України.</w:t>
      </w:r>
    </w:p>
    <w:p w:rsidR="000E14C3" w:rsidRPr="00D92E53" w:rsidRDefault="000E14C3" w:rsidP="000E14C3">
      <w:pPr>
        <w:spacing w:after="0"/>
        <w:ind w:firstLine="708"/>
        <w:jc w:val="both"/>
        <w:rPr>
          <w:rFonts w:ascii="Times New Roman" w:hAnsi="Times New Roman"/>
          <w:sz w:val="28"/>
          <w:szCs w:val="28"/>
          <w:lang w:val="uk-UA"/>
        </w:rPr>
      </w:pPr>
      <w:r w:rsidRPr="00D92E53">
        <w:rPr>
          <w:rFonts w:ascii="Times New Roman" w:hAnsi="Times New Roman"/>
          <w:sz w:val="28"/>
          <w:szCs w:val="28"/>
          <w:lang w:val="uk-UA"/>
        </w:rPr>
        <w:t xml:space="preserve">Так, згідно з частиною шостою статті 23 Бюджетного кодексу України </w:t>
      </w:r>
      <w:r w:rsidRPr="00D92E53">
        <w:rPr>
          <w:rStyle w:val="st42"/>
          <w:sz w:val="28"/>
          <w:szCs w:val="28"/>
          <w:lang w:val="uk-UA"/>
        </w:rPr>
        <w:t xml:space="preserve">якщо після прийняття закону про Державний бюджет України (рішення про місцевий бюджет) повноваження на виконання функцій, завдань або надання послуг, на яке надано бюджетне призначення, передається відповідно до законодавства від одного головного розпорядника бюджетних коштів до іншого головного розпорядника бюджетних коштів, дія бюджетного призначення не припиняється і застосовується для виконання тих самих функцій чи послуг іншим головним розпорядником бюджетних коштів, якому це доручено. Передача бюджетних призначень у випадку, передбаченому цією частиною статті, здійснюється за рішенням Кабінету Міністрів України (Ради міністрів Автономної Республіки Крим, місцевої державної адміністрації, виконавчого органу відповідної місцевої ради), </w:t>
      </w:r>
      <w:r w:rsidRPr="00D92E53">
        <w:rPr>
          <w:rFonts w:ascii="Times New Roman" w:hAnsi="Times New Roman"/>
          <w:sz w:val="28"/>
          <w:szCs w:val="28"/>
          <w:lang w:val="uk-UA"/>
        </w:rPr>
        <w:t xml:space="preserve">погодженим з Комітетом Верховної Ради України з питань бюджету (відповідною комісією Верховної Ради Автономної Республіки Крим, місцевої ради), у порядку, встановленому Кабінетом Міністрів України. </w:t>
      </w:r>
    </w:p>
    <w:p w:rsidR="000E14C3" w:rsidRPr="00D92E53" w:rsidRDefault="000E14C3" w:rsidP="000E14C3">
      <w:pPr>
        <w:spacing w:after="0"/>
        <w:ind w:firstLine="708"/>
        <w:jc w:val="both"/>
        <w:rPr>
          <w:rFonts w:ascii="Times New Roman" w:hAnsi="Times New Roman"/>
          <w:sz w:val="28"/>
          <w:szCs w:val="28"/>
          <w:lang w:val="uk-UA"/>
        </w:rPr>
      </w:pPr>
      <w:r w:rsidRPr="00D92E53">
        <w:rPr>
          <w:rFonts w:ascii="Times New Roman" w:hAnsi="Times New Roman"/>
          <w:sz w:val="28"/>
          <w:szCs w:val="28"/>
          <w:lang w:val="uk-UA"/>
        </w:rPr>
        <w:t xml:space="preserve">Також положення цього ж підпункту щодо розподілу та перерахування до бюджетів утворених територіальних громад залишків коштів, що утворилися на кінець бюджетного періоду на рахунках бюджетів реорганізованих територіальних громад не враховують положень Бюджетного кодексу щодо здійснення операцій з бюджетними коштами. </w:t>
      </w:r>
    </w:p>
    <w:p w:rsidR="000E14C3" w:rsidRPr="00D92E53" w:rsidRDefault="000E14C3" w:rsidP="000E14C3">
      <w:pPr>
        <w:spacing w:after="0"/>
        <w:ind w:firstLine="708"/>
        <w:jc w:val="both"/>
        <w:rPr>
          <w:rFonts w:ascii="Times New Roman" w:hAnsi="Times New Roman"/>
          <w:sz w:val="28"/>
          <w:szCs w:val="28"/>
          <w:lang w:val="uk-UA"/>
        </w:rPr>
      </w:pPr>
      <w:r w:rsidRPr="00D92E53">
        <w:rPr>
          <w:rFonts w:ascii="Times New Roman" w:hAnsi="Times New Roman"/>
          <w:sz w:val="28"/>
          <w:szCs w:val="28"/>
          <w:lang w:val="uk-UA"/>
        </w:rPr>
        <w:t>Відповідно до частини дев’ятої статті 78 Бюджетного кодексу України Ведення бухгалтерського обліку виконання місцевих бюджетів та порядок закриття рахунків місцевих бюджетів після закінчення бюджетного періоду здійснюються з урахуванням положень статей 56 і 57 цього Кодексу.</w:t>
      </w:r>
    </w:p>
    <w:p w:rsidR="000E14C3" w:rsidRPr="00D92E53" w:rsidRDefault="000E14C3" w:rsidP="000E14C3">
      <w:pPr>
        <w:spacing w:after="0"/>
        <w:ind w:firstLine="708"/>
        <w:jc w:val="both"/>
        <w:rPr>
          <w:rStyle w:val="st42"/>
          <w:sz w:val="28"/>
          <w:szCs w:val="28"/>
          <w:lang w:val="uk-UA"/>
        </w:rPr>
      </w:pPr>
      <w:r w:rsidRPr="00D92E53">
        <w:rPr>
          <w:rFonts w:ascii="Times New Roman" w:hAnsi="Times New Roman"/>
          <w:sz w:val="28"/>
          <w:szCs w:val="28"/>
          <w:lang w:val="uk-UA"/>
        </w:rPr>
        <w:t>Статтею 57 Бюджетного кодексу України встановлено, що не пізніше 31 грудня поточного бюджетного періоду або останнього</w:t>
      </w:r>
      <w:r w:rsidRPr="00D92E53">
        <w:rPr>
          <w:rStyle w:val="st42"/>
          <w:sz w:val="28"/>
          <w:szCs w:val="28"/>
          <w:lang w:val="uk-UA"/>
        </w:rPr>
        <w:t xml:space="preserve"> дня іншого бюджетного періоду Казначейство України закриває всі рахунки, відкриті у поточному бюджетному періоді для виконання бюджету. Порядок закриття рахунків поточного бюджетного періоду та відкриття рахунків наступного бюджетного періоду визначається Міністерством фінансів України.</w:t>
      </w:r>
    </w:p>
    <w:p w:rsidR="000E14C3" w:rsidRPr="00D92E53" w:rsidRDefault="000E14C3" w:rsidP="000E14C3">
      <w:pPr>
        <w:spacing w:after="0"/>
        <w:ind w:firstLine="708"/>
        <w:jc w:val="both"/>
        <w:rPr>
          <w:rStyle w:val="st42"/>
          <w:sz w:val="28"/>
          <w:szCs w:val="28"/>
          <w:lang w:val="uk-UA"/>
        </w:rPr>
      </w:pPr>
      <w:r w:rsidRPr="00D92E53">
        <w:rPr>
          <w:rStyle w:val="st42"/>
          <w:sz w:val="28"/>
          <w:szCs w:val="28"/>
          <w:lang w:val="uk-UA"/>
        </w:rPr>
        <w:t>На кінець бюджетного періоду Казначейство України зберігає залишки коштів на рахунках спеціального фонду державного бюджету та щодо субвенцій із спеціального фонду державного бюджету на рахунках спеціального фонду місцевих бюджетів для покриття відповідних витрат у наступному бюджетному періоді з урахуванням їх цільового призначення. У разі відсутності відповідних бюджетних призначень на наступний бюджетний період залишки коштів спеціального фонду перераховуються до загального фонду державного бюджету.</w:t>
      </w:r>
    </w:p>
    <w:p w:rsidR="000E14C3" w:rsidRPr="00D92E53" w:rsidRDefault="000E14C3" w:rsidP="000E14C3">
      <w:pPr>
        <w:spacing w:after="0"/>
        <w:ind w:firstLine="708"/>
        <w:jc w:val="both"/>
        <w:rPr>
          <w:rStyle w:val="st42"/>
          <w:sz w:val="28"/>
          <w:szCs w:val="28"/>
          <w:lang w:val="uk-UA"/>
        </w:rPr>
      </w:pPr>
      <w:r w:rsidRPr="00D92E53">
        <w:rPr>
          <w:rStyle w:val="st42"/>
          <w:sz w:val="28"/>
          <w:szCs w:val="28"/>
          <w:lang w:val="uk-UA"/>
        </w:rPr>
        <w:t>Враховуючи викладені зауваження, питання виконання місцевих бюджетів та передачі коштів у разі об'єднання територіальних громад, реорганізації або ліквідації органів місцевого самоврядування має стати предметом регулювання окремої глави у Бюджетному кодексі України, для чого слід розробити окремий законопроект.</w:t>
      </w:r>
    </w:p>
    <w:p w:rsidR="000E14C3" w:rsidRPr="00D92E53" w:rsidRDefault="000E14C3" w:rsidP="000E14C3">
      <w:pPr>
        <w:spacing w:after="0"/>
        <w:ind w:firstLine="709"/>
        <w:jc w:val="both"/>
        <w:rPr>
          <w:rFonts w:ascii="Times New Roman" w:hAnsi="Times New Roman"/>
          <w:sz w:val="28"/>
          <w:szCs w:val="28"/>
          <w:lang w:val="uk-UA"/>
        </w:rPr>
      </w:pPr>
      <w:r w:rsidRPr="00D92E53">
        <w:rPr>
          <w:rFonts w:ascii="Times New Roman" w:hAnsi="Times New Roman"/>
          <w:sz w:val="28"/>
          <w:szCs w:val="28"/>
          <w:lang w:val="uk-UA"/>
        </w:rPr>
        <w:t>11. Пунктом 4 розділу ІІ «Прикінцеві та перехідні положення» законопроекту пропонується встановити, що «під час реорганізації районних державних адміністрацій у зв’язку із змінами в адміністративно-територіальному устрої України переведення державного службовця на посаду служби в органах місцевого самоврядування здійснюється без обов’язкового проведення конкурсу в разі відповідності його професійної компетентності кваліфікаційним вимогам до відповідної посади».</w:t>
      </w:r>
    </w:p>
    <w:p w:rsidR="000E14C3" w:rsidRPr="00D92E53" w:rsidRDefault="000E14C3" w:rsidP="000E14C3">
      <w:pPr>
        <w:spacing w:after="0"/>
        <w:ind w:firstLine="709"/>
        <w:jc w:val="both"/>
        <w:rPr>
          <w:rFonts w:ascii="Times New Roman" w:hAnsi="Times New Roman"/>
          <w:sz w:val="28"/>
          <w:szCs w:val="28"/>
          <w:lang w:val="uk-UA"/>
        </w:rPr>
      </w:pPr>
      <w:r w:rsidRPr="00D92E53">
        <w:rPr>
          <w:rFonts w:ascii="Times New Roman" w:hAnsi="Times New Roman"/>
          <w:sz w:val="28"/>
          <w:szCs w:val="28"/>
          <w:lang w:val="uk-UA"/>
        </w:rPr>
        <w:t xml:space="preserve">Слід зазначити, що частиною шостою статті 22 Закону України «Про державну службу» вже передбачено, що </w:t>
      </w:r>
      <w:r w:rsidRPr="00D92E53">
        <w:rPr>
          <w:rStyle w:val="rvts0"/>
          <w:rFonts w:ascii="Times New Roman" w:hAnsi="Times New Roman"/>
          <w:sz w:val="28"/>
          <w:szCs w:val="28"/>
          <w:lang w:val="uk-UA"/>
        </w:rPr>
        <w:t xml:space="preserve">під час передачі або делегування повноважень і функцій від державного органу до органу місцевого самоврядування переведення державного службовця на посаду служби в органах місцевого самоврядування </w:t>
      </w:r>
      <w:r w:rsidRPr="00D92E53">
        <w:rPr>
          <w:rFonts w:ascii="Times New Roman" w:hAnsi="Times New Roman"/>
          <w:sz w:val="28"/>
          <w:szCs w:val="28"/>
          <w:lang w:val="uk-UA"/>
        </w:rPr>
        <w:t>здійснюється без обов’язкового проведення конкурсу в разі відповідності його професійної компетентності кваліфікаційним вимогам до відповідної посади та за умови вступу на службу вперше за результатами конкурсу.</w:t>
      </w:r>
    </w:p>
    <w:p w:rsidR="000E14C3" w:rsidRPr="00D92E53" w:rsidRDefault="000E14C3" w:rsidP="000E14C3">
      <w:pPr>
        <w:spacing w:after="0"/>
        <w:ind w:firstLine="709"/>
        <w:jc w:val="both"/>
        <w:rPr>
          <w:rStyle w:val="rvts0"/>
          <w:rFonts w:ascii="Times New Roman" w:hAnsi="Times New Roman"/>
          <w:sz w:val="28"/>
          <w:szCs w:val="28"/>
          <w:lang w:val="uk-UA"/>
        </w:rPr>
      </w:pPr>
      <w:r w:rsidRPr="00D92E53">
        <w:rPr>
          <w:rFonts w:ascii="Times New Roman" w:hAnsi="Times New Roman"/>
          <w:sz w:val="28"/>
          <w:szCs w:val="28"/>
          <w:lang w:val="uk-UA"/>
        </w:rPr>
        <w:t>Відтак, на нашу думку, пункт 4 розділу ІІ «Прикінцеві та перехідні положення» законопроекту слід до</w:t>
      </w:r>
      <w:r w:rsidRPr="00D92E53">
        <w:rPr>
          <w:rStyle w:val="rvts0"/>
          <w:rFonts w:ascii="Times New Roman" w:hAnsi="Times New Roman"/>
          <w:sz w:val="28"/>
          <w:szCs w:val="28"/>
          <w:lang w:val="uk-UA"/>
        </w:rPr>
        <w:t>опрацювати з урахуванням наведених вимог Закону України «Про державну службу» або виключити задля усунення дублювання правових норм, що регулюють подібні правовідносини.</w:t>
      </w:r>
    </w:p>
    <w:p w:rsidR="000E14C3" w:rsidRPr="00D92E53" w:rsidRDefault="000E14C3" w:rsidP="000E14C3">
      <w:pPr>
        <w:spacing w:after="0"/>
        <w:ind w:firstLine="709"/>
        <w:jc w:val="both"/>
        <w:rPr>
          <w:rFonts w:ascii="Times New Roman" w:hAnsi="Times New Roman"/>
          <w:sz w:val="28"/>
          <w:szCs w:val="28"/>
          <w:lang w:val="uk-UA"/>
        </w:rPr>
      </w:pPr>
      <w:r w:rsidRPr="00D92E53">
        <w:rPr>
          <w:rFonts w:ascii="Times New Roman" w:hAnsi="Times New Roman"/>
          <w:sz w:val="28"/>
          <w:szCs w:val="28"/>
          <w:lang w:val="uk-UA"/>
        </w:rPr>
        <w:t>12. Також необхідно зауважити, що у зв’язку з прийняттям Кабінетом Міністрів України розпоряджень №№ 707-р - 730-р, якими були визначені адміністративні центри та затверджені території територіальних громад, та постанови Верховної Ради України від 17 липня 2020 року № 807-IX «Про утворення та ліквідацію районів», яка містить перелік відповідних сільських, селищних та міських територіальних громад, є необхідність внесення змін до окремих законів, у яких вживається поняття  «об’єднана територіальна громада».</w:t>
      </w:r>
    </w:p>
    <w:p w:rsidR="000E14C3" w:rsidRPr="00D92E53" w:rsidRDefault="000E14C3" w:rsidP="000E14C3">
      <w:pPr>
        <w:ind w:firstLine="709"/>
        <w:jc w:val="both"/>
        <w:rPr>
          <w:rFonts w:ascii="Times New Roman" w:hAnsi="Times New Roman"/>
          <w:sz w:val="28"/>
          <w:szCs w:val="28"/>
          <w:lang w:val="uk-UA"/>
        </w:rPr>
      </w:pPr>
      <w:r w:rsidRPr="00D92E53">
        <w:rPr>
          <w:rFonts w:ascii="Times New Roman" w:hAnsi="Times New Roman"/>
          <w:sz w:val="28"/>
          <w:szCs w:val="28"/>
          <w:lang w:val="uk-UA"/>
        </w:rPr>
        <w:t>13. Згідно з пунктом 5 розділу ІІ «Прикінцеві та перехідні положення» законопроекту:</w:t>
      </w:r>
    </w:p>
    <w:p w:rsidR="000E14C3" w:rsidRPr="00D92E53" w:rsidRDefault="000E14C3" w:rsidP="000E14C3">
      <w:pPr>
        <w:ind w:firstLine="709"/>
        <w:jc w:val="both"/>
        <w:rPr>
          <w:rFonts w:ascii="Times New Roman" w:hAnsi="Times New Roman"/>
          <w:sz w:val="28"/>
          <w:szCs w:val="28"/>
          <w:lang w:val="uk-UA"/>
        </w:rPr>
      </w:pPr>
      <w:r w:rsidRPr="00D92E53">
        <w:rPr>
          <w:rFonts w:ascii="Times New Roman" w:hAnsi="Times New Roman"/>
          <w:sz w:val="28"/>
          <w:szCs w:val="28"/>
          <w:lang w:val="uk-UA"/>
        </w:rPr>
        <w:t>до 31 грудня 2020 року виконавчі органи сільських, селищних, міських рад, які створені до затвердження територій територіальних громад, продовжують на відповідних територіях здійснювати повноваження без зміни їх обсягу;</w:t>
      </w:r>
    </w:p>
    <w:p w:rsidR="000E14C3" w:rsidRPr="00D92E53" w:rsidRDefault="000E14C3" w:rsidP="000E14C3">
      <w:pPr>
        <w:ind w:firstLine="709"/>
        <w:jc w:val="both"/>
        <w:rPr>
          <w:rFonts w:ascii="Times New Roman" w:hAnsi="Times New Roman"/>
          <w:sz w:val="28"/>
          <w:szCs w:val="28"/>
          <w:lang w:val="uk-UA"/>
        </w:rPr>
      </w:pPr>
      <w:r w:rsidRPr="00D92E53">
        <w:rPr>
          <w:rFonts w:ascii="Times New Roman" w:hAnsi="Times New Roman"/>
          <w:sz w:val="28"/>
          <w:szCs w:val="28"/>
          <w:lang w:val="uk-UA"/>
        </w:rPr>
        <w:t>з 1 січня 2021 року до внесення відповідних змін до законів виконавчі органи новообраних міських рад, до складу території яких входять міста обласного значення, продовжують здійснювати повноваження, спеціально віднесенні законами до відання виконавчих органів міських (міст обласного значення) рад;</w:t>
      </w:r>
    </w:p>
    <w:p w:rsidR="000E14C3" w:rsidRPr="00D92E53" w:rsidRDefault="000E14C3" w:rsidP="000E14C3">
      <w:pPr>
        <w:ind w:firstLine="709"/>
        <w:jc w:val="both"/>
        <w:rPr>
          <w:rFonts w:ascii="Times New Roman" w:hAnsi="Times New Roman"/>
          <w:sz w:val="28"/>
          <w:szCs w:val="28"/>
          <w:lang w:val="uk-UA"/>
        </w:rPr>
      </w:pPr>
      <w:r w:rsidRPr="00D92E53">
        <w:rPr>
          <w:rFonts w:ascii="Times New Roman" w:hAnsi="Times New Roman"/>
          <w:sz w:val="28"/>
          <w:szCs w:val="28"/>
          <w:lang w:val="uk-UA"/>
        </w:rPr>
        <w:t>з 1 січня 2021 року до внесення відповідних змін до законів виконавчі органи новообраних сільських, селищних, міських рад, крім вказаних в абзаці другому цього пункту, набувають додаткових повноважень, спеціально віднесених законами до відання виконавчих органів сільських, селищних, міських рад об'єднаних територіальних громад.</w:t>
      </w:r>
    </w:p>
    <w:p w:rsidR="000E14C3" w:rsidRPr="00D92E53" w:rsidRDefault="000E14C3" w:rsidP="000E14C3">
      <w:pPr>
        <w:ind w:firstLine="709"/>
        <w:jc w:val="both"/>
        <w:rPr>
          <w:rFonts w:ascii="Times New Roman" w:hAnsi="Times New Roman"/>
          <w:sz w:val="28"/>
          <w:szCs w:val="28"/>
          <w:lang w:val="uk-UA"/>
        </w:rPr>
      </w:pPr>
      <w:r w:rsidRPr="00D92E53">
        <w:rPr>
          <w:rFonts w:ascii="Times New Roman" w:hAnsi="Times New Roman"/>
          <w:sz w:val="28"/>
          <w:szCs w:val="28"/>
          <w:lang w:val="uk-UA"/>
        </w:rPr>
        <w:t>Однак, за результатами місцевих виборів новообрані сільські, селищні, міські ради відповідно до Закону України «Про місцеве самоврядування в Україні» мають право утворити власні виконавчі органи. Тому положення абзацу першого зазначеного пункту до 31 грудня 2020 року фактично позбавляють їх такого права.</w:t>
      </w:r>
    </w:p>
    <w:p w:rsidR="000E14C3" w:rsidRPr="00D92E53" w:rsidRDefault="000E14C3" w:rsidP="000E14C3">
      <w:pPr>
        <w:ind w:firstLine="709"/>
        <w:jc w:val="both"/>
        <w:rPr>
          <w:rFonts w:ascii="Times New Roman" w:hAnsi="Times New Roman"/>
          <w:sz w:val="28"/>
          <w:szCs w:val="28"/>
          <w:lang w:val="uk-UA"/>
        </w:rPr>
      </w:pPr>
      <w:r w:rsidRPr="00D92E53">
        <w:rPr>
          <w:rFonts w:ascii="Times New Roman" w:hAnsi="Times New Roman"/>
          <w:sz w:val="28"/>
          <w:szCs w:val="28"/>
          <w:lang w:val="uk-UA"/>
        </w:rPr>
        <w:t xml:space="preserve">Крім того, абзаци другий і третій цього пункту передбачають здійснення повноважень виконавчими органами місцевих рад  «до внесення відповідних змін до законів», проте сам законопроект не містить положень щодо строків внесення та прийняття таких законів. </w:t>
      </w:r>
    </w:p>
    <w:p w:rsidR="000E14C3" w:rsidRPr="00D92E53" w:rsidRDefault="000E14C3" w:rsidP="000E14C3">
      <w:pPr>
        <w:ind w:firstLine="709"/>
        <w:jc w:val="both"/>
        <w:rPr>
          <w:rFonts w:ascii="Times New Roman" w:hAnsi="Times New Roman"/>
          <w:sz w:val="28"/>
          <w:szCs w:val="28"/>
          <w:lang w:val="uk-UA"/>
        </w:rPr>
      </w:pPr>
      <w:r w:rsidRPr="00D92E53">
        <w:rPr>
          <w:rFonts w:ascii="Times New Roman" w:hAnsi="Times New Roman"/>
          <w:sz w:val="28"/>
          <w:szCs w:val="28"/>
          <w:lang w:val="uk-UA"/>
        </w:rPr>
        <w:t xml:space="preserve">Зазначене свідчить про неповноту правового регулювання, а отже юридичну невизначеність і </w:t>
      </w:r>
      <w:proofErr w:type="spellStart"/>
      <w:r w:rsidRPr="00D92E53">
        <w:rPr>
          <w:rFonts w:ascii="Times New Roman" w:hAnsi="Times New Roman"/>
          <w:sz w:val="28"/>
          <w:szCs w:val="28"/>
          <w:lang w:val="uk-UA"/>
        </w:rPr>
        <w:t>непрогнозованість</w:t>
      </w:r>
      <w:proofErr w:type="spellEnd"/>
      <w:r w:rsidRPr="00D92E53">
        <w:rPr>
          <w:rFonts w:ascii="Times New Roman" w:hAnsi="Times New Roman"/>
          <w:sz w:val="28"/>
          <w:szCs w:val="28"/>
          <w:lang w:val="uk-UA"/>
        </w:rPr>
        <w:t xml:space="preserve"> положень проекту в контексті дії в Україні принципу верховенства права (стаття 8 Конституції України).</w:t>
      </w:r>
    </w:p>
    <w:p w:rsidR="000E14C3" w:rsidRPr="00D92E53" w:rsidRDefault="000E14C3" w:rsidP="000E14C3">
      <w:pPr>
        <w:spacing w:after="0"/>
        <w:ind w:firstLine="709"/>
        <w:jc w:val="both"/>
        <w:rPr>
          <w:rFonts w:ascii="Times New Roman" w:hAnsi="Times New Roman"/>
          <w:sz w:val="28"/>
          <w:szCs w:val="28"/>
          <w:lang w:val="uk-UA"/>
        </w:rPr>
      </w:pPr>
    </w:p>
    <w:p w:rsidR="000E14C3" w:rsidRPr="00D92E53" w:rsidRDefault="000E14C3" w:rsidP="000E14C3">
      <w:pPr>
        <w:spacing w:after="0"/>
        <w:ind w:firstLine="709"/>
        <w:jc w:val="both"/>
        <w:rPr>
          <w:rFonts w:ascii="Times New Roman" w:hAnsi="Times New Roman"/>
          <w:sz w:val="28"/>
          <w:szCs w:val="28"/>
          <w:lang w:val="uk-UA"/>
        </w:rPr>
      </w:pPr>
      <w:r w:rsidRPr="00D92E53">
        <w:rPr>
          <w:rFonts w:ascii="Times New Roman" w:hAnsi="Times New Roman"/>
          <w:sz w:val="28"/>
          <w:szCs w:val="28"/>
          <w:lang w:val="uk-UA"/>
        </w:rPr>
        <w:t xml:space="preserve">Узагальнюючий висновок: </w:t>
      </w:r>
      <w:bookmarkStart w:id="0" w:name="_GoBack"/>
      <w:r w:rsidRPr="00D92E53">
        <w:rPr>
          <w:rFonts w:ascii="Times New Roman" w:hAnsi="Times New Roman"/>
          <w:sz w:val="28"/>
          <w:szCs w:val="28"/>
          <w:lang w:val="uk-UA"/>
        </w:rPr>
        <w:t>законопроект може бути прийнятий у другому читанні з урахуванням висловлених зауважень.</w:t>
      </w:r>
      <w:bookmarkEnd w:id="0"/>
    </w:p>
    <w:p w:rsidR="000E14C3" w:rsidRPr="00D92E53" w:rsidRDefault="000E14C3" w:rsidP="000E14C3">
      <w:pPr>
        <w:spacing w:after="0"/>
        <w:ind w:firstLine="851"/>
        <w:jc w:val="both"/>
        <w:rPr>
          <w:rStyle w:val="st42"/>
          <w:sz w:val="28"/>
          <w:szCs w:val="28"/>
          <w:lang w:val="uk-UA"/>
        </w:rPr>
      </w:pPr>
    </w:p>
    <w:p w:rsidR="000E14C3" w:rsidRPr="00D92E53" w:rsidRDefault="000E14C3" w:rsidP="000E14C3">
      <w:pPr>
        <w:spacing w:after="0"/>
        <w:ind w:firstLine="709"/>
        <w:jc w:val="both"/>
        <w:rPr>
          <w:rFonts w:ascii="Times New Roman" w:eastAsia="Times New Roman" w:hAnsi="Times New Roman"/>
          <w:color w:val="000000"/>
          <w:sz w:val="28"/>
          <w:szCs w:val="28"/>
          <w:lang w:val="uk-UA" w:eastAsia="uk-UA"/>
        </w:rPr>
      </w:pPr>
    </w:p>
    <w:p w:rsidR="000E14C3" w:rsidRPr="00D92E53" w:rsidRDefault="000E14C3" w:rsidP="000E14C3">
      <w:pPr>
        <w:spacing w:after="0"/>
        <w:ind w:firstLine="709"/>
        <w:jc w:val="both"/>
        <w:rPr>
          <w:rFonts w:ascii="Times New Roman" w:eastAsia="Times New Roman" w:hAnsi="Times New Roman"/>
          <w:color w:val="000000"/>
          <w:sz w:val="28"/>
          <w:szCs w:val="28"/>
          <w:lang w:val="uk-UA" w:eastAsia="uk-UA"/>
        </w:rPr>
      </w:pPr>
      <w:r w:rsidRPr="00D92E53">
        <w:rPr>
          <w:rFonts w:ascii="Times New Roman" w:eastAsia="Times New Roman" w:hAnsi="Times New Roman"/>
          <w:color w:val="000000"/>
          <w:sz w:val="28"/>
          <w:szCs w:val="28"/>
          <w:lang w:val="uk-UA" w:eastAsia="uk-UA"/>
        </w:rPr>
        <w:t>Заступник Керівника</w:t>
      </w:r>
    </w:p>
    <w:p w:rsidR="000E14C3" w:rsidRPr="00D92E53" w:rsidRDefault="000E14C3" w:rsidP="000E14C3">
      <w:pPr>
        <w:spacing w:after="0"/>
        <w:jc w:val="both"/>
        <w:rPr>
          <w:rFonts w:ascii="Times New Roman" w:eastAsia="Times New Roman" w:hAnsi="Times New Roman"/>
          <w:color w:val="000000"/>
          <w:sz w:val="28"/>
          <w:szCs w:val="28"/>
          <w:lang w:val="uk-UA" w:eastAsia="uk-UA"/>
        </w:rPr>
      </w:pPr>
      <w:r w:rsidRPr="00D92E53">
        <w:rPr>
          <w:rFonts w:ascii="Times New Roman" w:eastAsia="Times New Roman" w:hAnsi="Times New Roman"/>
          <w:color w:val="000000"/>
          <w:sz w:val="28"/>
          <w:szCs w:val="28"/>
          <w:lang w:val="uk-UA" w:eastAsia="uk-UA"/>
        </w:rPr>
        <w:t>Головного юридично управління</w:t>
      </w:r>
      <w:r w:rsidRPr="00D92E53">
        <w:rPr>
          <w:rFonts w:ascii="Times New Roman" w:eastAsia="Times New Roman" w:hAnsi="Times New Roman"/>
          <w:color w:val="000000"/>
          <w:sz w:val="28"/>
          <w:szCs w:val="28"/>
          <w:lang w:val="uk-UA" w:eastAsia="uk-UA"/>
        </w:rPr>
        <w:tab/>
      </w:r>
      <w:r w:rsidRPr="00D92E53">
        <w:rPr>
          <w:rFonts w:ascii="Times New Roman" w:eastAsia="Times New Roman" w:hAnsi="Times New Roman"/>
          <w:color w:val="000000"/>
          <w:sz w:val="28"/>
          <w:szCs w:val="28"/>
          <w:lang w:val="uk-UA" w:eastAsia="uk-UA"/>
        </w:rPr>
        <w:tab/>
      </w:r>
      <w:r w:rsidRPr="00D92E53">
        <w:rPr>
          <w:rFonts w:ascii="Times New Roman" w:eastAsia="Times New Roman" w:hAnsi="Times New Roman"/>
          <w:color w:val="000000"/>
          <w:sz w:val="28"/>
          <w:szCs w:val="28"/>
          <w:lang w:val="uk-UA" w:eastAsia="uk-UA"/>
        </w:rPr>
        <w:tab/>
      </w:r>
      <w:r w:rsidRPr="00D92E53">
        <w:rPr>
          <w:rFonts w:ascii="Times New Roman" w:eastAsia="Times New Roman" w:hAnsi="Times New Roman"/>
          <w:color w:val="000000"/>
          <w:sz w:val="28"/>
          <w:szCs w:val="28"/>
          <w:lang w:val="uk-UA" w:eastAsia="uk-UA"/>
        </w:rPr>
        <w:tab/>
      </w:r>
      <w:r w:rsidRPr="00D92E53">
        <w:rPr>
          <w:rFonts w:ascii="Times New Roman" w:eastAsia="Times New Roman" w:hAnsi="Times New Roman"/>
          <w:color w:val="000000"/>
          <w:sz w:val="28"/>
          <w:szCs w:val="28"/>
          <w:lang w:val="uk-UA" w:eastAsia="uk-UA"/>
        </w:rPr>
        <w:tab/>
      </w:r>
      <w:r w:rsidRPr="00D92E53">
        <w:rPr>
          <w:rFonts w:ascii="Times New Roman" w:eastAsia="Times New Roman" w:hAnsi="Times New Roman"/>
          <w:color w:val="000000"/>
          <w:sz w:val="28"/>
          <w:szCs w:val="28"/>
          <w:lang w:val="uk-UA" w:eastAsia="uk-UA"/>
        </w:rPr>
        <w:tab/>
        <w:t>С. МІШУРА</w:t>
      </w:r>
    </w:p>
    <w:p w:rsidR="000E14C3" w:rsidRPr="00D92E53" w:rsidRDefault="000E14C3" w:rsidP="000E14C3">
      <w:pPr>
        <w:jc w:val="both"/>
        <w:rPr>
          <w:rFonts w:ascii="Times New Roman" w:hAnsi="Times New Roman"/>
          <w:sz w:val="28"/>
          <w:szCs w:val="28"/>
          <w:lang w:val="uk-UA"/>
        </w:rPr>
      </w:pPr>
    </w:p>
    <w:p w:rsidR="00D92E53" w:rsidRPr="00D92E53" w:rsidRDefault="00D92E53">
      <w:pPr>
        <w:jc w:val="both"/>
        <w:rPr>
          <w:rFonts w:ascii="Times New Roman" w:hAnsi="Times New Roman"/>
          <w:sz w:val="28"/>
          <w:szCs w:val="28"/>
          <w:lang w:val="uk-UA"/>
        </w:rPr>
      </w:pPr>
    </w:p>
    <w:sectPr w:rsidR="00D92E53" w:rsidRPr="00D92E53" w:rsidSect="00634A7D">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D72" w:rsidRDefault="00820D72" w:rsidP="005E306B">
      <w:pPr>
        <w:spacing w:after="0" w:line="240" w:lineRule="auto"/>
      </w:pPr>
      <w:r>
        <w:separator/>
      </w:r>
    </w:p>
  </w:endnote>
  <w:endnote w:type="continuationSeparator" w:id="0">
    <w:p w:rsidR="00820D72" w:rsidRDefault="00820D7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8C2" w:rsidRDefault="00BF18C2">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8C2" w:rsidRDefault="00BF18C2">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8C2" w:rsidRDefault="00BF18C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D72" w:rsidRDefault="00820D72" w:rsidP="005E306B">
      <w:pPr>
        <w:spacing w:after="0" w:line="240" w:lineRule="auto"/>
      </w:pPr>
      <w:r>
        <w:separator/>
      </w:r>
    </w:p>
  </w:footnote>
  <w:footnote w:type="continuationSeparator" w:id="0">
    <w:p w:rsidR="00820D72" w:rsidRDefault="00820D7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8C2" w:rsidRDefault="00BF18C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700218" w:rsidRDefault="00700218">
        <w:pPr>
          <w:pStyle w:val="a3"/>
          <w:jc w:val="center"/>
        </w:pPr>
        <w:r>
          <w:fldChar w:fldCharType="begin"/>
        </w:r>
        <w:r>
          <w:instrText>PAGE   \* MERGEFORMAT</w:instrText>
        </w:r>
        <w:r>
          <w:fldChar w:fldCharType="separate"/>
        </w:r>
        <w:r w:rsidR="006D7A75" w:rsidRPr="006D7A75">
          <w:rPr>
            <w:noProof/>
            <w:lang w:val="uk-UA"/>
          </w:rPr>
          <w:t>12</w:t>
        </w:r>
        <w:r>
          <w:fldChar w:fldCharType="end"/>
        </w:r>
      </w:p>
    </w:sdtContent>
  </w:sdt>
  <w:p w:rsidR="00CE6A4B" w:rsidRDefault="00CE6A4B" w:rsidP="00AD7F82">
    <w:pPr>
      <w:pStyle w:val="a3"/>
      <w:tabs>
        <w:tab w:val="clear" w:pos="9355"/>
      </w:tabs>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5126"/>
    <w:rsid w:val="000B6CE8"/>
    <w:rsid w:val="000E14C3"/>
    <w:rsid w:val="000F1586"/>
    <w:rsid w:val="00111883"/>
    <w:rsid w:val="00141617"/>
    <w:rsid w:val="00176AA0"/>
    <w:rsid w:val="0019108F"/>
    <w:rsid w:val="001966F0"/>
    <w:rsid w:val="001D3C24"/>
    <w:rsid w:val="002356E9"/>
    <w:rsid w:val="00235CD7"/>
    <w:rsid w:val="00290C62"/>
    <w:rsid w:val="002A5D4C"/>
    <w:rsid w:val="002B5FC1"/>
    <w:rsid w:val="002D0561"/>
    <w:rsid w:val="002E0A18"/>
    <w:rsid w:val="002E31BF"/>
    <w:rsid w:val="002E44DA"/>
    <w:rsid w:val="00352AFB"/>
    <w:rsid w:val="00365BB1"/>
    <w:rsid w:val="00366919"/>
    <w:rsid w:val="003D1CBA"/>
    <w:rsid w:val="00451750"/>
    <w:rsid w:val="004E4F5C"/>
    <w:rsid w:val="004F7B8A"/>
    <w:rsid w:val="0050620F"/>
    <w:rsid w:val="0055005A"/>
    <w:rsid w:val="0056352F"/>
    <w:rsid w:val="005A4728"/>
    <w:rsid w:val="005B71F5"/>
    <w:rsid w:val="005C688A"/>
    <w:rsid w:val="005E306B"/>
    <w:rsid w:val="005F20B5"/>
    <w:rsid w:val="00626A3E"/>
    <w:rsid w:val="006319F8"/>
    <w:rsid w:val="00634A7D"/>
    <w:rsid w:val="0066623D"/>
    <w:rsid w:val="006C2446"/>
    <w:rsid w:val="006D7A75"/>
    <w:rsid w:val="006F10E8"/>
    <w:rsid w:val="00700218"/>
    <w:rsid w:val="00713E93"/>
    <w:rsid w:val="0073224C"/>
    <w:rsid w:val="007F5D91"/>
    <w:rsid w:val="0080545D"/>
    <w:rsid w:val="00813927"/>
    <w:rsid w:val="00820D72"/>
    <w:rsid w:val="00945B68"/>
    <w:rsid w:val="00957D31"/>
    <w:rsid w:val="009A720A"/>
    <w:rsid w:val="009F3A3F"/>
    <w:rsid w:val="00A00059"/>
    <w:rsid w:val="00A13372"/>
    <w:rsid w:val="00A833C8"/>
    <w:rsid w:val="00AD7F82"/>
    <w:rsid w:val="00B02CEF"/>
    <w:rsid w:val="00BD0801"/>
    <w:rsid w:val="00BF18C2"/>
    <w:rsid w:val="00BF1E95"/>
    <w:rsid w:val="00C11FB6"/>
    <w:rsid w:val="00C27AE9"/>
    <w:rsid w:val="00C54557"/>
    <w:rsid w:val="00CC39A1"/>
    <w:rsid w:val="00CD4A38"/>
    <w:rsid w:val="00CE3E1B"/>
    <w:rsid w:val="00CE6A4B"/>
    <w:rsid w:val="00D242C2"/>
    <w:rsid w:val="00D30DFC"/>
    <w:rsid w:val="00D57E1B"/>
    <w:rsid w:val="00D92E53"/>
    <w:rsid w:val="00DD6C75"/>
    <w:rsid w:val="00E50354"/>
    <w:rsid w:val="00F01A33"/>
    <w:rsid w:val="00F44513"/>
    <w:rsid w:val="00F55423"/>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C971E-20EF-47C5-A310-9CEE23410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3926</Words>
  <Characters>27780</Characters>
  <Application>Microsoft Office Word</Application>
  <DocSecurity>0</DocSecurity>
  <Lines>231</Lines>
  <Paragraphs>63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2020-11-17T11:59:00Z</dcterms:created>
  <dcterms:modified xsi:type="dcterms:W3CDTF">2020-11-17T12:04:00Z</dcterms:modified>
</cp:coreProperties>
</file>