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7B55" w:rsidRPr="00657B55" w:rsidRDefault="00657B55" w:rsidP="00657B5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57B55" w:rsidRPr="00657B55" w:rsidRDefault="00657B55" w:rsidP="00657B5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57B55" w:rsidRPr="00657B55" w:rsidRDefault="00657B55" w:rsidP="00657B5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2060"/>
          <w:sz w:val="32"/>
          <w:szCs w:val="32"/>
          <w:lang w:val="en-US" w:eastAsia="ru-RU"/>
        </w:rPr>
      </w:pPr>
      <w:r w:rsidRPr="00657B55">
        <w:rPr>
          <w:rFonts w:ascii="Times New Roman" w:eastAsia="Times New Roman" w:hAnsi="Times New Roman" w:cs="Times New Roman"/>
          <w:noProof/>
          <w:spacing w:val="20"/>
          <w:sz w:val="34"/>
          <w:szCs w:val="34"/>
          <w:lang w:eastAsia="uk-UA"/>
        </w:rPr>
        <w:drawing>
          <wp:anchor distT="360045" distB="0" distL="114300" distR="114300" simplePos="0" relativeHeight="251659264" behindDoc="0" locked="0" layoutInCell="1" allowOverlap="1" wp14:anchorId="078C9983" wp14:editId="37E9F4C8">
            <wp:simplePos x="0" y="0"/>
            <wp:positionH relativeFrom="margin">
              <wp:posOffset>2758440</wp:posOffset>
            </wp:positionH>
            <wp:positionV relativeFrom="paragraph">
              <wp:posOffset>0</wp:posOffset>
            </wp:positionV>
            <wp:extent cx="461010" cy="636905"/>
            <wp:effectExtent l="0" t="0" r="0" b="0"/>
            <wp:wrapSquare wrapText="bothSides"/>
            <wp:docPr id="1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0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010" cy="636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57B55" w:rsidRPr="00657B55" w:rsidRDefault="00657B55" w:rsidP="00657B5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2060"/>
          <w:sz w:val="32"/>
          <w:szCs w:val="32"/>
          <w:lang w:val="en-US" w:eastAsia="ru-RU"/>
        </w:rPr>
      </w:pPr>
    </w:p>
    <w:p w:rsidR="00657B55" w:rsidRPr="00657B55" w:rsidRDefault="00657B55" w:rsidP="00657B5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2060"/>
          <w:sz w:val="32"/>
          <w:szCs w:val="32"/>
          <w:lang w:val="en-US" w:eastAsia="ru-RU"/>
        </w:rPr>
      </w:pPr>
    </w:p>
    <w:p w:rsidR="00657B55" w:rsidRPr="00657B55" w:rsidRDefault="00657B55" w:rsidP="00657B55">
      <w:pPr>
        <w:spacing w:before="80" w:after="0" w:line="240" w:lineRule="auto"/>
        <w:jc w:val="center"/>
        <w:rPr>
          <w:rFonts w:ascii="Times New Roman" w:eastAsia="Times New Roman" w:hAnsi="Times New Roman" w:cs="Times New Roman"/>
          <w:color w:val="1829A8"/>
          <w:spacing w:val="20"/>
          <w:sz w:val="34"/>
          <w:szCs w:val="34"/>
          <w:lang w:val="ru-RU" w:eastAsia="ru-RU"/>
        </w:rPr>
      </w:pPr>
      <w:r w:rsidRPr="00657B55">
        <w:rPr>
          <w:rFonts w:ascii="Times New Roman" w:eastAsia="Times New Roman" w:hAnsi="Times New Roman" w:cs="Times New Roman"/>
          <w:color w:val="1829A8"/>
          <w:spacing w:val="20"/>
          <w:sz w:val="34"/>
          <w:szCs w:val="34"/>
          <w:lang w:eastAsia="ru-RU"/>
        </w:rPr>
        <w:t>ВЕРХОВНА РАДА УКРАЇНИ</w:t>
      </w:r>
    </w:p>
    <w:p w:rsidR="00657B55" w:rsidRPr="00657B55" w:rsidRDefault="00657B55" w:rsidP="00657B55">
      <w:pPr>
        <w:spacing w:before="100" w:after="0" w:line="240" w:lineRule="auto"/>
        <w:jc w:val="center"/>
        <w:rPr>
          <w:rFonts w:ascii="Times New Roman" w:eastAsia="Times New Roman" w:hAnsi="Times New Roman" w:cs="Times New Roman"/>
          <w:b/>
          <w:color w:val="1829A8"/>
          <w:spacing w:val="20"/>
          <w:sz w:val="24"/>
          <w:szCs w:val="24"/>
          <w:lang w:val="ru-RU" w:eastAsia="ru-RU"/>
        </w:rPr>
      </w:pPr>
      <w:r w:rsidRPr="00657B55">
        <w:rPr>
          <w:rFonts w:ascii="Times New Roman" w:eastAsia="Times New Roman" w:hAnsi="Times New Roman" w:cs="Times New Roman"/>
          <w:b/>
          <w:color w:val="1829A8"/>
          <w:spacing w:val="20"/>
          <w:sz w:val="24"/>
          <w:szCs w:val="24"/>
          <w:lang w:eastAsia="ru-RU"/>
        </w:rPr>
        <w:t>Комітет з питань інтеграції України з Європейським Союзом</w:t>
      </w:r>
    </w:p>
    <w:p w:rsidR="00657B55" w:rsidRPr="00657B55" w:rsidRDefault="00657B55" w:rsidP="00657B5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7B55">
        <w:rPr>
          <w:rFonts w:ascii="Times New Roman" w:eastAsia="Times New Roman" w:hAnsi="Times New Roman" w:cs="Times New Roman"/>
          <w:color w:val="1829A8"/>
          <w:sz w:val="20"/>
          <w:szCs w:val="20"/>
          <w:lang w:eastAsia="ru-RU"/>
        </w:rPr>
        <w:t>01008, м.Київ-8, вул. М. Грушевського, 5, тел.: 255-34-42, факс</w:t>
      </w:r>
      <w:r w:rsidRPr="00657B55">
        <w:rPr>
          <w:rFonts w:ascii="Times New Roman" w:eastAsia="Times New Roman" w:hAnsi="Times New Roman" w:cs="Times New Roman"/>
          <w:color w:val="1829A8"/>
          <w:sz w:val="20"/>
          <w:szCs w:val="20"/>
          <w:lang w:val="ru-RU" w:eastAsia="ru-RU"/>
        </w:rPr>
        <w:t>:</w:t>
      </w:r>
      <w:r w:rsidRPr="00657B55">
        <w:rPr>
          <w:rFonts w:ascii="Times New Roman" w:eastAsia="Times New Roman" w:hAnsi="Times New Roman" w:cs="Times New Roman"/>
          <w:color w:val="1829A8"/>
          <w:sz w:val="20"/>
          <w:szCs w:val="20"/>
          <w:lang w:eastAsia="ru-RU"/>
        </w:rPr>
        <w:t xml:space="preserve"> 255-33-13, </w:t>
      </w:r>
      <w:r w:rsidRPr="00657B55">
        <w:rPr>
          <w:rFonts w:ascii="Times New Roman" w:eastAsia="Times New Roman" w:hAnsi="Times New Roman" w:cs="Times New Roman"/>
          <w:color w:val="1829A8"/>
          <w:sz w:val="20"/>
          <w:szCs w:val="20"/>
          <w:lang w:val="en-US" w:eastAsia="ru-RU"/>
        </w:rPr>
        <w:t>e</w:t>
      </w:r>
      <w:r w:rsidRPr="00657B55">
        <w:rPr>
          <w:rFonts w:ascii="Times New Roman" w:eastAsia="Times New Roman" w:hAnsi="Times New Roman" w:cs="Times New Roman"/>
          <w:color w:val="1829A8"/>
          <w:sz w:val="20"/>
          <w:szCs w:val="20"/>
          <w:lang w:val="ru-RU" w:eastAsia="ru-RU"/>
        </w:rPr>
        <w:t>-</w:t>
      </w:r>
      <w:r w:rsidRPr="00657B55">
        <w:rPr>
          <w:rFonts w:ascii="Times New Roman" w:eastAsia="Times New Roman" w:hAnsi="Times New Roman" w:cs="Times New Roman"/>
          <w:color w:val="1829A8"/>
          <w:sz w:val="20"/>
          <w:szCs w:val="20"/>
          <w:lang w:val="en-US" w:eastAsia="ru-RU"/>
        </w:rPr>
        <w:t>mail</w:t>
      </w:r>
      <w:r w:rsidRPr="00657B55">
        <w:rPr>
          <w:rFonts w:ascii="Times New Roman" w:eastAsia="Times New Roman" w:hAnsi="Times New Roman" w:cs="Times New Roman"/>
          <w:color w:val="1829A8"/>
          <w:sz w:val="20"/>
          <w:szCs w:val="20"/>
          <w:lang w:val="ru-RU" w:eastAsia="ru-RU"/>
        </w:rPr>
        <w:t xml:space="preserve">: </w:t>
      </w:r>
      <w:r w:rsidRPr="00657B55">
        <w:rPr>
          <w:rFonts w:ascii="Times New Roman" w:eastAsia="Times New Roman" w:hAnsi="Times New Roman" w:cs="Times New Roman"/>
          <w:color w:val="1829A8"/>
          <w:sz w:val="20"/>
          <w:szCs w:val="20"/>
          <w:lang w:val="en-US" w:eastAsia="ru-RU"/>
        </w:rPr>
        <w:t>comeuroint</w:t>
      </w:r>
      <w:r w:rsidRPr="00657B55">
        <w:rPr>
          <w:rFonts w:ascii="Times New Roman" w:eastAsia="Times New Roman" w:hAnsi="Times New Roman" w:cs="Times New Roman"/>
          <w:color w:val="1829A8"/>
          <w:sz w:val="20"/>
          <w:szCs w:val="20"/>
          <w:lang w:val="ru-RU" w:eastAsia="ru-RU"/>
        </w:rPr>
        <w:t>@</w:t>
      </w:r>
      <w:r w:rsidRPr="00657B55">
        <w:rPr>
          <w:rFonts w:ascii="Times New Roman" w:eastAsia="Times New Roman" w:hAnsi="Times New Roman" w:cs="Times New Roman"/>
          <w:color w:val="1829A8"/>
          <w:sz w:val="20"/>
          <w:szCs w:val="20"/>
          <w:lang w:val="en-US" w:eastAsia="ru-RU"/>
        </w:rPr>
        <w:t>v</w:t>
      </w:r>
      <w:r w:rsidRPr="00657B55">
        <w:rPr>
          <w:rFonts w:ascii="Times New Roman" w:eastAsia="Times New Roman" w:hAnsi="Times New Roman" w:cs="Times New Roman"/>
          <w:color w:val="1829A8"/>
          <w:sz w:val="20"/>
          <w:szCs w:val="20"/>
          <w:lang w:val="ru-RU" w:eastAsia="ru-RU"/>
        </w:rPr>
        <w:t>.</w:t>
      </w:r>
      <w:r w:rsidRPr="00657B55">
        <w:rPr>
          <w:rFonts w:ascii="Times New Roman" w:eastAsia="Times New Roman" w:hAnsi="Times New Roman" w:cs="Times New Roman"/>
          <w:color w:val="1829A8"/>
          <w:sz w:val="20"/>
          <w:szCs w:val="20"/>
          <w:lang w:val="en-US" w:eastAsia="ru-RU"/>
        </w:rPr>
        <w:t>rada</w:t>
      </w:r>
      <w:r w:rsidRPr="00657B55">
        <w:rPr>
          <w:rFonts w:ascii="Times New Roman" w:eastAsia="Times New Roman" w:hAnsi="Times New Roman" w:cs="Times New Roman"/>
          <w:color w:val="1829A8"/>
          <w:sz w:val="20"/>
          <w:szCs w:val="20"/>
          <w:lang w:val="ru-RU" w:eastAsia="ru-RU"/>
        </w:rPr>
        <w:t>.</w:t>
      </w:r>
      <w:r w:rsidRPr="00657B55">
        <w:rPr>
          <w:rFonts w:ascii="Times New Roman" w:eastAsia="Times New Roman" w:hAnsi="Times New Roman" w:cs="Times New Roman"/>
          <w:color w:val="1829A8"/>
          <w:sz w:val="20"/>
          <w:szCs w:val="20"/>
          <w:lang w:val="en-US" w:eastAsia="ru-RU"/>
        </w:rPr>
        <w:t>gov</w:t>
      </w:r>
      <w:r w:rsidRPr="00657B55">
        <w:rPr>
          <w:rFonts w:ascii="Times New Roman" w:eastAsia="Times New Roman" w:hAnsi="Times New Roman" w:cs="Times New Roman"/>
          <w:color w:val="1829A8"/>
          <w:sz w:val="20"/>
          <w:szCs w:val="20"/>
          <w:lang w:val="ru-RU" w:eastAsia="ru-RU"/>
        </w:rPr>
        <w:t>.</w:t>
      </w:r>
      <w:r w:rsidRPr="00657B55">
        <w:rPr>
          <w:rFonts w:ascii="Times New Roman" w:eastAsia="Times New Roman" w:hAnsi="Times New Roman" w:cs="Times New Roman"/>
          <w:color w:val="1829A8"/>
          <w:sz w:val="20"/>
          <w:szCs w:val="20"/>
          <w:lang w:val="en-US" w:eastAsia="ru-RU"/>
        </w:rPr>
        <w:t>ua</w:t>
      </w:r>
    </w:p>
    <w:p w:rsidR="00657B55" w:rsidRPr="00657B55" w:rsidRDefault="00657B55" w:rsidP="00657B5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57B55" w:rsidRDefault="00657B55" w:rsidP="00657B5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27CAE" w:rsidRPr="00C23A8E" w:rsidRDefault="00227CAE" w:rsidP="00227CA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3A8E">
        <w:rPr>
          <w:rFonts w:ascii="Times New Roman" w:eastAsia="Times New Roman" w:hAnsi="Times New Roman" w:cs="Times New Roman"/>
          <w:sz w:val="28"/>
          <w:szCs w:val="28"/>
          <w:lang w:eastAsia="ru-RU"/>
        </w:rPr>
        <w:t>ВИСНОВОК</w:t>
      </w:r>
    </w:p>
    <w:p w:rsidR="00227CAE" w:rsidRPr="00C23A8E" w:rsidRDefault="00227CAE" w:rsidP="00227CA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3A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щодо проекту Закону України </w:t>
      </w:r>
    </w:p>
    <w:p w:rsidR="00227CAE" w:rsidRPr="00C23A8E" w:rsidRDefault="00227CAE" w:rsidP="00227CA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3A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«Про </w:t>
      </w:r>
      <w:r w:rsidRPr="00227CAE">
        <w:rPr>
          <w:rFonts w:ascii="Times New Roman" w:eastAsia="Times New Roman" w:hAnsi="Times New Roman" w:cs="Times New Roman"/>
          <w:sz w:val="28"/>
          <w:szCs w:val="28"/>
          <w:lang w:eastAsia="ru-RU"/>
        </w:rPr>
        <w:t>внесення змін до деяких законодавчих актів України щодо функціонування національної системи кваліфікацій</w:t>
      </w:r>
      <w:r w:rsidRPr="00C23A8E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:rsidR="00227CAE" w:rsidRPr="00C23A8E" w:rsidRDefault="00227CAE" w:rsidP="00227CA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3A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(реєстр. </w:t>
      </w:r>
      <w:r w:rsidRPr="00227CAE">
        <w:rPr>
          <w:rFonts w:ascii="Times New Roman" w:eastAsia="Times New Roman" w:hAnsi="Times New Roman" w:cs="Times New Roman"/>
          <w:sz w:val="28"/>
          <w:szCs w:val="28"/>
          <w:lang w:eastAsia="ru-RU"/>
        </w:rPr>
        <w:t>4147-1 від 09.10.2020</w:t>
      </w:r>
      <w:r w:rsidRPr="00C23A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н. д. Ю. Гришина</w:t>
      </w:r>
      <w:r w:rsidRPr="00C23A8E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657B55">
        <w:rPr>
          <w:rStyle w:val="a5"/>
          <w:rFonts w:ascii="Times New Roman" w:eastAsia="Times New Roman" w:hAnsi="Times New Roman" w:cs="Times New Roman"/>
          <w:sz w:val="28"/>
          <w:szCs w:val="28"/>
          <w:lang w:eastAsia="ru-RU"/>
        </w:rPr>
        <w:footnoteReference w:id="1"/>
      </w:r>
    </w:p>
    <w:p w:rsidR="00227CAE" w:rsidRPr="00CD6CE5" w:rsidRDefault="00227CAE" w:rsidP="00227CA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27CAE" w:rsidRPr="00C23A8E" w:rsidRDefault="00227CAE" w:rsidP="00227CAE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C23A8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Загальна характеристика законопроекту.</w:t>
      </w:r>
    </w:p>
    <w:p w:rsidR="00227CAE" w:rsidRPr="00C23A8E" w:rsidRDefault="00227CAE" w:rsidP="00227CA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27CAE" w:rsidRPr="00227CAE" w:rsidRDefault="00227CAE" w:rsidP="00227CA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7C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Метою законопроекту є стимулювання розвитку національної системи кваліфікацій, формування відкритих та інклюзивних інститутів , що діють в межах цієї системи. </w:t>
      </w:r>
    </w:p>
    <w:p w:rsidR="00227CAE" w:rsidRPr="00227CAE" w:rsidRDefault="00227CAE" w:rsidP="00227CA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7CAE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Законопроектом визначаються базові вимоги до професійних стандартів, основні засади оцінювання, присвоєння, підтвердження та визнання професійних кваліфікацій, правила формування реєстру професій.</w:t>
      </w:r>
    </w:p>
    <w:p w:rsidR="00227CAE" w:rsidRPr="005B030A" w:rsidRDefault="00227CAE" w:rsidP="00227CA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7CAE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Законопроект також передбачає чіткий статус та порядок діяльності Національного агентства кваліфікацій, а також п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равовий статус членів агентства.</w:t>
      </w:r>
      <w:r w:rsidRPr="005B03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227CAE" w:rsidRPr="00FF658A" w:rsidRDefault="00227CAE" w:rsidP="00227CA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7CAE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Законопроектом пропонується внести зміни до Кодексу законів про працю України, Закону України «Про оплату праці», Закону України «Про освіту», Закону України «Про зайнятість населення» в частині визначення термінів «професія», «повна та часткова кваліфікація», «трудова функція», встановлення вимог до професійних стандартів, окремих питань розроблення, затвердження та введення в дію професійних стандартів, створення та ведення реєстру професій, діяльності рад з розвитку професійних кваліфікацій, окремих положень законодавства про формування колегіального органу у сфері кваліфікацій (Національного агентства кваліфіка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цій) та інших пов’язаних питань</w:t>
      </w:r>
      <w:r w:rsidRPr="0074011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27CAE" w:rsidRPr="00C23A8E" w:rsidRDefault="00227CAE" w:rsidP="00227CAE">
      <w:pPr>
        <w:numPr>
          <w:ilvl w:val="0"/>
          <w:numId w:val="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C23A8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Належність законопроекту за предметом правового регулювання до сфери дії законодавства ЄС, зобов’язань України в рамках Ради Європи, норм та принципів системи ГАТТ/СОТ.</w:t>
      </w:r>
    </w:p>
    <w:p w:rsidR="00227CAE" w:rsidRDefault="00227CAE" w:rsidP="00227CAE">
      <w:pPr>
        <w:tabs>
          <w:tab w:val="left" w:pos="360"/>
        </w:tabs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24DDF">
        <w:rPr>
          <w:rFonts w:ascii="Times New Roman" w:eastAsia="Times New Roman" w:hAnsi="Times New Roman" w:cs="Times New Roman"/>
          <w:sz w:val="28"/>
          <w:szCs w:val="28"/>
        </w:rPr>
        <w:t>За своєю метою про</w:t>
      </w:r>
      <w:r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E24DDF">
        <w:rPr>
          <w:rFonts w:ascii="Times New Roman" w:eastAsia="Times New Roman" w:hAnsi="Times New Roman" w:cs="Times New Roman"/>
          <w:sz w:val="28"/>
          <w:szCs w:val="28"/>
        </w:rPr>
        <w:t xml:space="preserve">кт акта спрямований на виконання положень Угоди про асоціацію між Україною, з однієї сторони, та Європейським Союзом, Європейським співтовариством з атомної енергії та їх державами-членами, з </w:t>
      </w:r>
      <w:r w:rsidRPr="00E24DDF">
        <w:rPr>
          <w:rFonts w:ascii="Times New Roman" w:eastAsia="Times New Roman" w:hAnsi="Times New Roman" w:cs="Times New Roman"/>
          <w:sz w:val="28"/>
          <w:szCs w:val="28"/>
        </w:rPr>
        <w:lastRenderedPageBreak/>
        <w:t>іншої сторон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и (далі – Угода), що передбачає </w:t>
      </w:r>
      <w:r w:rsidRPr="00E24DDF">
        <w:rPr>
          <w:rFonts w:ascii="Times New Roman" w:eastAsia="Times New Roman" w:hAnsi="Times New Roman" w:cs="Times New Roman"/>
          <w:sz w:val="28"/>
          <w:szCs w:val="28"/>
        </w:rPr>
        <w:t>зобов'язання сторін щодо ефективного виконання основоположних та пріоритетних конвенцій Міжнародної організації праці (далі – МОП), які вони ратифікували, та Декларації МОП стосовно основних принципів та прав у світі праці 1998 р.;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24DDF">
        <w:rPr>
          <w:rFonts w:ascii="Times New Roman" w:eastAsia="Times New Roman" w:hAnsi="Times New Roman" w:cs="Times New Roman"/>
          <w:sz w:val="28"/>
          <w:szCs w:val="28"/>
        </w:rPr>
        <w:t>те, що жодна зі сторін не повинна послаблювати або знижувати рівень охорони навколишнього середовища чи праці, передбачений в її законодавстві, з метою покращення торгівлі або інвестицій шляхом відмови чи часткового відступу або пропонування такої відмови чи часткового відступу від своїх законів, підзаконних актів або стандартів у такий спосіб, що впливає на торгівлю або інвестиції між сторонами (пункт 2 ст. 296 Глави 13 «Торгівля та сталий розвиток»  Розділу Угоди);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24DDF">
        <w:rPr>
          <w:rFonts w:ascii="Times New Roman" w:eastAsia="Times New Roman" w:hAnsi="Times New Roman" w:cs="Times New Roman"/>
          <w:sz w:val="28"/>
          <w:szCs w:val="28"/>
        </w:rPr>
        <w:t>поступове наближення до права, стандартів та практики ЄС у сфері зайнятості, соціальної політики та рівних можливостей, як зазначено у Додатку XL до цієї Угоди (ст. 424 Глави 21 «Співробітництво у галузі зайнятості, соціальної політики та рівних можливостей» Розділу V «Економічне та галузеве співробітництво» Угоди).</w:t>
      </w:r>
    </w:p>
    <w:p w:rsidR="00227CAE" w:rsidRPr="00E24DDF" w:rsidRDefault="00227CAE" w:rsidP="00227CAE">
      <w:pPr>
        <w:tabs>
          <w:tab w:val="left" w:pos="360"/>
        </w:tabs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3. </w:t>
      </w:r>
      <w:r w:rsidRPr="00E86F8C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Відповідність законопроекту праву ЄС, зобов’язанням України в рамках Ради Європи, нормам та принципам системи ГАТТ/СОТ.</w:t>
      </w:r>
      <w:r w:rsidRPr="00E86F8C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ab/>
      </w:r>
    </w:p>
    <w:p w:rsidR="00227CAE" w:rsidRDefault="00227CAE" w:rsidP="00227CAE">
      <w:pPr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</w:pPr>
      <w:r w:rsidRPr="00227CAE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Законопроект покликаний задовольнити потреби законодавчого врегулювання питань формування, оцінювання та присвоєння професійних кваліфікацій, відносин між умовами праці та професійною кваліфікацією людини, окремих питань розроблення та введення в дію професійних стандартів, формування реєстру професій, діяльності рад з розвитку професійних кваліфікацій, а також врегулювання пов’язаних із цим окремих положень законодавства щодо колегіального органу у сфері кваліфікацій</w:t>
      </w:r>
      <w:r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 xml:space="preserve">. </w:t>
      </w:r>
    </w:p>
    <w:p w:rsidR="00227CAE" w:rsidRDefault="00227CAE" w:rsidP="00227CAE">
      <w:pPr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</w:pPr>
      <w:r w:rsidRPr="00C7372B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Предмет правового регулювання охоплюється Рекомендацією Європейського Парламенту та Ради від 23 квітня 2008 р. щодо створення європейської кваліфікаційної системи для можливості отримувати освіту протягом усього життя (№2008/C 111/01).</w:t>
      </w:r>
    </w:p>
    <w:p w:rsidR="00227CAE" w:rsidRDefault="00227CAE" w:rsidP="00227CAE">
      <w:pPr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</w:pPr>
      <w:r w:rsidRPr="00B450CA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 xml:space="preserve">Європейська система кваліфікацій (ЄСК) є рамковою конструкцією, яка описує узагальнену структуру кваліфікацій освіти всіх рівнів, яку можна порівняти з національними системами кваліфікацій освіти. </w:t>
      </w:r>
    </w:p>
    <w:p w:rsidR="00227CAE" w:rsidRPr="00B450CA" w:rsidRDefault="00227CAE" w:rsidP="00227CAE">
      <w:pPr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</w:pPr>
      <w:r w:rsidRPr="00B450CA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Розробка ЄСК викликана необхідністю реалізації стратегії навчання впродовж усього життя в світлі що відбуваються технологічних, економічних і демографічних змін, а також необхідністю усунення бар'єрів, що існують між країнами та інститутами, які перешкоджають ефективному використанню знань і компетенцій громадян через відсутність прозорості кваліфікацій.</w:t>
      </w:r>
    </w:p>
    <w:p w:rsidR="00227CAE" w:rsidRDefault="00227CAE" w:rsidP="00227CAE">
      <w:pPr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</w:pPr>
      <w:r w:rsidRPr="00B450CA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Протягом останніх років в європейських країнах відбувається активна розробка національних систем кваліфікацій, спрямованих на впорядкування існуючого різноманіття форм освіти і навчання. Завдання національних систем кваліфікацій складається в забезпеченні можливості вибудовування множинних траєкторій навчання, що призводять до отримання конкретної кваліфікації та підвищення кваліфікаційного рівня, а також чітких процедур офіційного визнання отриманих кваліфікацій. Також ці системи кваліфікацій служать завданням забезпечення якості та розвитку.</w:t>
      </w:r>
    </w:p>
    <w:p w:rsidR="00227CAE" w:rsidRDefault="00227CAE" w:rsidP="00227CAE">
      <w:pPr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</w:pPr>
      <w:r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Також варто зазначити, що у</w:t>
      </w:r>
      <w:r w:rsidRPr="00C7372B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 xml:space="preserve"> травн</w:t>
      </w:r>
      <w:r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і</w:t>
      </w:r>
      <w:r w:rsidRPr="00C7372B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 xml:space="preserve"> 2018 року міністри </w:t>
      </w:r>
      <w:r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держав-членів ЄС</w:t>
      </w:r>
      <w:r w:rsidRPr="00C7372B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 xml:space="preserve">, </w:t>
      </w:r>
      <w:r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які</w:t>
      </w:r>
      <w:r w:rsidRPr="00C7372B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 xml:space="preserve"> </w:t>
      </w:r>
      <w:r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опікуються</w:t>
      </w:r>
      <w:r w:rsidRPr="00C7372B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 xml:space="preserve"> вищ</w:t>
      </w:r>
      <w:r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ою</w:t>
      </w:r>
      <w:r w:rsidRPr="00C7372B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 xml:space="preserve"> освіт</w:t>
      </w:r>
      <w:r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ою</w:t>
      </w:r>
      <w:r w:rsidRPr="00C7372B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 xml:space="preserve">, прийняли нову редакцію загальної Рамки </w:t>
      </w:r>
      <w:r w:rsidRPr="00C7372B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lastRenderedPageBreak/>
        <w:t>кваліфікацій для Європейського простору вищої освіти. Нова редакція містить загальні дескриптори для кваліфікацій короткого циклу, першого, другого і третього циклів, що базуються на результатах навчання, компетенціях і кількості залікових одиниць короткого, першого і другого циклів. Міністри взяли на себе зобов'язання розробити національні рамки кваліфікацій із врахуванням положень  загально</w:t>
      </w:r>
      <w:r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ї</w:t>
      </w:r>
      <w:r w:rsidRPr="00C7372B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 xml:space="preserve"> Рамк</w:t>
      </w:r>
      <w:r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и</w:t>
      </w:r>
      <w:r w:rsidRPr="00C7372B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 xml:space="preserve"> кваліфікацій для Європейського простору вищої освіти. Визнаючи право кожної країни визначати доцільність і спосіб інтеграції кваліфікацій короткого циклу в власну систему, в Паризькому комюніке підкреслюється важливість визнання кваліфікацій короткого циклу для підготовки студентів до працевлаштування і подальшого навчання, а також для підвищення згуртованості суспільства.</w:t>
      </w:r>
    </w:p>
    <w:p w:rsidR="00227CAE" w:rsidRDefault="00227CAE" w:rsidP="00227CAE">
      <w:pPr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</w:pPr>
      <w:r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П</w:t>
      </w:r>
      <w:r w:rsidRPr="00C7372B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олітик</w:t>
      </w:r>
      <w:r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и</w:t>
      </w:r>
      <w:r w:rsidRPr="00C7372B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 xml:space="preserve"> ЄС щодо навичок та кваліфікації (за винятком тих, що надають доступ до регульованих професій) </w:t>
      </w:r>
      <w:r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ґрунтується</w:t>
      </w:r>
      <w:r w:rsidRPr="00C7372B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 xml:space="preserve"> на статтях 165 (освіта) та 166 (професійне навчання) Договору про функціонування ЄС. В обох статтях чітко </w:t>
      </w:r>
      <w:r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зазначено</w:t>
      </w:r>
      <w:r w:rsidRPr="00C7372B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 xml:space="preserve">, що дії ЄС стосуються заохочення співпраці між державами-членами та, за необхідності, підтримки та доповнення їхніх дій, при </w:t>
      </w:r>
      <w:r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 xml:space="preserve">врахуванні національних особливостей </w:t>
      </w:r>
      <w:r w:rsidRPr="00C7372B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їхніх систем освіти та навчання, а також культурного та мовного</w:t>
      </w:r>
      <w:r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 xml:space="preserve"> </w:t>
      </w:r>
      <w:r w:rsidRPr="009338E6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різноманіття</w:t>
      </w:r>
      <w:r w:rsidRPr="00C7372B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.</w:t>
      </w:r>
    </w:p>
    <w:p w:rsidR="00227CAE" w:rsidRPr="00710110" w:rsidRDefault="00227CAE" w:rsidP="00227CAE">
      <w:pPr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</w:pPr>
      <w:r w:rsidRPr="007B54B5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 xml:space="preserve">Таким чином, </w:t>
      </w:r>
      <w:r w:rsidRPr="00710110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 xml:space="preserve">проект Закону за своєю метою </w:t>
      </w:r>
      <w:r w:rsidRPr="009F2E23">
        <w:rPr>
          <w:rFonts w:ascii="Times New Roman" w:eastAsia="Calibri" w:hAnsi="Times New Roman" w:cs="Times New Roman"/>
          <w:b/>
          <w:i/>
          <w:kern w:val="1"/>
          <w:sz w:val="28"/>
          <w:szCs w:val="28"/>
          <w:lang w:eastAsia="ar-SA"/>
        </w:rPr>
        <w:t>не суперечить</w:t>
      </w:r>
      <w:r w:rsidRPr="00710110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 xml:space="preserve"> міжнародно</w:t>
      </w:r>
      <w:r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-правовим зобов’язанням України</w:t>
      </w:r>
      <w:r w:rsidRPr="00DC5425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.</w:t>
      </w:r>
      <w:r w:rsidRPr="00710110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 xml:space="preserve">  </w:t>
      </w:r>
    </w:p>
    <w:p w:rsidR="00227CAE" w:rsidRPr="00C23A8E" w:rsidRDefault="00227CAE" w:rsidP="00227CAE">
      <w:p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227CAE" w:rsidRDefault="00227CAE" w:rsidP="00227CAE"/>
    <w:p w:rsidR="00156303" w:rsidRDefault="00156303"/>
    <w:sectPr w:rsidR="0015630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23C68" w:rsidRDefault="00D23C68" w:rsidP="00657B55">
      <w:pPr>
        <w:spacing w:after="0" w:line="240" w:lineRule="auto"/>
      </w:pPr>
      <w:r>
        <w:separator/>
      </w:r>
    </w:p>
  </w:endnote>
  <w:endnote w:type="continuationSeparator" w:id="0">
    <w:p w:rsidR="00D23C68" w:rsidRDefault="00D23C68" w:rsidP="00657B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Yu Gothic UI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23C68" w:rsidRDefault="00D23C68" w:rsidP="00657B55">
      <w:pPr>
        <w:spacing w:after="0" w:line="240" w:lineRule="auto"/>
      </w:pPr>
      <w:r>
        <w:separator/>
      </w:r>
    </w:p>
  </w:footnote>
  <w:footnote w:type="continuationSeparator" w:id="0">
    <w:p w:rsidR="00D23C68" w:rsidRDefault="00D23C68" w:rsidP="00657B55">
      <w:pPr>
        <w:spacing w:after="0" w:line="240" w:lineRule="auto"/>
      </w:pPr>
      <w:r>
        <w:continuationSeparator/>
      </w:r>
    </w:p>
  </w:footnote>
  <w:footnote w:id="1">
    <w:p w:rsidR="00657B55" w:rsidRPr="00657B55" w:rsidRDefault="00657B55" w:rsidP="00657B55">
      <w:pPr>
        <w:pStyle w:val="a3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Style w:val="a5"/>
        </w:rPr>
        <w:footnoteRef/>
      </w:r>
      <w:r>
        <w:t xml:space="preserve"> </w:t>
      </w:r>
      <w:bookmarkStart w:id="0" w:name="_GoBack"/>
      <w:bookmarkEnd w:id="0"/>
      <w:r w:rsidRPr="00657B55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Pr="00657B55">
        <w:rPr>
          <w:rFonts w:ascii="Times New Roman" w:eastAsia="MS Mincho" w:hAnsi="Times New Roman" w:cs="Times New Roman"/>
          <w:sz w:val="28"/>
          <w:szCs w:val="28"/>
          <w:lang w:eastAsia="ru-RU"/>
        </w:rPr>
        <w:t xml:space="preserve">омітет розглянув проект Закону на своєму засіданні </w:t>
      </w:r>
      <w:r w:rsidRPr="00657B55">
        <w:rPr>
          <w:rFonts w:ascii="Times New Roman" w:eastAsia="MS Mincho" w:hAnsi="Times New Roman" w:cs="Times New Roman"/>
          <w:sz w:val="28"/>
          <w:szCs w:val="28"/>
          <w:lang w:val="ru-RU" w:eastAsia="ru-RU"/>
        </w:rPr>
        <w:t>23</w:t>
      </w:r>
      <w:r w:rsidRPr="00657B55">
        <w:rPr>
          <w:rFonts w:ascii="Times New Roman" w:eastAsia="MS Mincho" w:hAnsi="Times New Roman" w:cs="Times New Roman"/>
          <w:sz w:val="28"/>
          <w:szCs w:val="28"/>
          <w:lang w:eastAsia="ru-RU"/>
        </w:rPr>
        <w:t xml:space="preserve"> грудня 2020 року (протокол № 5</w:t>
      </w:r>
      <w:r w:rsidRPr="00657B55">
        <w:rPr>
          <w:rFonts w:ascii="Times New Roman" w:eastAsia="MS Mincho" w:hAnsi="Times New Roman" w:cs="Times New Roman"/>
          <w:sz w:val="28"/>
          <w:szCs w:val="28"/>
          <w:lang w:val="ru-RU" w:eastAsia="ru-RU"/>
        </w:rPr>
        <w:t>8</w:t>
      </w:r>
      <w:r w:rsidRPr="00657B55">
        <w:rPr>
          <w:rFonts w:ascii="Times New Roman" w:eastAsia="MS Mincho" w:hAnsi="Times New Roman" w:cs="Times New Roman"/>
          <w:sz w:val="28"/>
          <w:szCs w:val="28"/>
          <w:lang w:eastAsia="ru-RU"/>
        </w:rPr>
        <w:t>) в</w:t>
      </w:r>
      <w:r w:rsidRPr="00657B55">
        <w:rPr>
          <w:rFonts w:ascii="Times New Roman" w:eastAsia="Times New Roman" w:hAnsi="Times New Roman" w:cs="Times New Roman"/>
          <w:sz w:val="28"/>
          <w:szCs w:val="28"/>
          <w:lang w:eastAsia="ru-RU"/>
        </w:rPr>
        <w:t>ідповідно до статті 93 Регламенту Верховної Ради України</w:t>
      </w:r>
      <w:r w:rsidRPr="00657B55">
        <w:rPr>
          <w:rFonts w:ascii="Times New Roman" w:eastAsia="MS Mincho" w:hAnsi="Times New Roman" w:cs="Times New Roman"/>
          <w:sz w:val="28"/>
          <w:szCs w:val="28"/>
          <w:lang w:eastAsia="ru-RU"/>
        </w:rPr>
        <w:t>.</w:t>
      </w:r>
    </w:p>
    <w:p w:rsidR="00657B55" w:rsidRPr="00657B55" w:rsidRDefault="00657B55" w:rsidP="00657B55">
      <w:pPr>
        <w:spacing w:after="0" w:line="240" w:lineRule="auto"/>
        <w:rPr>
          <w:sz w:val="20"/>
          <w:szCs w:val="20"/>
        </w:rPr>
      </w:pPr>
    </w:p>
    <w:p w:rsidR="00657B55" w:rsidRPr="00657B55" w:rsidRDefault="00657B55">
      <w:pPr>
        <w:pStyle w:val="a3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5392963"/>
    <w:multiLevelType w:val="hybridMultilevel"/>
    <w:tmpl w:val="42DA31FE"/>
    <w:lvl w:ilvl="0" w:tplc="900A568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</w:rPr>
    </w:lvl>
    <w:lvl w:ilvl="1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/>
        <w:i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3511"/>
    <w:rsid w:val="00065364"/>
    <w:rsid w:val="00156303"/>
    <w:rsid w:val="00227CAE"/>
    <w:rsid w:val="00274CA1"/>
    <w:rsid w:val="00657B55"/>
    <w:rsid w:val="00C53511"/>
    <w:rsid w:val="00D23C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77CF4F"/>
  <w15:chartTrackingRefBased/>
  <w15:docId w15:val="{B8C3CFE2-F59A-486C-9375-AA876D501D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27CA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657B55"/>
    <w:pPr>
      <w:spacing w:after="0" w:line="240" w:lineRule="auto"/>
    </w:pPr>
    <w:rPr>
      <w:sz w:val="20"/>
      <w:szCs w:val="20"/>
    </w:rPr>
  </w:style>
  <w:style w:type="character" w:customStyle="1" w:styleId="a4">
    <w:name w:val="Текст виноски Знак"/>
    <w:basedOn w:val="a0"/>
    <w:link w:val="a3"/>
    <w:uiPriority w:val="99"/>
    <w:semiHidden/>
    <w:rsid w:val="00657B55"/>
    <w:rPr>
      <w:sz w:val="20"/>
      <w:szCs w:val="20"/>
    </w:rPr>
  </w:style>
  <w:style w:type="character" w:styleId="a5">
    <w:name w:val="footnote reference"/>
    <w:basedOn w:val="a0"/>
    <w:uiPriority w:val="99"/>
    <w:semiHidden/>
    <w:unhideWhenUsed/>
    <w:rsid w:val="00657B5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ECD18C-E3AA-4D13-AE89-A2130B747E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4126</Words>
  <Characters>2353</Characters>
  <Application>Microsoft Office Word</Application>
  <DocSecurity>0</DocSecurity>
  <Lines>19</Lines>
  <Paragraphs>12</Paragraphs>
  <ScaleCrop>false</ScaleCrop>
  <Company/>
  <LinksUpToDate>false</LinksUpToDate>
  <CharactersWithSpaces>6467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Ференс Богдан Володимирович</dc:creator>
  <cp:keywords/>
  <dc:description/>
  <cp:lastModifiedBy>Ференс Богдан Володимирович</cp:lastModifiedBy>
  <cp:revision>6</cp:revision>
  <dcterms:created xsi:type="dcterms:W3CDTF">2020-12-21T18:59:00Z</dcterms:created>
  <dcterms:modified xsi:type="dcterms:W3CDTF">2020-12-23T15:45:00Z</dcterms:modified>
</cp:coreProperties>
</file>