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145" w:rsidRPr="004A7145" w:rsidRDefault="004A7145" w:rsidP="004A7145">
      <w:pPr>
        <w:tabs>
          <w:tab w:val="left" w:pos="284"/>
          <w:tab w:val="left" w:pos="709"/>
          <w:tab w:val="left" w:pos="7938"/>
        </w:tabs>
        <w:spacing w:after="0"/>
        <w:ind w:firstLine="709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4A7145">
        <w:rPr>
          <w:rFonts w:ascii="Times New Roman" w:hAnsi="Times New Roman"/>
          <w:color w:val="000000" w:themeColor="text1"/>
          <w:sz w:val="24"/>
          <w:szCs w:val="24"/>
        </w:rPr>
        <w:t>До реєстр. № 4333</w:t>
      </w:r>
    </w:p>
    <w:p w:rsidR="004A7145" w:rsidRPr="004A7145" w:rsidRDefault="004A7145" w:rsidP="004A7145">
      <w:pPr>
        <w:tabs>
          <w:tab w:val="left" w:pos="284"/>
          <w:tab w:val="left" w:pos="709"/>
          <w:tab w:val="left" w:pos="7938"/>
        </w:tabs>
        <w:spacing w:after="0"/>
        <w:ind w:firstLine="709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4A7145">
        <w:rPr>
          <w:rFonts w:ascii="Times New Roman" w:hAnsi="Times New Roman"/>
          <w:color w:val="000000" w:themeColor="text1"/>
          <w:sz w:val="24"/>
          <w:szCs w:val="24"/>
        </w:rPr>
        <w:t>(друге читання)</w:t>
      </w:r>
    </w:p>
    <w:p w:rsidR="00797533" w:rsidRDefault="00797533" w:rsidP="004A7145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4A7145" w:rsidRPr="000A0CBF" w:rsidRDefault="004A7145" w:rsidP="0079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0CBF">
        <w:rPr>
          <w:rFonts w:ascii="Times New Roman" w:hAnsi="Times New Roman"/>
          <w:b/>
          <w:sz w:val="28"/>
          <w:szCs w:val="28"/>
        </w:rPr>
        <w:t>ЗАУВАЖЕННЯ</w:t>
      </w:r>
    </w:p>
    <w:p w:rsidR="004A7145" w:rsidRPr="000A0CBF" w:rsidRDefault="004A7145" w:rsidP="0079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0CBF">
        <w:rPr>
          <w:rFonts w:ascii="Times New Roman" w:hAnsi="Times New Roman"/>
          <w:b/>
          <w:sz w:val="28"/>
          <w:szCs w:val="28"/>
        </w:rPr>
        <w:t>до проекту Закону України</w:t>
      </w:r>
    </w:p>
    <w:p w:rsidR="00797533" w:rsidRDefault="004A7145" w:rsidP="007975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0CBF">
        <w:rPr>
          <w:rFonts w:ascii="Times New Roman" w:hAnsi="Times New Roman"/>
          <w:b/>
          <w:sz w:val="28"/>
          <w:szCs w:val="28"/>
        </w:rPr>
        <w:t xml:space="preserve">«Про внесення змін до Кримінального кодексу України </w:t>
      </w:r>
    </w:p>
    <w:p w:rsidR="004A7145" w:rsidRPr="000A0CBF" w:rsidRDefault="004A7145" w:rsidP="0079753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0CBF">
        <w:rPr>
          <w:rFonts w:ascii="Times New Roman" w:hAnsi="Times New Roman"/>
          <w:b/>
          <w:sz w:val="28"/>
          <w:szCs w:val="28"/>
        </w:rPr>
        <w:t>щодо посилення відповідальності за незаконне виселення з житла</w:t>
      </w:r>
      <w:r w:rsidRPr="000A0CBF">
        <w:rPr>
          <w:rFonts w:ascii="Times New Roman" w:hAnsi="Times New Roman"/>
          <w:b/>
          <w:bCs/>
          <w:sz w:val="28"/>
          <w:szCs w:val="28"/>
        </w:rPr>
        <w:t>»</w:t>
      </w:r>
    </w:p>
    <w:p w:rsidR="004A7145" w:rsidRDefault="004A7145" w:rsidP="0079753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0CBF">
        <w:rPr>
          <w:rFonts w:ascii="Times New Roman" w:hAnsi="Times New Roman"/>
          <w:b/>
          <w:bCs/>
          <w:sz w:val="28"/>
          <w:szCs w:val="28"/>
        </w:rPr>
        <w:t>(реєстраційний № 4333)</w:t>
      </w:r>
    </w:p>
    <w:p w:rsidR="004A7145" w:rsidRPr="000A0CBF" w:rsidRDefault="004A7145" w:rsidP="004A7145">
      <w:pPr>
        <w:spacing w:after="0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A7145" w:rsidRPr="000A0CBF" w:rsidRDefault="004A7145" w:rsidP="004A7145">
      <w:pPr>
        <w:spacing w:after="0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0CBF">
        <w:rPr>
          <w:rFonts w:ascii="Times New Roman" w:hAnsi="Times New Roman"/>
          <w:bCs/>
          <w:sz w:val="28"/>
          <w:szCs w:val="28"/>
        </w:rPr>
        <w:t>У Головному юридичному управлінні проаналізовано проект Закону України «Про</w:t>
      </w:r>
      <w:r w:rsidRPr="000A0CBF">
        <w:rPr>
          <w:rFonts w:ascii="Times New Roman" w:hAnsi="Times New Roman"/>
          <w:b/>
          <w:sz w:val="28"/>
          <w:szCs w:val="28"/>
        </w:rPr>
        <w:t xml:space="preserve"> </w:t>
      </w:r>
      <w:r w:rsidRPr="000A0CBF">
        <w:rPr>
          <w:rFonts w:ascii="Times New Roman" w:hAnsi="Times New Roman"/>
          <w:sz w:val="28"/>
          <w:szCs w:val="28"/>
        </w:rPr>
        <w:t>внесення змін до Кримінального кодексу України щодо посилення відповідальності за незаконне виселення з житла</w:t>
      </w:r>
      <w:r w:rsidRPr="000A0CBF">
        <w:rPr>
          <w:rFonts w:ascii="Times New Roman" w:hAnsi="Times New Roman"/>
          <w:bCs/>
          <w:sz w:val="28"/>
          <w:szCs w:val="28"/>
        </w:rPr>
        <w:t>», підготовлений Комітетом з питань правоохоронної діяльності для розгляду Верховною Радою України в другому читанні.</w:t>
      </w:r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A0C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Як зазначено в пояснювальній записці, метою цього законопроекту є </w:t>
      </w:r>
      <w:r w:rsidRPr="000A0CB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удосконалення кримінального законодавства у сфері протидії незаконному виселенню з житла.</w:t>
      </w:r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A0C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 зв’язку з цим пропонується викласти в новій редакції частину першу статті 162 «Порушення недоторканності житла» Кримінального кодексу України та </w:t>
      </w:r>
      <w:r w:rsidRPr="000A0CB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uk-UA"/>
        </w:rPr>
        <w:t xml:space="preserve">доповнити її новими частинами третьою і четвертою, посиливши кримінальну відповідальність за </w:t>
      </w:r>
      <w:r w:rsidRPr="000A0CB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незаконне виселення із житла та незаконне вселення у житло, вчинення </w:t>
      </w:r>
      <w:r w:rsidRPr="000A0C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таких дій службовою особою з використанням свого службового становища або за попередньою змовою групою осіб чи поєднані з насильством, обманом чи погрозами. </w:t>
      </w:r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A0CBF">
        <w:rPr>
          <w:rFonts w:ascii="Times New Roman" w:hAnsi="Times New Roman"/>
          <w:color w:val="000000" w:themeColor="text1"/>
          <w:sz w:val="28"/>
          <w:szCs w:val="28"/>
        </w:rPr>
        <w:t>За результатами аналізу тексту законопроекту вважаємо за необхідне зазначити таке</w:t>
      </w:r>
      <w:r w:rsidRPr="000A0C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0C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1. Законопроектом пропонується виокремити деякі ознаки об’єктивної сторони складу кримінального правопорушення, а саме</w:t>
      </w:r>
      <w:r w:rsidR="00797533" w:rsidRPr="00797533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 xml:space="preserve"> -</w:t>
      </w:r>
      <w:r w:rsidRPr="000A0C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незаконне виселення із житла та незаконне вселення у житло, як кваліфікований та особливо кваліфікований склади порушення недоторканності житла  (частини третя </w:t>
      </w:r>
      <w:r w:rsidR="0079753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і</w:t>
      </w:r>
      <w:r w:rsidRPr="000A0C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четверта статті 162 Кримінального кодексу України в редакції проекту), що натепер охоплюються ознаками об’єктивної сторони складу кримінального правопорушення, передбаченого чинною частиною першою статті 162 цього Кодексу. </w:t>
      </w:r>
      <w:r w:rsidRPr="000A0CBF">
        <w:rPr>
          <w:rFonts w:ascii="Times New Roman" w:hAnsi="Times New Roman"/>
          <w:sz w:val="28"/>
          <w:szCs w:val="28"/>
        </w:rPr>
        <w:t>Проте, на нашу думку, посилення кримінальної відповідальності за незаконне виселення із житла та вселення у житло можна було б вирішити не шляхом виділення цих діянь в окремі склади кримінального правопорушення  (частина третя статті 162 Кримінального кодексу України в редакції проекту) та дублювання у частині четвертій цієї ж статті таких кваліфікуючих ознак</w:t>
      </w:r>
      <w:r w:rsidR="00797533">
        <w:rPr>
          <w:rFonts w:ascii="Times New Roman" w:hAnsi="Times New Roman"/>
          <w:sz w:val="28"/>
          <w:szCs w:val="28"/>
        </w:rPr>
        <w:t>,</w:t>
      </w:r>
      <w:r w:rsidRPr="000A0CBF">
        <w:rPr>
          <w:rFonts w:ascii="Times New Roman" w:hAnsi="Times New Roman"/>
          <w:sz w:val="28"/>
          <w:szCs w:val="28"/>
        </w:rPr>
        <w:t xml:space="preserve"> як вчинення відповідного діяння</w:t>
      </w:r>
      <w:r w:rsidRPr="000A0C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службовою особою або із застосуванням насильства чи з погрозою його застосування</w:t>
      </w:r>
      <w:r w:rsidRPr="000A0CBF">
        <w:rPr>
          <w:rFonts w:ascii="Times New Roman" w:hAnsi="Times New Roman"/>
          <w:sz w:val="28"/>
          <w:szCs w:val="28"/>
        </w:rPr>
        <w:t>, що містяться у чинній нормі частини другої статті 162 Кримінального кодексу України, а шляхом підвищення розміру штрафів або встановлення інших видів альтернативних покарань у санкції частини першої цієї статті. Водночас щодо такої кваліфікуючої ознаки</w:t>
      </w:r>
      <w:r w:rsidR="00797533">
        <w:rPr>
          <w:rFonts w:ascii="Times New Roman" w:hAnsi="Times New Roman"/>
          <w:sz w:val="28"/>
          <w:szCs w:val="28"/>
        </w:rPr>
        <w:t>,</w:t>
      </w:r>
      <w:r w:rsidRPr="000A0CBF">
        <w:rPr>
          <w:rFonts w:ascii="Times New Roman" w:hAnsi="Times New Roman"/>
          <w:sz w:val="28"/>
          <w:szCs w:val="28"/>
        </w:rPr>
        <w:t xml:space="preserve"> як вчинення відповідних дій за попередньою змовою групою осіб (частина четверта статті 162 Кримінального кодексу України в редакції проекту)</w:t>
      </w:r>
      <w:r w:rsidR="00797533">
        <w:rPr>
          <w:rFonts w:ascii="Times New Roman" w:hAnsi="Times New Roman"/>
          <w:sz w:val="28"/>
          <w:szCs w:val="28"/>
        </w:rPr>
        <w:t>, то</w:t>
      </w:r>
      <w:r w:rsidRPr="000A0CBF">
        <w:rPr>
          <w:rFonts w:ascii="Times New Roman" w:hAnsi="Times New Roman"/>
          <w:sz w:val="28"/>
          <w:szCs w:val="28"/>
        </w:rPr>
        <w:t xml:space="preserve"> слід зазначити, що порушення недоторканності житла за наявності такої обтяжуючої обставини</w:t>
      </w:r>
      <w:r w:rsidR="00797533">
        <w:rPr>
          <w:rFonts w:ascii="Times New Roman" w:hAnsi="Times New Roman"/>
          <w:sz w:val="28"/>
          <w:szCs w:val="28"/>
        </w:rPr>
        <w:t>,</w:t>
      </w:r>
      <w:r w:rsidRPr="000A0CBF">
        <w:rPr>
          <w:rFonts w:ascii="Times New Roman" w:hAnsi="Times New Roman"/>
          <w:sz w:val="28"/>
          <w:szCs w:val="28"/>
        </w:rPr>
        <w:t xml:space="preserve"> як вчинення за попередньою змовою групою осіб, з огляду на пункт 2 частини першої статті 67 Кримінального кодексу України  й так має враховуватися судом при призначенні винній особі покарання. </w:t>
      </w:r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0C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2. </w:t>
      </w:r>
      <w:r w:rsidR="00797533">
        <w:rPr>
          <w:rFonts w:ascii="Times New Roman" w:hAnsi="Times New Roman"/>
          <w:sz w:val="28"/>
          <w:szCs w:val="28"/>
        </w:rPr>
        <w:t>З</w:t>
      </w:r>
      <w:r w:rsidRPr="000A0CBF">
        <w:rPr>
          <w:rFonts w:ascii="Times New Roman" w:hAnsi="Times New Roman"/>
          <w:sz w:val="28"/>
          <w:szCs w:val="28"/>
        </w:rPr>
        <w:t xml:space="preserve">апропоновані у новій частині третій статті 162 Кримінального кодексу України розміри штрафів за незаконне виселення з житла або незаконне вселення у житло значно вищі порівняно з чинною редакцією частини першої цієї ж статті, якою такі дії вже визнаються кримінально караними діяннями, оскільки вони є однією з форм порушення недоторканості житла. Крім того, також пропонується встановити покарання у виді позбавлення волі, тоді як згідно з чинною редакцією статті 162 Кримінального кодексу за вчинення таких дій без кваліфікуючих ознак не передбачено покарання у виді позбавлення волі. </w:t>
      </w:r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0C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 пояснювальній записці до законопроекту пропозиція щодо посилення кримінальної відповідальності за незаконне виселення з житла обґрунтовується необхідністю підвищити ефективність правових механізмів протидії таким суспільно небезпечним діянням</w:t>
      </w:r>
      <w:r w:rsidRPr="000A0CB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0A0CBF">
        <w:rPr>
          <w:rFonts w:ascii="Times New Roman" w:hAnsi="Times New Roman"/>
          <w:color w:val="000000" w:themeColor="text1"/>
          <w:sz w:val="28"/>
          <w:szCs w:val="28"/>
        </w:rPr>
        <w:t xml:space="preserve">Крім того, доцільність </w:t>
      </w:r>
      <w:r w:rsidRPr="000A0C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посилення кримінальної відповідальності за незаконне виселення із житла пояснюється збільшенням кількості випадків реєстрації кримінальних правопорушень щодо незаконного порушення </w:t>
      </w:r>
      <w:r w:rsidRPr="000A0CBF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797533">
        <w:rPr>
          <w:rFonts w:ascii="Times New Roman" w:hAnsi="Times New Roman"/>
          <w:color w:val="000000" w:themeColor="text1"/>
          <w:sz w:val="28"/>
          <w:szCs w:val="28"/>
        </w:rPr>
        <w:t>едоторканності житла. При цьому</w:t>
      </w:r>
      <w:r w:rsidRPr="000A0CBF">
        <w:rPr>
          <w:rFonts w:ascii="Times New Roman" w:hAnsi="Times New Roman"/>
          <w:color w:val="000000" w:themeColor="text1"/>
          <w:sz w:val="28"/>
          <w:szCs w:val="28"/>
        </w:rPr>
        <w:t xml:space="preserve"> наведені статистичні дані зареєстрованих кримінальних правопорушень за частиною першою статті 162 Кримінального кодексу України не дають можливості з’ясувати, якою є динаміка вчинення суспільно </w:t>
      </w:r>
      <w:r w:rsidRPr="000A0CB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небезпечних діянь саме у вигляді </w:t>
      </w:r>
      <w:r w:rsidRPr="000A0CB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незаконного виселення з житла та чи свідчить збільшення фактів їх вчинення про </w:t>
      </w:r>
      <w:r w:rsidRPr="000A0CBF">
        <w:rPr>
          <w:rFonts w:ascii="Times New Roman" w:hAnsi="Times New Roman"/>
          <w:sz w:val="28"/>
          <w:szCs w:val="28"/>
        </w:rPr>
        <w:t xml:space="preserve">неефективність або недостатню ефективність чинної редакції відповідної статті Кодексу. Відтак, погоджуємося з </w:t>
      </w:r>
      <w:r w:rsidRPr="000A0CBF">
        <w:rPr>
          <w:rFonts w:ascii="Times New Roman" w:hAnsi="Times New Roman"/>
          <w:color w:val="000000" w:themeColor="text1"/>
          <w:sz w:val="28"/>
          <w:szCs w:val="28"/>
        </w:rPr>
        <w:t>позицією Головного науково-експертного управління про те, що</w:t>
      </w:r>
      <w:r w:rsidRPr="000A0CBF">
        <w:rPr>
          <w:rFonts w:ascii="Times New Roman" w:hAnsi="Times New Roman"/>
          <w:sz w:val="28"/>
          <w:szCs w:val="28"/>
        </w:rPr>
        <w:t xml:space="preserve"> «законопроект, метою якого є посилення кримінальної відповідальності, зокрема, встановлення більш жорстких санкцій, повинен мати серйозне наукове обґрунтування і бути результатом ґрунтовного аналізу практики застосування відповідної статті Кримінального кодексу України. Законопроект, зміст якого полягає у суттєвому збільшенні розмірів покарання у виді штрафу та запровадженні альтернативного основного покарання у виді позбавлення волі, має супроводжуватись статистичними даними та прикладами із практики, які би свідчили про наявність проблем в її застосуванні у зв’язку з м’якістю покарання, наявність випадків, коли вказані суспільно небезпечні діяння залишались безкарними внаслідок недосконалості кримінального закону. Проте обґрунтування такого роду у доданих до законопроекту документах відсутнє».</w:t>
      </w:r>
    </w:p>
    <w:p w:rsidR="004A7145" w:rsidRDefault="004A7145" w:rsidP="007975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0CBF">
        <w:rPr>
          <w:rFonts w:ascii="Times New Roman" w:hAnsi="Times New Roman"/>
          <w:sz w:val="28"/>
          <w:szCs w:val="28"/>
        </w:rPr>
        <w:t xml:space="preserve">Разом з тим, при вирішенні питання щодо посилення санкцій у Кримінальному кодексі України, на наш погляд, необхідно враховувати правову позицію Конституційного Суду України (Рішення від 2 листопада 2004 року  № 15-рп/2004), який зазначив, що «однією з основних засад права є справедливість, окремим виявом якої є питання відповідності покарання вчиненому злочину; категорія справедливості передбачає, що покарання за злочин повинно бути домірним злочину. Це означає не тільки те, що передбачений законом склад злочину та рамки покарання відповідатимуть один одному, а й те, що покарання має перебувати у справедливому співвідношенні із тяжкістю та обставинами скоєного і особою винного. Адекватність покарання ступеню тяжкості злочину випливає з принципу правової держави, із суті конституційних прав та свобод людини і громадянина». </w:t>
      </w:r>
    </w:p>
    <w:p w:rsidR="00797533" w:rsidRPr="000A0CBF" w:rsidRDefault="00797533" w:rsidP="007975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7145" w:rsidRDefault="004A7145" w:rsidP="007975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0CBF">
        <w:rPr>
          <w:rFonts w:ascii="Times New Roman" w:hAnsi="Times New Roman"/>
          <w:sz w:val="28"/>
          <w:szCs w:val="28"/>
        </w:rPr>
        <w:t>3. Щодо визначення у диспозиції частини четвертої статті 162 Кримінального кодексу України (в редакції законопроекту) такої кваліфікуючої ознаки</w:t>
      </w:r>
      <w:r w:rsidR="00797533">
        <w:rPr>
          <w:rFonts w:ascii="Times New Roman" w:hAnsi="Times New Roman"/>
          <w:sz w:val="28"/>
          <w:szCs w:val="28"/>
        </w:rPr>
        <w:t>, як «поєдна</w:t>
      </w:r>
      <w:r w:rsidRPr="000A0CBF">
        <w:rPr>
          <w:rFonts w:ascii="Times New Roman" w:hAnsi="Times New Roman"/>
          <w:sz w:val="28"/>
          <w:szCs w:val="28"/>
        </w:rPr>
        <w:t>ні з погрозами», то слід зазначити, що, на нашу думку, редакція, запропонована на перше читання, в цій частині більш відповідає принципу правової визначеності.</w:t>
      </w:r>
    </w:p>
    <w:p w:rsidR="00797533" w:rsidRPr="000A0CBF" w:rsidRDefault="00797533" w:rsidP="007975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0CBF">
        <w:rPr>
          <w:rFonts w:ascii="Times New Roman" w:hAnsi="Times New Roman"/>
          <w:sz w:val="28"/>
          <w:szCs w:val="28"/>
        </w:rPr>
        <w:t xml:space="preserve">4. Пунктом 2 проекту передбачено, що Закон «набирає чинності з дня, наступного за днем його опублікування». Однак з огляду на те, що проектом посилюється відповідальність за незаконне виселення з житла або незаконне вселення в житло, </w:t>
      </w:r>
      <w:r w:rsidR="008552D8">
        <w:rPr>
          <w:rFonts w:ascii="Times New Roman" w:hAnsi="Times New Roman"/>
          <w:sz w:val="28"/>
          <w:szCs w:val="28"/>
        </w:rPr>
        <w:t>такі</w:t>
      </w:r>
      <w:r w:rsidRPr="000A0CBF">
        <w:rPr>
          <w:rFonts w:ascii="Times New Roman" w:hAnsi="Times New Roman"/>
          <w:sz w:val="28"/>
          <w:szCs w:val="28"/>
        </w:rPr>
        <w:t xml:space="preserve"> дії держави щодо посилення відповідальності мають бути передбачуваними та прогнозованими. Відтак, положення пункту 2 проекту щодо набрання чинності</w:t>
      </w:r>
      <w:r w:rsidR="003C1687">
        <w:rPr>
          <w:rFonts w:ascii="Times New Roman" w:hAnsi="Times New Roman"/>
          <w:sz w:val="28"/>
          <w:szCs w:val="28"/>
        </w:rPr>
        <w:t xml:space="preserve"> з</w:t>
      </w:r>
      <w:r w:rsidRPr="000A0CBF">
        <w:rPr>
          <w:rFonts w:ascii="Times New Roman" w:hAnsi="Times New Roman"/>
          <w:sz w:val="28"/>
          <w:szCs w:val="28"/>
        </w:rPr>
        <w:t>акону з дня, наступного за днем його опублікування, не відповідає вимогам прогнозованості і передбачуваності держави як елементам принципу верховенства права (стаття 8 Конституції України).</w:t>
      </w:r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0CBF">
        <w:rPr>
          <w:rFonts w:ascii="Times New Roman" w:hAnsi="Times New Roman"/>
          <w:sz w:val="28"/>
          <w:szCs w:val="28"/>
        </w:rPr>
        <w:t>Узагальнюючий висновок: законопроект може бути прийнятий у другому читанні з урахуванням зауважень Головного юридичного управління.</w:t>
      </w:r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7145" w:rsidRPr="000A0CBF" w:rsidRDefault="004A7145" w:rsidP="0079753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A7145" w:rsidRPr="000A0CBF" w:rsidRDefault="004A7145" w:rsidP="007975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CBF">
        <w:rPr>
          <w:rFonts w:ascii="Times New Roman" w:hAnsi="Times New Roman"/>
          <w:sz w:val="28"/>
          <w:szCs w:val="28"/>
        </w:rPr>
        <w:t xml:space="preserve">Заступник керівника </w:t>
      </w:r>
    </w:p>
    <w:p w:rsidR="008D2A00" w:rsidRPr="00646453" w:rsidRDefault="004A7145" w:rsidP="0079753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CBF">
        <w:rPr>
          <w:rFonts w:ascii="Times New Roman" w:hAnsi="Times New Roman"/>
          <w:sz w:val="28"/>
          <w:szCs w:val="28"/>
        </w:rPr>
        <w:t>Головного управління                                                                    С. МІШУРА</w:t>
      </w:r>
      <w:r w:rsidR="00B7213D" w:rsidRPr="00646453">
        <w:rPr>
          <w:rFonts w:ascii="Times New Roman" w:hAnsi="Times New Roman"/>
          <w:b/>
          <w:sz w:val="24"/>
          <w:szCs w:val="24"/>
        </w:rPr>
        <w:t xml:space="preserve">      </w:t>
      </w:r>
    </w:p>
    <w:sectPr w:rsidR="008D2A00" w:rsidRPr="00646453" w:rsidSect="00634A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5C7" w:rsidRDefault="00FB05C7" w:rsidP="005E306B">
      <w:pPr>
        <w:spacing w:after="0" w:line="240" w:lineRule="auto"/>
      </w:pPr>
      <w:r>
        <w:separator/>
      </w:r>
    </w:p>
  </w:endnote>
  <w:endnote w:type="continuationSeparator" w:id="0">
    <w:p w:rsidR="00FB05C7" w:rsidRDefault="00FB05C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F0B" w:rsidRDefault="000F7F0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1752005"/>
      <w:docPartObj>
        <w:docPartGallery w:val="Page Numbers (Bottom of Page)"/>
        <w:docPartUnique/>
      </w:docPartObj>
    </w:sdtPr>
    <w:sdtEndPr/>
    <w:sdtContent>
      <w:p w:rsidR="000F7F0B" w:rsidRDefault="000F7F0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7533">
          <w:rPr>
            <w:noProof/>
          </w:rPr>
          <w:t>3</w:t>
        </w:r>
        <w:r>
          <w:fldChar w:fldCharType="end"/>
        </w:r>
      </w:p>
    </w:sdtContent>
  </w:sdt>
  <w:p w:rsidR="000F7F0B" w:rsidRDefault="000F7F0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F0B" w:rsidRDefault="000F7F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5C7" w:rsidRDefault="00FB05C7" w:rsidP="005E306B">
      <w:pPr>
        <w:spacing w:after="0" w:line="240" w:lineRule="auto"/>
      </w:pPr>
      <w:r>
        <w:separator/>
      </w:r>
    </w:p>
  </w:footnote>
  <w:footnote w:type="continuationSeparator" w:id="0">
    <w:p w:rsidR="00FB05C7" w:rsidRDefault="00FB05C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F0B" w:rsidRDefault="000F7F0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BDE"/>
    <w:rsid w:val="00015E5A"/>
    <w:rsid w:val="000163C3"/>
    <w:rsid w:val="000571AA"/>
    <w:rsid w:val="000707A3"/>
    <w:rsid w:val="000B6CE8"/>
    <w:rsid w:val="000D6C58"/>
    <w:rsid w:val="000F1586"/>
    <w:rsid w:val="000F7F0B"/>
    <w:rsid w:val="00137CF0"/>
    <w:rsid w:val="00141617"/>
    <w:rsid w:val="00142338"/>
    <w:rsid w:val="0019108F"/>
    <w:rsid w:val="001966F0"/>
    <w:rsid w:val="001A7A9C"/>
    <w:rsid w:val="001C0C82"/>
    <w:rsid w:val="001D1645"/>
    <w:rsid w:val="001D2700"/>
    <w:rsid w:val="001D3C24"/>
    <w:rsid w:val="001D70F4"/>
    <w:rsid w:val="00235CD7"/>
    <w:rsid w:val="00271BD1"/>
    <w:rsid w:val="002A0E1F"/>
    <w:rsid w:val="002A5D4C"/>
    <w:rsid w:val="002B5FC1"/>
    <w:rsid w:val="002D0561"/>
    <w:rsid w:val="002E0A18"/>
    <w:rsid w:val="002E31BF"/>
    <w:rsid w:val="002E44DA"/>
    <w:rsid w:val="003143BE"/>
    <w:rsid w:val="00363747"/>
    <w:rsid w:val="003A405A"/>
    <w:rsid w:val="003C1687"/>
    <w:rsid w:val="003C5FA9"/>
    <w:rsid w:val="003D1CBA"/>
    <w:rsid w:val="003D365C"/>
    <w:rsid w:val="00427407"/>
    <w:rsid w:val="00451750"/>
    <w:rsid w:val="00452EE8"/>
    <w:rsid w:val="00491528"/>
    <w:rsid w:val="004A7145"/>
    <w:rsid w:val="004B473D"/>
    <w:rsid w:val="004C4718"/>
    <w:rsid w:val="004E4F5C"/>
    <w:rsid w:val="004F7B8A"/>
    <w:rsid w:val="0050620F"/>
    <w:rsid w:val="0055005A"/>
    <w:rsid w:val="0056352F"/>
    <w:rsid w:val="005A4728"/>
    <w:rsid w:val="005B71F5"/>
    <w:rsid w:val="005C688A"/>
    <w:rsid w:val="005E306B"/>
    <w:rsid w:val="005F20B5"/>
    <w:rsid w:val="006134B2"/>
    <w:rsid w:val="00626A3E"/>
    <w:rsid w:val="006312F4"/>
    <w:rsid w:val="00634A7D"/>
    <w:rsid w:val="00646453"/>
    <w:rsid w:val="0066623D"/>
    <w:rsid w:val="00685898"/>
    <w:rsid w:val="00696584"/>
    <w:rsid w:val="006A786C"/>
    <w:rsid w:val="006F10E8"/>
    <w:rsid w:val="00706710"/>
    <w:rsid w:val="00713E93"/>
    <w:rsid w:val="0072592B"/>
    <w:rsid w:val="0073224C"/>
    <w:rsid w:val="007473F5"/>
    <w:rsid w:val="00784FD9"/>
    <w:rsid w:val="00797533"/>
    <w:rsid w:val="007B29B3"/>
    <w:rsid w:val="007D7714"/>
    <w:rsid w:val="007E2A5D"/>
    <w:rsid w:val="007F5D91"/>
    <w:rsid w:val="0080545D"/>
    <w:rsid w:val="008552D8"/>
    <w:rsid w:val="008632FC"/>
    <w:rsid w:val="008864E0"/>
    <w:rsid w:val="008D2A00"/>
    <w:rsid w:val="008D2FA6"/>
    <w:rsid w:val="008E12AB"/>
    <w:rsid w:val="0091619C"/>
    <w:rsid w:val="009363B9"/>
    <w:rsid w:val="00945B68"/>
    <w:rsid w:val="00957D31"/>
    <w:rsid w:val="00961CF7"/>
    <w:rsid w:val="009A65DF"/>
    <w:rsid w:val="009A720A"/>
    <w:rsid w:val="009D3F3C"/>
    <w:rsid w:val="009E0F75"/>
    <w:rsid w:val="009F05AF"/>
    <w:rsid w:val="00A00059"/>
    <w:rsid w:val="00A368C6"/>
    <w:rsid w:val="00A75F11"/>
    <w:rsid w:val="00A777A3"/>
    <w:rsid w:val="00A833C8"/>
    <w:rsid w:val="00AA1404"/>
    <w:rsid w:val="00AD7F82"/>
    <w:rsid w:val="00AF274F"/>
    <w:rsid w:val="00B17873"/>
    <w:rsid w:val="00B37A3F"/>
    <w:rsid w:val="00B538DB"/>
    <w:rsid w:val="00B6696C"/>
    <w:rsid w:val="00B7213D"/>
    <w:rsid w:val="00B91E58"/>
    <w:rsid w:val="00B96F7B"/>
    <w:rsid w:val="00BD0801"/>
    <w:rsid w:val="00BF1E95"/>
    <w:rsid w:val="00C07D69"/>
    <w:rsid w:val="00C11FB6"/>
    <w:rsid w:val="00C27AE9"/>
    <w:rsid w:val="00C414D7"/>
    <w:rsid w:val="00C47E9F"/>
    <w:rsid w:val="00CB41D6"/>
    <w:rsid w:val="00CB5481"/>
    <w:rsid w:val="00CC39A1"/>
    <w:rsid w:val="00CD4A38"/>
    <w:rsid w:val="00CE3E1B"/>
    <w:rsid w:val="00CE418D"/>
    <w:rsid w:val="00CE6A4B"/>
    <w:rsid w:val="00D03ADA"/>
    <w:rsid w:val="00D242C2"/>
    <w:rsid w:val="00D26766"/>
    <w:rsid w:val="00D57E1B"/>
    <w:rsid w:val="00D925CF"/>
    <w:rsid w:val="00DC070E"/>
    <w:rsid w:val="00DD6C75"/>
    <w:rsid w:val="00DF7CA2"/>
    <w:rsid w:val="00E44C5A"/>
    <w:rsid w:val="00E50354"/>
    <w:rsid w:val="00EF58B0"/>
    <w:rsid w:val="00F01A33"/>
    <w:rsid w:val="00F44513"/>
    <w:rsid w:val="00F50010"/>
    <w:rsid w:val="00F55423"/>
    <w:rsid w:val="00F55DC4"/>
    <w:rsid w:val="00F91DD3"/>
    <w:rsid w:val="00FB05C7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9A0634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customStyle="1" w:styleId="af3">
    <w:name w:val="Нормальний текст"/>
    <w:basedOn w:val="a"/>
    <w:uiPriority w:val="99"/>
    <w:rsid w:val="00B7213D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rvts0">
    <w:name w:val="rvts0"/>
    <w:basedOn w:val="a0"/>
    <w:rsid w:val="00B7213D"/>
  </w:style>
  <w:style w:type="character" w:customStyle="1" w:styleId="rvts9">
    <w:name w:val="rvts9"/>
    <w:basedOn w:val="a0"/>
    <w:rsid w:val="00B7213D"/>
  </w:style>
  <w:style w:type="paragraph" w:styleId="af4">
    <w:name w:val="No Spacing"/>
    <w:uiPriority w:val="1"/>
    <w:qFormat/>
    <w:rsid w:val="00CE418D"/>
    <w:rPr>
      <w:rFonts w:ascii="Times New Roman" w:eastAsiaTheme="minorHAnsi" w:hAnsi="Times New Roman" w:cstheme="minorBidi"/>
      <w:sz w:val="28"/>
      <w:lang w:val="ru-RU"/>
    </w:rPr>
  </w:style>
  <w:style w:type="character" w:customStyle="1" w:styleId="st42">
    <w:name w:val="st42"/>
    <w:uiPriority w:val="99"/>
    <w:rsid w:val="00CE418D"/>
    <w:rPr>
      <w:rFonts w:ascii="Times New Roman" w:hAnsi="Times New Roman" w:cs="Times New Roman"/>
      <w:color w:val="000000"/>
    </w:rPr>
  </w:style>
  <w:style w:type="paragraph" w:styleId="af5">
    <w:name w:val="List Paragraph"/>
    <w:basedOn w:val="a"/>
    <w:uiPriority w:val="34"/>
    <w:qFormat/>
    <w:rsid w:val="00C07D69"/>
    <w:pPr>
      <w:spacing w:after="200" w:line="276" w:lineRule="auto"/>
      <w:ind w:left="720"/>
      <w:contextualSpacing/>
    </w:pPr>
    <w:rPr>
      <w:rFonts w:asciiTheme="minorHAnsi" w:eastAsia="Times New Roman" w:hAnsiTheme="minorHAnsi"/>
      <w:lang w:val="ru-RU"/>
    </w:rPr>
  </w:style>
  <w:style w:type="character" w:customStyle="1" w:styleId="rvts23">
    <w:name w:val="rvts23"/>
    <w:basedOn w:val="a0"/>
    <w:rsid w:val="00C07D69"/>
  </w:style>
  <w:style w:type="paragraph" w:styleId="af6">
    <w:name w:val="Normal (Web)"/>
    <w:basedOn w:val="a"/>
    <w:uiPriority w:val="99"/>
    <w:rsid w:val="00C07D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1401F-DDA6-4BE8-AB07-839C67DB5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924</Words>
  <Characters>6319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Ленська Ірина Олексіївна</cp:lastModifiedBy>
  <cp:revision>3</cp:revision>
  <cp:lastPrinted>2021-01-27T10:31:00Z</cp:lastPrinted>
  <dcterms:created xsi:type="dcterms:W3CDTF">2021-07-06T14:39:00Z</dcterms:created>
  <dcterms:modified xsi:type="dcterms:W3CDTF">2021-07-06T16:38:00Z</dcterms:modified>
</cp:coreProperties>
</file>