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D61D9" w:rsidRPr="00FE44A9" w:rsidRDefault="00E704C0">
      <w:pPr>
        <w:pStyle w:val="a8"/>
        <w:rPr>
          <w:b/>
          <w:spacing w:val="-6"/>
        </w:rPr>
      </w:pPr>
      <w:bookmarkStart w:id="0" w:name="_GoBack"/>
      <w:bookmarkEnd w:id="0"/>
      <w:r w:rsidRPr="00FE44A9">
        <w:rPr>
          <w:b/>
          <w:spacing w:val="-6"/>
        </w:rPr>
        <w:t>П</w:t>
      </w:r>
      <w:r w:rsidR="000D61D9" w:rsidRPr="00FE44A9">
        <w:rPr>
          <w:b/>
          <w:spacing w:val="-6"/>
        </w:rPr>
        <w:t>ОЯСНЮВАЛЬНА ЗАПИСКА</w:t>
      </w:r>
    </w:p>
    <w:p w:rsidR="000D61D9" w:rsidRPr="00FE44A9" w:rsidRDefault="000D61D9">
      <w:pPr>
        <w:jc w:val="center"/>
        <w:rPr>
          <w:sz w:val="28"/>
        </w:rPr>
      </w:pPr>
      <w:r w:rsidRPr="00FE44A9">
        <w:rPr>
          <w:b/>
          <w:spacing w:val="-6"/>
          <w:sz w:val="28"/>
        </w:rPr>
        <w:t xml:space="preserve">до </w:t>
      </w:r>
      <w:r w:rsidR="007256F0" w:rsidRPr="00FE44A9">
        <w:rPr>
          <w:b/>
          <w:spacing w:val="-6"/>
          <w:sz w:val="28"/>
        </w:rPr>
        <w:t>проєкт</w:t>
      </w:r>
      <w:r w:rsidRPr="00FE44A9">
        <w:rPr>
          <w:b/>
          <w:spacing w:val="-6"/>
          <w:sz w:val="28"/>
        </w:rPr>
        <w:t xml:space="preserve">у Закону України </w:t>
      </w:r>
      <w:r w:rsidR="00A66591">
        <w:rPr>
          <w:b/>
          <w:spacing w:val="-6"/>
          <w:sz w:val="28"/>
        </w:rPr>
        <w:t>«</w:t>
      </w:r>
      <w:r w:rsidRPr="00FE44A9">
        <w:rPr>
          <w:rStyle w:val="rvts15"/>
          <w:b/>
          <w:bCs/>
          <w:sz w:val="28"/>
          <w:szCs w:val="28"/>
        </w:rPr>
        <w:t xml:space="preserve">Про внесення змін до деяких </w:t>
      </w:r>
      <w:r w:rsidRPr="00FE44A9">
        <w:rPr>
          <w:rStyle w:val="rvts15"/>
          <w:b/>
          <w:bCs/>
          <w:sz w:val="28"/>
          <w:szCs w:val="28"/>
        </w:rPr>
        <w:br/>
        <w:t>законодавчих актів України щодо об’єктів підвищеної небезпеки</w:t>
      </w:r>
      <w:r w:rsidR="00A66591">
        <w:rPr>
          <w:sz w:val="28"/>
          <w:szCs w:val="28"/>
        </w:rPr>
        <w:t>»</w:t>
      </w:r>
    </w:p>
    <w:p w:rsidR="00A66591" w:rsidRPr="005E3D7D" w:rsidRDefault="00A66591" w:rsidP="000C6E89">
      <w:pPr>
        <w:widowControl w:val="0"/>
        <w:tabs>
          <w:tab w:val="left" w:pos="1134"/>
        </w:tabs>
        <w:ind w:firstLine="680"/>
        <w:jc w:val="both"/>
        <w:rPr>
          <w:b/>
          <w:sz w:val="24"/>
          <w:szCs w:val="28"/>
          <w:shd w:val="clear" w:color="auto" w:fill="FFFFFF"/>
        </w:rPr>
      </w:pPr>
    </w:p>
    <w:p w:rsidR="00932F93" w:rsidRPr="00BB0FA0" w:rsidRDefault="00932F93" w:rsidP="000C6E89">
      <w:pPr>
        <w:widowControl w:val="0"/>
        <w:tabs>
          <w:tab w:val="left" w:pos="1134"/>
        </w:tabs>
        <w:ind w:firstLine="680"/>
        <w:jc w:val="both"/>
        <w:rPr>
          <w:rFonts w:eastAsia="Calibri"/>
          <w:b/>
          <w:sz w:val="28"/>
          <w:szCs w:val="26"/>
          <w:shd w:val="clear" w:color="auto" w:fill="FFFFFF"/>
        </w:rPr>
      </w:pPr>
      <w:r w:rsidRPr="00BB0FA0">
        <w:rPr>
          <w:b/>
          <w:sz w:val="28"/>
          <w:szCs w:val="26"/>
          <w:shd w:val="clear" w:color="auto" w:fill="FFFFFF"/>
        </w:rPr>
        <w:t>1. Резюме</w:t>
      </w:r>
    </w:p>
    <w:p w:rsidR="009A3C69" w:rsidRPr="005E3D7D" w:rsidRDefault="009A3C69" w:rsidP="000C6E89">
      <w:pPr>
        <w:ind w:firstLine="680"/>
        <w:jc w:val="both"/>
        <w:rPr>
          <w:rStyle w:val="rvts0"/>
          <w:sz w:val="24"/>
        </w:rPr>
      </w:pPr>
    </w:p>
    <w:p w:rsidR="009A3C69" w:rsidRPr="00BB0FA0" w:rsidRDefault="00A66591" w:rsidP="000C6E89">
      <w:pPr>
        <w:ind w:firstLine="680"/>
        <w:jc w:val="both"/>
        <w:rPr>
          <w:rStyle w:val="rvts0"/>
          <w:sz w:val="28"/>
        </w:rPr>
      </w:pPr>
      <w:r>
        <w:rPr>
          <w:sz w:val="28"/>
          <w:szCs w:val="28"/>
        </w:rPr>
        <w:t>Проєкт Закону України «</w:t>
      </w:r>
      <w:r w:rsidR="007256F0" w:rsidRPr="00BB0FA0">
        <w:rPr>
          <w:rStyle w:val="rvts15"/>
          <w:bCs/>
          <w:sz w:val="28"/>
          <w:szCs w:val="28"/>
        </w:rPr>
        <w:t>Про внесення змін до деяких законодавчих актів України щодо об’єктів підвищеної небезпеки</w:t>
      </w:r>
      <w:r>
        <w:rPr>
          <w:sz w:val="28"/>
          <w:szCs w:val="28"/>
        </w:rPr>
        <w:t>»</w:t>
      </w:r>
      <w:r w:rsidR="002B27D5">
        <w:rPr>
          <w:sz w:val="28"/>
          <w:szCs w:val="28"/>
        </w:rPr>
        <w:t xml:space="preserve"> розробила</w:t>
      </w:r>
      <w:r w:rsidR="007256F0" w:rsidRPr="00BB0FA0">
        <w:rPr>
          <w:sz w:val="28"/>
          <w:szCs w:val="28"/>
        </w:rPr>
        <w:t xml:space="preserve"> Державн</w:t>
      </w:r>
      <w:r w:rsidR="002B27D5">
        <w:rPr>
          <w:sz w:val="28"/>
          <w:szCs w:val="28"/>
        </w:rPr>
        <w:t>а</w:t>
      </w:r>
      <w:r w:rsidR="007256F0" w:rsidRPr="00BB0FA0">
        <w:rPr>
          <w:sz w:val="28"/>
          <w:szCs w:val="28"/>
        </w:rPr>
        <w:t xml:space="preserve"> служб</w:t>
      </w:r>
      <w:r w:rsidR="002B27D5">
        <w:rPr>
          <w:sz w:val="28"/>
          <w:szCs w:val="28"/>
        </w:rPr>
        <w:t>а</w:t>
      </w:r>
      <w:r w:rsidR="007256F0" w:rsidRPr="00BB0FA0">
        <w:rPr>
          <w:sz w:val="28"/>
          <w:szCs w:val="28"/>
        </w:rPr>
        <w:t xml:space="preserve"> України з надзвичайних ситуацій</w:t>
      </w:r>
      <w:r w:rsidR="007256F0" w:rsidRPr="00BB0FA0">
        <w:rPr>
          <w:rStyle w:val="rvts0"/>
          <w:sz w:val="28"/>
        </w:rPr>
        <w:t xml:space="preserve"> </w:t>
      </w:r>
      <w:r w:rsidR="000C6E89" w:rsidRPr="00BB0FA0">
        <w:rPr>
          <w:rStyle w:val="rvts0"/>
          <w:sz w:val="28"/>
        </w:rPr>
        <w:t>з м</w:t>
      </w:r>
      <w:r w:rsidR="009A3C69" w:rsidRPr="00BB0FA0">
        <w:rPr>
          <w:rStyle w:val="rvts0"/>
          <w:sz w:val="28"/>
        </w:rPr>
        <w:t>ет</w:t>
      </w:r>
      <w:r w:rsidR="000C6E89" w:rsidRPr="00BB0FA0">
        <w:rPr>
          <w:rStyle w:val="rvts0"/>
          <w:sz w:val="28"/>
        </w:rPr>
        <w:t>ою</w:t>
      </w:r>
      <w:r w:rsidR="009A3C69" w:rsidRPr="00BB0FA0">
        <w:rPr>
          <w:rStyle w:val="rvts0"/>
          <w:sz w:val="28"/>
        </w:rPr>
        <w:t xml:space="preserve"> </w:t>
      </w:r>
      <w:r w:rsidR="009A3C69" w:rsidRPr="00BB0FA0">
        <w:rPr>
          <w:sz w:val="28"/>
          <w:szCs w:val="28"/>
        </w:rPr>
        <w:t>гармонізаці</w:t>
      </w:r>
      <w:r w:rsidR="000C6E89" w:rsidRPr="00BB0FA0">
        <w:rPr>
          <w:sz w:val="28"/>
          <w:szCs w:val="28"/>
        </w:rPr>
        <w:t>ї</w:t>
      </w:r>
      <w:r w:rsidR="009A3C69" w:rsidRPr="00BB0FA0">
        <w:rPr>
          <w:sz w:val="28"/>
          <w:szCs w:val="28"/>
        </w:rPr>
        <w:t xml:space="preserve"> законодавства України із законодавством Європейського Союзу у сфері безпеки об’єктів підвищеної небезпеки.</w:t>
      </w:r>
    </w:p>
    <w:p w:rsidR="000C6E89" w:rsidRPr="005E3D7D" w:rsidRDefault="000C6E89" w:rsidP="000C6E89">
      <w:pPr>
        <w:widowControl w:val="0"/>
        <w:tabs>
          <w:tab w:val="left" w:pos="1134"/>
        </w:tabs>
        <w:ind w:firstLine="680"/>
        <w:jc w:val="both"/>
        <w:rPr>
          <w:b/>
          <w:sz w:val="24"/>
          <w:szCs w:val="26"/>
          <w:shd w:val="clear" w:color="auto" w:fill="FFFFFF"/>
        </w:rPr>
      </w:pPr>
    </w:p>
    <w:p w:rsidR="00932F93" w:rsidRPr="00BB0FA0" w:rsidRDefault="00932F93" w:rsidP="000C6E89">
      <w:pPr>
        <w:widowControl w:val="0"/>
        <w:tabs>
          <w:tab w:val="left" w:pos="1134"/>
        </w:tabs>
        <w:ind w:firstLine="680"/>
        <w:jc w:val="both"/>
        <w:rPr>
          <w:b/>
          <w:sz w:val="28"/>
          <w:szCs w:val="26"/>
          <w:shd w:val="clear" w:color="auto" w:fill="FFFFFF"/>
        </w:rPr>
      </w:pPr>
      <w:r w:rsidRPr="00BB0FA0">
        <w:rPr>
          <w:b/>
          <w:sz w:val="28"/>
          <w:szCs w:val="26"/>
          <w:shd w:val="clear" w:color="auto" w:fill="FFFFFF"/>
        </w:rPr>
        <w:t>2. Проблема, яка потребує розв’язання</w:t>
      </w:r>
    </w:p>
    <w:p w:rsidR="000C6E89" w:rsidRPr="00842455" w:rsidRDefault="000C6E89" w:rsidP="000C6E89">
      <w:pPr>
        <w:pStyle w:val="a9"/>
        <w:widowControl w:val="0"/>
        <w:spacing w:before="0"/>
        <w:ind w:firstLine="680"/>
        <w:jc w:val="both"/>
        <w:rPr>
          <w:rStyle w:val="st1"/>
          <w:sz w:val="24"/>
          <w:szCs w:val="24"/>
        </w:rPr>
      </w:pPr>
    </w:p>
    <w:p w:rsidR="009A3C69" w:rsidRPr="00BB0FA0" w:rsidRDefault="009A3C69" w:rsidP="000C6E89">
      <w:pPr>
        <w:pStyle w:val="a9"/>
        <w:widowControl w:val="0"/>
        <w:spacing w:before="0"/>
        <w:ind w:firstLine="680"/>
        <w:jc w:val="both"/>
        <w:rPr>
          <w:rStyle w:val="st1"/>
          <w:sz w:val="28"/>
          <w:szCs w:val="28"/>
        </w:rPr>
      </w:pPr>
      <w:r w:rsidRPr="00BB0FA0">
        <w:rPr>
          <w:rStyle w:val="st1"/>
          <w:sz w:val="28"/>
          <w:szCs w:val="28"/>
        </w:rPr>
        <w:t>Аналіз положень законодавства України у визначеній сфері свідчить</w:t>
      </w:r>
      <w:r w:rsidR="007256F0" w:rsidRPr="00BB0FA0">
        <w:rPr>
          <w:rStyle w:val="st1"/>
          <w:sz w:val="28"/>
          <w:szCs w:val="28"/>
        </w:rPr>
        <w:t xml:space="preserve">, що </w:t>
      </w:r>
      <w:r w:rsidRPr="00BB0FA0">
        <w:rPr>
          <w:rStyle w:val="st1"/>
          <w:sz w:val="28"/>
          <w:szCs w:val="28"/>
        </w:rPr>
        <w:t>вони відповідають вимогам Директиви 2012</w:t>
      </w:r>
      <w:r w:rsidR="00A66591">
        <w:rPr>
          <w:rStyle w:val="st1"/>
          <w:sz w:val="28"/>
          <w:szCs w:val="28"/>
        </w:rPr>
        <w:t>/18/ЄС (ступінь відповідності –</w:t>
      </w:r>
      <w:r w:rsidRPr="00BB0FA0">
        <w:rPr>
          <w:rStyle w:val="st1"/>
          <w:sz w:val="28"/>
          <w:szCs w:val="28"/>
        </w:rPr>
        <w:t>високий) та міжнародним стандартам, оскільки, почина</w:t>
      </w:r>
      <w:r w:rsidR="00A66591">
        <w:rPr>
          <w:rStyle w:val="st1"/>
          <w:sz w:val="28"/>
          <w:szCs w:val="28"/>
        </w:rPr>
        <w:t>ючи з 2001 року, Закон України «</w:t>
      </w:r>
      <w:r w:rsidRPr="00BB0FA0">
        <w:rPr>
          <w:rStyle w:val="st1"/>
          <w:sz w:val="28"/>
          <w:szCs w:val="28"/>
        </w:rPr>
        <w:t>П</w:t>
      </w:r>
      <w:r w:rsidR="00A66591">
        <w:rPr>
          <w:rStyle w:val="st1"/>
          <w:sz w:val="28"/>
          <w:szCs w:val="28"/>
        </w:rPr>
        <w:t>ро об’єкти підвищеної небезпеки»</w:t>
      </w:r>
      <w:r w:rsidRPr="00BB0FA0">
        <w:rPr>
          <w:rStyle w:val="st1"/>
          <w:sz w:val="28"/>
          <w:szCs w:val="28"/>
        </w:rPr>
        <w:t xml:space="preserve"> (далі – Закон про ОПН) розроблявся з урахуванням ви</w:t>
      </w:r>
      <w:r w:rsidR="00B30D6C">
        <w:rPr>
          <w:rStyle w:val="st1"/>
          <w:sz w:val="28"/>
          <w:szCs w:val="28"/>
        </w:rPr>
        <w:t>мог Директиви Ради 96/82/ЄС від 0</w:t>
      </w:r>
      <w:r w:rsidRPr="00BB0FA0">
        <w:rPr>
          <w:rStyle w:val="st1"/>
          <w:sz w:val="28"/>
          <w:szCs w:val="28"/>
        </w:rPr>
        <w:t>9 січня 1996 р</w:t>
      </w:r>
      <w:r w:rsidR="00A66591" w:rsidRPr="00A66591">
        <w:rPr>
          <w:rStyle w:val="st1"/>
          <w:sz w:val="28"/>
          <w:szCs w:val="28"/>
        </w:rPr>
        <w:t>оку</w:t>
      </w:r>
      <w:r w:rsidRPr="00BB0FA0">
        <w:rPr>
          <w:rStyle w:val="st1"/>
          <w:sz w:val="28"/>
          <w:szCs w:val="28"/>
        </w:rPr>
        <w:t xml:space="preserve"> і надалі до нього також вносилися відповідні зміни.</w:t>
      </w:r>
    </w:p>
    <w:p w:rsidR="009A3C69" w:rsidRPr="000D47C4" w:rsidRDefault="009A3C69" w:rsidP="00585601">
      <w:pPr>
        <w:ind w:firstLine="680"/>
        <w:jc w:val="both"/>
        <w:rPr>
          <w:rStyle w:val="st1"/>
          <w:sz w:val="28"/>
          <w:szCs w:val="28"/>
        </w:rPr>
      </w:pPr>
      <w:r w:rsidRPr="00BB0FA0">
        <w:rPr>
          <w:rStyle w:val="st1"/>
          <w:sz w:val="28"/>
          <w:szCs w:val="28"/>
        </w:rPr>
        <w:t xml:space="preserve">У зв’язку із внесенням Директивою 2012/18/ЄС </w:t>
      </w:r>
      <w:r w:rsidR="00585601" w:rsidRPr="00BB0FA0">
        <w:rPr>
          <w:sz w:val="28"/>
        </w:rPr>
        <w:t xml:space="preserve">Європейського Парламенту і Ради від </w:t>
      </w:r>
      <w:r w:rsidR="00B30D6C">
        <w:rPr>
          <w:sz w:val="28"/>
        </w:rPr>
        <w:t>0</w:t>
      </w:r>
      <w:r w:rsidR="00585601">
        <w:rPr>
          <w:sz w:val="28"/>
        </w:rPr>
        <w:t xml:space="preserve">4 </w:t>
      </w:r>
      <w:r w:rsidR="00585601" w:rsidRPr="00BB0FA0">
        <w:rPr>
          <w:sz w:val="28"/>
        </w:rPr>
        <w:t>липня 2012 року про контроль загроз виникнення значних аварій, пов’язаних із використанням небезпечних речовин</w:t>
      </w:r>
      <w:r w:rsidR="00585601" w:rsidRPr="00BB0FA0">
        <w:rPr>
          <w:rStyle w:val="st1"/>
          <w:sz w:val="28"/>
          <w:szCs w:val="28"/>
        </w:rPr>
        <w:t xml:space="preserve"> </w:t>
      </w:r>
      <w:r w:rsidR="00585601">
        <w:rPr>
          <w:rStyle w:val="st1"/>
          <w:sz w:val="28"/>
          <w:szCs w:val="28"/>
        </w:rPr>
        <w:t xml:space="preserve">(далі –Директива </w:t>
      </w:r>
      <w:r w:rsidRPr="00BB0FA0">
        <w:rPr>
          <w:rStyle w:val="st1"/>
          <w:sz w:val="28"/>
          <w:szCs w:val="28"/>
        </w:rPr>
        <w:t>Севезо ІІІ)</w:t>
      </w:r>
      <w:r w:rsidR="00F27763">
        <w:rPr>
          <w:rStyle w:val="st1"/>
          <w:sz w:val="28"/>
          <w:szCs w:val="28"/>
        </w:rPr>
        <w:t>,</w:t>
      </w:r>
      <w:r w:rsidRPr="00BB0FA0">
        <w:rPr>
          <w:rStyle w:val="st1"/>
          <w:sz w:val="28"/>
          <w:szCs w:val="28"/>
        </w:rPr>
        <w:t xml:space="preserve"> </w:t>
      </w:r>
      <w:r w:rsidR="00B30D6C">
        <w:rPr>
          <w:rStyle w:val="st1"/>
          <w:sz w:val="28"/>
          <w:szCs w:val="28"/>
        </w:rPr>
        <w:t>0</w:t>
      </w:r>
      <w:r w:rsidRPr="00BB0FA0">
        <w:rPr>
          <w:rStyle w:val="st1"/>
          <w:sz w:val="28"/>
          <w:szCs w:val="28"/>
        </w:rPr>
        <w:t>1 червня 2015 року змін до Директиви Ради 96/82/ЄС (Офіційний ві</w:t>
      </w:r>
      <w:r w:rsidR="00A66591">
        <w:rPr>
          <w:rStyle w:val="st1"/>
          <w:sz w:val="28"/>
          <w:szCs w:val="28"/>
        </w:rPr>
        <w:t>сник ЄС, L 197, 24 липня 2012 року</w:t>
      </w:r>
      <w:r w:rsidR="000D47C4">
        <w:rPr>
          <w:rStyle w:val="st1"/>
          <w:sz w:val="28"/>
          <w:szCs w:val="28"/>
        </w:rPr>
        <w:t xml:space="preserve">, с. </w:t>
      </w:r>
      <w:r w:rsidRPr="00BB0FA0">
        <w:rPr>
          <w:rStyle w:val="st1"/>
          <w:sz w:val="28"/>
          <w:szCs w:val="28"/>
        </w:rPr>
        <w:t>1</w:t>
      </w:r>
      <w:r w:rsidR="007256F0" w:rsidRPr="00BB0FA0">
        <w:rPr>
          <w:rStyle w:val="st1"/>
          <w:sz w:val="28"/>
          <w:szCs w:val="28"/>
        </w:rPr>
        <w:t xml:space="preserve"> – </w:t>
      </w:r>
      <w:r w:rsidRPr="00BB0FA0">
        <w:rPr>
          <w:rStyle w:val="st1"/>
          <w:sz w:val="28"/>
          <w:szCs w:val="28"/>
        </w:rPr>
        <w:t>37) та скасуванням її виникла потреба перегляд</w:t>
      </w:r>
      <w:r w:rsidR="002B27D5">
        <w:rPr>
          <w:rStyle w:val="st1"/>
          <w:sz w:val="28"/>
          <w:szCs w:val="28"/>
        </w:rPr>
        <w:t>у</w:t>
      </w:r>
      <w:r w:rsidRPr="00BB0FA0">
        <w:rPr>
          <w:rStyle w:val="st1"/>
          <w:sz w:val="28"/>
          <w:szCs w:val="28"/>
        </w:rPr>
        <w:t xml:space="preserve"> відповідних положень чинного законодавства </w:t>
      </w:r>
      <w:r w:rsidR="002B27D5">
        <w:rPr>
          <w:rStyle w:val="st1"/>
          <w:sz w:val="28"/>
          <w:szCs w:val="28"/>
        </w:rPr>
        <w:t>в</w:t>
      </w:r>
      <w:r w:rsidRPr="00BB0FA0">
        <w:rPr>
          <w:rStyle w:val="st1"/>
          <w:sz w:val="28"/>
          <w:szCs w:val="28"/>
        </w:rPr>
        <w:t xml:space="preserve"> зазначеній сфері.</w:t>
      </w:r>
    </w:p>
    <w:p w:rsidR="009A3C69" w:rsidRPr="00BB0FA0" w:rsidRDefault="009A3C69" w:rsidP="000C6E89">
      <w:pPr>
        <w:ind w:firstLine="680"/>
        <w:jc w:val="both"/>
        <w:rPr>
          <w:sz w:val="28"/>
        </w:rPr>
      </w:pPr>
      <w:r w:rsidRPr="00BB0FA0">
        <w:rPr>
          <w:rStyle w:val="st1"/>
          <w:sz w:val="28"/>
          <w:szCs w:val="28"/>
        </w:rPr>
        <w:t xml:space="preserve">Під час опрацювання Закону </w:t>
      </w:r>
      <w:r w:rsidRPr="00BB0FA0">
        <w:rPr>
          <w:sz w:val="28"/>
          <w:szCs w:val="28"/>
        </w:rPr>
        <w:t xml:space="preserve">про ОПН </w:t>
      </w:r>
      <w:r w:rsidR="00B30D6C">
        <w:rPr>
          <w:rStyle w:val="st1"/>
          <w:sz w:val="28"/>
          <w:szCs w:val="28"/>
        </w:rPr>
        <w:t>виявлено</w:t>
      </w:r>
      <w:r w:rsidR="002B27D5">
        <w:rPr>
          <w:rStyle w:val="st1"/>
          <w:sz w:val="28"/>
          <w:szCs w:val="28"/>
        </w:rPr>
        <w:t xml:space="preserve"> невідповідність</w:t>
      </w:r>
      <w:r w:rsidRPr="00BB0FA0">
        <w:rPr>
          <w:rStyle w:val="st1"/>
          <w:sz w:val="28"/>
          <w:szCs w:val="28"/>
        </w:rPr>
        <w:t xml:space="preserve"> його положень положенням Директиви Севезо ІІІ.</w:t>
      </w:r>
    </w:p>
    <w:p w:rsidR="00932F93" w:rsidRPr="00BB0FA0" w:rsidRDefault="009A3C69" w:rsidP="000C6E89">
      <w:pPr>
        <w:widowControl w:val="0"/>
        <w:tabs>
          <w:tab w:val="left" w:pos="1134"/>
        </w:tabs>
        <w:ind w:firstLine="680"/>
        <w:jc w:val="both"/>
        <w:rPr>
          <w:sz w:val="28"/>
        </w:rPr>
      </w:pPr>
      <w:r w:rsidRPr="00BB0FA0">
        <w:rPr>
          <w:sz w:val="28"/>
        </w:rPr>
        <w:t>Отже, на сьогодні</w:t>
      </w:r>
      <w:r w:rsidRPr="00BB0FA0">
        <w:rPr>
          <w:sz w:val="28"/>
          <w:szCs w:val="28"/>
        </w:rPr>
        <w:t xml:space="preserve"> </w:t>
      </w:r>
      <w:r w:rsidRPr="00BB0FA0">
        <w:rPr>
          <w:sz w:val="28"/>
        </w:rPr>
        <w:t xml:space="preserve">Закон про ОПН є єдиним законодавчим актом у сфері діяльності ОПН, який, у свою чергу, з урахуванням курсу України на європейську інтеграцію відповідно до </w:t>
      </w:r>
      <w:r w:rsidR="002B27D5">
        <w:rPr>
          <w:sz w:val="28"/>
        </w:rPr>
        <w:t>П</w:t>
      </w:r>
      <w:r w:rsidRPr="00BB0FA0">
        <w:rPr>
          <w:sz w:val="28"/>
        </w:rPr>
        <w:t>останови Верховної Ради України від</w:t>
      </w:r>
      <w:r w:rsidR="007256F0" w:rsidRPr="00BB0FA0">
        <w:rPr>
          <w:sz w:val="28"/>
        </w:rPr>
        <w:t> </w:t>
      </w:r>
      <w:r w:rsidRPr="00BB0FA0">
        <w:rPr>
          <w:sz w:val="28"/>
        </w:rPr>
        <w:t>13</w:t>
      </w:r>
      <w:r w:rsidR="007256F0" w:rsidRPr="00BB0FA0">
        <w:rPr>
          <w:sz w:val="28"/>
        </w:rPr>
        <w:t> </w:t>
      </w:r>
      <w:r w:rsidRPr="00BB0FA0">
        <w:rPr>
          <w:sz w:val="28"/>
        </w:rPr>
        <w:t xml:space="preserve">березня </w:t>
      </w:r>
      <w:r w:rsidR="00A66591">
        <w:rPr>
          <w:sz w:val="28"/>
        </w:rPr>
        <w:t>2014 р</w:t>
      </w:r>
      <w:r w:rsidR="00B30D6C">
        <w:rPr>
          <w:sz w:val="28"/>
        </w:rPr>
        <w:t>оку</w:t>
      </w:r>
      <w:r w:rsidR="00F27763">
        <w:rPr>
          <w:sz w:val="28"/>
        </w:rPr>
        <w:t xml:space="preserve"> № </w:t>
      </w:r>
      <w:r w:rsidR="00585601">
        <w:rPr>
          <w:sz w:val="28"/>
        </w:rPr>
        <w:t xml:space="preserve">874 </w:t>
      </w:r>
      <w:r w:rsidR="00585601" w:rsidRPr="00585601">
        <w:rPr>
          <w:sz w:val="28"/>
        </w:rPr>
        <w:t>«</w:t>
      </w:r>
      <w:r w:rsidRPr="00BB0FA0">
        <w:rPr>
          <w:sz w:val="28"/>
        </w:rPr>
        <w:t>Про підтвердження курсу України на інтеграцію до Європейського Союзу та перш</w:t>
      </w:r>
      <w:r w:rsidR="00585601">
        <w:rPr>
          <w:sz w:val="28"/>
        </w:rPr>
        <w:t>очергові заходи у цьому напрямі</w:t>
      </w:r>
      <w:r w:rsidR="00585601" w:rsidRPr="00585601">
        <w:rPr>
          <w:sz w:val="28"/>
        </w:rPr>
        <w:t>»</w:t>
      </w:r>
      <w:r w:rsidRPr="00BB0FA0">
        <w:rPr>
          <w:sz w:val="28"/>
        </w:rPr>
        <w:t xml:space="preserve"> потребує внесення змін, а розроблення </w:t>
      </w:r>
      <w:r w:rsidR="007256F0" w:rsidRPr="00BB0FA0">
        <w:rPr>
          <w:sz w:val="28"/>
        </w:rPr>
        <w:t>проєкт</w:t>
      </w:r>
      <w:r w:rsidR="00A66591">
        <w:rPr>
          <w:sz w:val="28"/>
        </w:rPr>
        <w:t>у Закону України «</w:t>
      </w:r>
      <w:r w:rsidRPr="00BB0FA0">
        <w:rPr>
          <w:sz w:val="28"/>
        </w:rPr>
        <w:t>Про внесення змін до деяких законодавчих актів України щодо об’єктів п</w:t>
      </w:r>
      <w:r w:rsidR="00A66591">
        <w:rPr>
          <w:sz w:val="28"/>
        </w:rPr>
        <w:t>ідвищеної небезпеки»</w:t>
      </w:r>
      <w:r w:rsidRPr="00BB0FA0">
        <w:rPr>
          <w:sz w:val="28"/>
        </w:rPr>
        <w:t xml:space="preserve"> є єдиним шляхом досягнення мети.</w:t>
      </w:r>
    </w:p>
    <w:p w:rsidR="000C6E89" w:rsidRPr="005E3D7D" w:rsidRDefault="000C6E89" w:rsidP="000C6E89">
      <w:pPr>
        <w:widowControl w:val="0"/>
        <w:tabs>
          <w:tab w:val="left" w:pos="1134"/>
        </w:tabs>
        <w:ind w:firstLine="680"/>
        <w:jc w:val="both"/>
        <w:rPr>
          <w:sz w:val="24"/>
          <w:szCs w:val="26"/>
          <w:shd w:val="clear" w:color="auto" w:fill="FFFFFF"/>
        </w:rPr>
      </w:pPr>
    </w:p>
    <w:p w:rsidR="00932F93" w:rsidRPr="00BB0FA0" w:rsidRDefault="00932F93" w:rsidP="000C6E89">
      <w:pPr>
        <w:widowControl w:val="0"/>
        <w:tabs>
          <w:tab w:val="left" w:pos="1134"/>
        </w:tabs>
        <w:ind w:firstLine="680"/>
        <w:jc w:val="both"/>
        <w:rPr>
          <w:b/>
          <w:sz w:val="28"/>
          <w:szCs w:val="26"/>
          <w:shd w:val="clear" w:color="auto" w:fill="FFFFFF"/>
        </w:rPr>
      </w:pPr>
      <w:r w:rsidRPr="00BB0FA0">
        <w:rPr>
          <w:b/>
          <w:sz w:val="28"/>
          <w:szCs w:val="26"/>
          <w:shd w:val="clear" w:color="auto" w:fill="FFFFFF"/>
        </w:rPr>
        <w:t xml:space="preserve">3. Суть </w:t>
      </w:r>
      <w:r w:rsidR="007256F0" w:rsidRPr="00BB0FA0">
        <w:rPr>
          <w:b/>
          <w:sz w:val="28"/>
          <w:szCs w:val="26"/>
          <w:shd w:val="clear" w:color="auto" w:fill="FFFFFF"/>
        </w:rPr>
        <w:t>проєкт</w:t>
      </w:r>
      <w:r w:rsidRPr="00BB0FA0">
        <w:rPr>
          <w:b/>
          <w:sz w:val="28"/>
          <w:szCs w:val="26"/>
          <w:shd w:val="clear" w:color="auto" w:fill="FFFFFF"/>
        </w:rPr>
        <w:t>у акта</w:t>
      </w:r>
    </w:p>
    <w:p w:rsidR="009A3C69" w:rsidRPr="005E3D7D" w:rsidRDefault="009A3C69" w:rsidP="000C6E89">
      <w:pPr>
        <w:widowControl w:val="0"/>
        <w:tabs>
          <w:tab w:val="left" w:pos="1134"/>
        </w:tabs>
        <w:ind w:firstLine="680"/>
        <w:jc w:val="both"/>
        <w:rPr>
          <w:b/>
          <w:sz w:val="24"/>
          <w:szCs w:val="26"/>
          <w:shd w:val="clear" w:color="auto" w:fill="FFFFFF"/>
        </w:rPr>
      </w:pPr>
    </w:p>
    <w:p w:rsidR="009A3C69" w:rsidRPr="00BB0FA0" w:rsidRDefault="009A3C69" w:rsidP="000C6E89">
      <w:pPr>
        <w:ind w:firstLine="680"/>
        <w:jc w:val="both"/>
        <w:rPr>
          <w:sz w:val="28"/>
        </w:rPr>
      </w:pPr>
      <w:r w:rsidRPr="00BB0FA0">
        <w:rPr>
          <w:sz w:val="28"/>
          <w:szCs w:val="28"/>
        </w:rPr>
        <w:t xml:space="preserve">У цілому </w:t>
      </w:r>
      <w:r w:rsidR="007256F0" w:rsidRPr="00BB0FA0">
        <w:rPr>
          <w:sz w:val="28"/>
          <w:szCs w:val="28"/>
        </w:rPr>
        <w:t>проєкт</w:t>
      </w:r>
      <w:r w:rsidRPr="00BB0FA0">
        <w:rPr>
          <w:sz w:val="28"/>
          <w:szCs w:val="28"/>
        </w:rPr>
        <w:t xml:space="preserve"> акта спрямовано на</w:t>
      </w:r>
      <w:r w:rsidRPr="00BB0FA0">
        <w:rPr>
          <w:sz w:val="28"/>
        </w:rPr>
        <w:t>:</w:t>
      </w:r>
    </w:p>
    <w:p w:rsidR="009A3C69" w:rsidRPr="00BB0FA0" w:rsidRDefault="009A3C69" w:rsidP="000C6E89">
      <w:pPr>
        <w:ind w:firstLine="680"/>
        <w:jc w:val="both"/>
        <w:rPr>
          <w:sz w:val="28"/>
        </w:rPr>
      </w:pPr>
      <w:r w:rsidRPr="00BB0FA0">
        <w:rPr>
          <w:sz w:val="28"/>
        </w:rPr>
        <w:t>упорядкування процедури віднесення об’єктів до ОПН (ідентифікації);</w:t>
      </w:r>
    </w:p>
    <w:p w:rsidR="009A3C69" w:rsidRPr="00BB0FA0" w:rsidRDefault="009A3C69" w:rsidP="000C6E89">
      <w:pPr>
        <w:ind w:firstLine="680"/>
        <w:jc w:val="both"/>
        <w:rPr>
          <w:sz w:val="28"/>
        </w:rPr>
      </w:pPr>
      <w:r w:rsidRPr="00BB0FA0">
        <w:rPr>
          <w:sz w:val="28"/>
        </w:rPr>
        <w:t xml:space="preserve">зменшення адміністративного тиску на суб’єкти господарювання </w:t>
      </w:r>
      <w:r w:rsidRPr="00BB0FA0">
        <w:rPr>
          <w:sz w:val="28"/>
        </w:rPr>
        <w:br/>
        <w:t>шляхом скасування погоджень плану локалізації та ліквідації аварій (</w:t>
      </w:r>
      <w:r w:rsidRPr="00BB0FA0">
        <w:rPr>
          <w:sz w:val="28"/>
          <w:szCs w:val="28"/>
        </w:rPr>
        <w:t>далі –</w:t>
      </w:r>
      <w:r w:rsidRPr="00BB0FA0">
        <w:rPr>
          <w:sz w:val="28"/>
        </w:rPr>
        <w:t xml:space="preserve">  План) і передачі функцій із забезпечення безпеки та захисту населення за межами ОПН на місцеві органи виконавчої влади;</w:t>
      </w:r>
    </w:p>
    <w:p w:rsidR="009A3C69" w:rsidRPr="00BB0FA0" w:rsidRDefault="002B27D5" w:rsidP="000C6E89">
      <w:pPr>
        <w:ind w:firstLine="680"/>
        <w:jc w:val="both"/>
        <w:rPr>
          <w:sz w:val="28"/>
          <w:szCs w:val="22"/>
          <w:lang w:eastAsia="uk-UA"/>
        </w:rPr>
      </w:pPr>
      <w:r>
        <w:rPr>
          <w:sz w:val="28"/>
          <w:szCs w:val="28"/>
        </w:rPr>
        <w:lastRenderedPageBreak/>
        <w:t xml:space="preserve">визначення </w:t>
      </w:r>
      <w:r w:rsidR="009A3C69" w:rsidRPr="00BB0FA0">
        <w:rPr>
          <w:sz w:val="28"/>
          <w:szCs w:val="28"/>
        </w:rPr>
        <w:t xml:space="preserve">компетентного </w:t>
      </w:r>
      <w:r>
        <w:rPr>
          <w:sz w:val="28"/>
          <w:szCs w:val="28"/>
        </w:rPr>
        <w:t xml:space="preserve">органу та його повноважень щодо </w:t>
      </w:r>
      <w:r w:rsidR="00B30D6C">
        <w:rPr>
          <w:sz w:val="28"/>
          <w:szCs w:val="22"/>
          <w:lang w:eastAsia="uk-UA"/>
        </w:rPr>
        <w:t>надання інформації державам-</w:t>
      </w:r>
      <w:r w:rsidR="009A3C69" w:rsidRPr="00BB0FA0">
        <w:rPr>
          <w:sz w:val="28"/>
          <w:szCs w:val="22"/>
          <w:lang w:eastAsia="uk-UA"/>
        </w:rPr>
        <w:t>членам ЄС, які можуть постраждати від аварій з транскордонними наслідками на підприємствах вищого рівня небезпеки, та</w:t>
      </w:r>
      <w:r w:rsidR="009A3C69" w:rsidRPr="00BB0FA0">
        <w:rPr>
          <w:sz w:val="28"/>
        </w:rPr>
        <w:t xml:space="preserve"> одержання аварійного оповіщення </w:t>
      </w:r>
      <w:r>
        <w:rPr>
          <w:sz w:val="28"/>
        </w:rPr>
        <w:t>в</w:t>
      </w:r>
      <w:r w:rsidR="009A3C69" w:rsidRPr="00BB0FA0">
        <w:rPr>
          <w:sz w:val="28"/>
        </w:rPr>
        <w:t xml:space="preserve"> разі а</w:t>
      </w:r>
      <w:r w:rsidR="00B30D6C">
        <w:rPr>
          <w:sz w:val="28"/>
        </w:rPr>
        <w:t>варії на ОПН в інших державах-</w:t>
      </w:r>
      <w:r w:rsidR="009A3C69" w:rsidRPr="00BB0FA0">
        <w:rPr>
          <w:sz w:val="28"/>
        </w:rPr>
        <w:t>членах ЄС;</w:t>
      </w:r>
    </w:p>
    <w:p w:rsidR="009A3C69" w:rsidRPr="00BB0FA0" w:rsidRDefault="009A3C69" w:rsidP="000C6E89">
      <w:pPr>
        <w:ind w:firstLine="680"/>
        <w:jc w:val="both"/>
        <w:rPr>
          <w:sz w:val="28"/>
        </w:rPr>
      </w:pPr>
      <w:r w:rsidRPr="00BB0FA0">
        <w:rPr>
          <w:sz w:val="28"/>
          <w:szCs w:val="22"/>
          <w:lang w:eastAsia="uk-UA"/>
        </w:rPr>
        <w:t>удосконалення механізму координації між відповідними органами нагляду з урахуванням повноважень компетентного органу;</w:t>
      </w:r>
    </w:p>
    <w:p w:rsidR="009A3C69" w:rsidRPr="00BB0FA0" w:rsidRDefault="009A3C69" w:rsidP="000C6E89">
      <w:pPr>
        <w:ind w:firstLine="680"/>
        <w:jc w:val="both"/>
        <w:rPr>
          <w:sz w:val="28"/>
          <w:szCs w:val="22"/>
          <w:lang w:eastAsia="uk-UA"/>
        </w:rPr>
      </w:pPr>
      <w:r w:rsidRPr="00BB0FA0">
        <w:rPr>
          <w:sz w:val="28"/>
        </w:rPr>
        <w:t xml:space="preserve">зобов’язання суб’єкта господарювання самостійно призупиняти діяльність виробництва (експлуатацію обладнання), на якому виникла </w:t>
      </w:r>
      <w:r w:rsidRPr="00BB0FA0">
        <w:rPr>
          <w:sz w:val="28"/>
        </w:rPr>
        <w:br/>
        <w:t>аварія;</w:t>
      </w:r>
    </w:p>
    <w:p w:rsidR="009A3C69" w:rsidRPr="00BB0FA0" w:rsidRDefault="0091575F" w:rsidP="000C6E89">
      <w:pPr>
        <w:ind w:firstLine="680"/>
        <w:jc w:val="both"/>
        <w:rPr>
          <w:sz w:val="28"/>
          <w:szCs w:val="22"/>
          <w:lang w:eastAsia="uk-UA"/>
        </w:rPr>
      </w:pPr>
      <w:r>
        <w:rPr>
          <w:sz w:val="28"/>
          <w:szCs w:val="22"/>
          <w:lang w:eastAsia="uk-UA"/>
        </w:rPr>
        <w:t xml:space="preserve">скасування декларації безпеки на об’єкті підвищеної небезпеки із заміною її на </w:t>
      </w:r>
      <w:r w:rsidR="009A3C69" w:rsidRPr="00BB0FA0">
        <w:rPr>
          <w:sz w:val="28"/>
          <w:szCs w:val="22"/>
          <w:lang w:eastAsia="uk-UA"/>
        </w:rPr>
        <w:t>звіт про заходи безпеки на об’єктах підвищеної небезпеки</w:t>
      </w:r>
      <w:r>
        <w:rPr>
          <w:sz w:val="28"/>
          <w:szCs w:val="22"/>
          <w:lang w:eastAsia="uk-UA"/>
        </w:rPr>
        <w:t xml:space="preserve">, який готується за спрощеною процедурою, </w:t>
      </w:r>
      <w:r w:rsidR="009A3C69" w:rsidRPr="00BB0FA0">
        <w:rPr>
          <w:sz w:val="28"/>
          <w:szCs w:val="22"/>
          <w:lang w:eastAsia="uk-UA"/>
        </w:rPr>
        <w:t>та надання громадськості доступу до н</w:t>
      </w:r>
      <w:r>
        <w:rPr>
          <w:sz w:val="28"/>
          <w:szCs w:val="22"/>
          <w:lang w:eastAsia="uk-UA"/>
        </w:rPr>
        <w:t>ього</w:t>
      </w:r>
      <w:r w:rsidR="009A3C69" w:rsidRPr="00BB0FA0">
        <w:rPr>
          <w:sz w:val="28"/>
          <w:szCs w:val="22"/>
          <w:lang w:eastAsia="uk-UA"/>
        </w:rPr>
        <w:t>;</w:t>
      </w:r>
    </w:p>
    <w:p w:rsidR="009A3C69" w:rsidRPr="00BB0FA0" w:rsidRDefault="009A3C69" w:rsidP="000C6E89">
      <w:pPr>
        <w:ind w:firstLine="680"/>
        <w:jc w:val="both"/>
        <w:rPr>
          <w:sz w:val="28"/>
          <w:szCs w:val="28"/>
        </w:rPr>
      </w:pPr>
      <w:r w:rsidRPr="00BB0FA0">
        <w:rPr>
          <w:sz w:val="28"/>
          <w:szCs w:val="22"/>
          <w:lang w:eastAsia="uk-UA"/>
        </w:rPr>
        <w:t>удосконалення процедури надання інформації після нещасного випадку на ОПН;</w:t>
      </w:r>
    </w:p>
    <w:p w:rsidR="009A3C69" w:rsidRPr="00BB0FA0" w:rsidRDefault="009A3C69" w:rsidP="000C6E89">
      <w:pPr>
        <w:ind w:firstLine="680"/>
        <w:jc w:val="both"/>
        <w:rPr>
          <w:sz w:val="28"/>
          <w:szCs w:val="28"/>
        </w:rPr>
      </w:pPr>
      <w:r w:rsidRPr="00BB0FA0">
        <w:rPr>
          <w:sz w:val="28"/>
          <w:szCs w:val="28"/>
        </w:rPr>
        <w:t>гармонізацію законодавства України із законодавством Європейського Союзу у сфері безпеки об’єктів підвищеної небезпеки.</w:t>
      </w:r>
    </w:p>
    <w:p w:rsidR="009A3C69" w:rsidRPr="00585601" w:rsidRDefault="009A3C69" w:rsidP="000C6E89">
      <w:pPr>
        <w:ind w:firstLine="680"/>
        <w:jc w:val="both"/>
        <w:rPr>
          <w:sz w:val="28"/>
          <w:szCs w:val="28"/>
          <w:lang w:val="ru-RU"/>
        </w:rPr>
      </w:pPr>
      <w:r w:rsidRPr="00BB0FA0">
        <w:rPr>
          <w:sz w:val="28"/>
          <w:szCs w:val="28"/>
        </w:rPr>
        <w:t>У законо</w:t>
      </w:r>
      <w:r w:rsidR="007256F0" w:rsidRPr="00BB0FA0">
        <w:rPr>
          <w:sz w:val="28"/>
          <w:szCs w:val="28"/>
        </w:rPr>
        <w:t>проєкт</w:t>
      </w:r>
      <w:r w:rsidRPr="00BB0FA0">
        <w:rPr>
          <w:sz w:val="28"/>
          <w:szCs w:val="28"/>
        </w:rPr>
        <w:t>і вик</w:t>
      </w:r>
      <w:r w:rsidR="00A66591">
        <w:rPr>
          <w:sz w:val="28"/>
          <w:szCs w:val="28"/>
        </w:rPr>
        <w:t>лючено термін «потенційно небезпечні об’єкти»</w:t>
      </w:r>
      <w:r w:rsidRPr="00BB0FA0">
        <w:rPr>
          <w:sz w:val="28"/>
          <w:szCs w:val="28"/>
        </w:rPr>
        <w:t>, оскільки чинн</w:t>
      </w:r>
      <w:r w:rsidR="00A66591">
        <w:rPr>
          <w:sz w:val="28"/>
          <w:szCs w:val="28"/>
        </w:rPr>
        <w:t>ий Закон про ОПН, крім терміна «об’єкт підвищеної небезпеки»</w:t>
      </w:r>
      <w:r w:rsidRPr="00BB0FA0">
        <w:rPr>
          <w:sz w:val="28"/>
          <w:szCs w:val="28"/>
        </w:rPr>
        <w:t>, м</w:t>
      </w:r>
      <w:r w:rsidR="00F27763">
        <w:rPr>
          <w:sz w:val="28"/>
          <w:szCs w:val="28"/>
        </w:rPr>
        <w:t>істить майже ідентичний термін «</w:t>
      </w:r>
      <w:r w:rsidRPr="00BB0FA0">
        <w:rPr>
          <w:sz w:val="28"/>
          <w:szCs w:val="28"/>
        </w:rPr>
        <w:t>потенційно небезпечний об’єкт</w:t>
      </w:r>
      <w:r w:rsidR="00F27763">
        <w:rPr>
          <w:sz w:val="28"/>
          <w:szCs w:val="28"/>
        </w:rPr>
        <w:t>»</w:t>
      </w:r>
      <w:r w:rsidR="00B30D6C">
        <w:rPr>
          <w:sz w:val="28"/>
          <w:szCs w:val="28"/>
        </w:rPr>
        <w:t>. З</w:t>
      </w:r>
      <w:r w:rsidRPr="00BB0FA0">
        <w:rPr>
          <w:sz w:val="28"/>
          <w:szCs w:val="28"/>
        </w:rPr>
        <w:t xml:space="preserve"> метою імплементації Директиви Севезо ІІІ доопрацьовано інші терміни, оскільки </w:t>
      </w:r>
      <w:r w:rsidR="002B27D5">
        <w:rPr>
          <w:sz w:val="28"/>
          <w:szCs w:val="28"/>
        </w:rPr>
        <w:t xml:space="preserve">їх </w:t>
      </w:r>
      <w:r w:rsidRPr="00BB0FA0">
        <w:rPr>
          <w:sz w:val="28"/>
          <w:szCs w:val="28"/>
        </w:rPr>
        <w:t xml:space="preserve">відсутність і неточне тлумачення порушують деякі процедури </w:t>
      </w:r>
      <w:r w:rsidR="00F27763">
        <w:rPr>
          <w:sz w:val="28"/>
          <w:szCs w:val="28"/>
        </w:rPr>
        <w:t>належності</w:t>
      </w:r>
      <w:r w:rsidRPr="00BB0FA0">
        <w:rPr>
          <w:sz w:val="28"/>
          <w:szCs w:val="28"/>
        </w:rPr>
        <w:t xml:space="preserve"> об’єктів до ОПН.</w:t>
      </w:r>
      <w:r w:rsidR="0091575F">
        <w:rPr>
          <w:sz w:val="28"/>
          <w:szCs w:val="28"/>
        </w:rPr>
        <w:t xml:space="preserve"> </w:t>
      </w:r>
      <w:r w:rsidR="002B27D5">
        <w:rPr>
          <w:sz w:val="28"/>
          <w:szCs w:val="28"/>
        </w:rPr>
        <w:t>Із</w:t>
      </w:r>
      <w:r w:rsidR="0091575F">
        <w:rPr>
          <w:sz w:val="28"/>
          <w:szCs w:val="28"/>
        </w:rPr>
        <w:t xml:space="preserve"> цього питання також внесено зміни до Кодексу цивільного захисту України</w:t>
      </w:r>
      <w:r w:rsidR="00585601">
        <w:rPr>
          <w:sz w:val="28"/>
          <w:szCs w:val="28"/>
          <w:lang w:val="ru-RU"/>
        </w:rPr>
        <w:t>.</w:t>
      </w:r>
    </w:p>
    <w:p w:rsidR="0091575F" w:rsidRPr="00BB0FA0" w:rsidRDefault="00840F3F" w:rsidP="0091575F">
      <w:pPr>
        <w:ind w:firstLine="680"/>
        <w:jc w:val="both"/>
        <w:rPr>
          <w:sz w:val="28"/>
        </w:rPr>
      </w:pPr>
      <w:r w:rsidRPr="00BB0FA0">
        <w:rPr>
          <w:sz w:val="28"/>
          <w:szCs w:val="28"/>
        </w:rPr>
        <w:t>Н</w:t>
      </w:r>
      <w:r w:rsidR="009A3C69" w:rsidRPr="00BB0FA0">
        <w:rPr>
          <w:rStyle w:val="st1"/>
          <w:sz w:val="28"/>
          <w:szCs w:val="28"/>
        </w:rPr>
        <w:t>а сьогодні суб’єкти господарювання в</w:t>
      </w:r>
      <w:r w:rsidR="009A3C69" w:rsidRPr="00BB0FA0">
        <w:rPr>
          <w:sz w:val="28"/>
        </w:rPr>
        <w:t xml:space="preserve"> порядку реагування на надзвичайні ситуації техногенного та природного характеру розробляють план локалізації і ліквідації аварій для ОПН, навіть якщо наслідки аварії вийшли за межі цього об’єкта. При цьому місцеві органи виконавчої влади відповідно до </w:t>
      </w:r>
      <w:r w:rsidR="0091575F">
        <w:rPr>
          <w:sz w:val="28"/>
        </w:rPr>
        <w:t xml:space="preserve">чинного </w:t>
      </w:r>
      <w:r w:rsidR="009A3C69" w:rsidRPr="00BB0FA0">
        <w:rPr>
          <w:sz w:val="28"/>
        </w:rPr>
        <w:t xml:space="preserve">Закону про ОПН не забезпечують планування та реагування на небезпеку </w:t>
      </w:r>
      <w:r w:rsidR="002B27D5">
        <w:rPr>
          <w:sz w:val="28"/>
          <w:lang w:val="ru-RU"/>
        </w:rPr>
        <w:t>в</w:t>
      </w:r>
      <w:r w:rsidR="00585601">
        <w:rPr>
          <w:sz w:val="28"/>
        </w:rPr>
        <w:t xml:space="preserve"> разі </w:t>
      </w:r>
      <w:r w:rsidR="009A3C69" w:rsidRPr="00BB0FA0">
        <w:rPr>
          <w:sz w:val="28"/>
        </w:rPr>
        <w:t>виникнення аварії на ОПН. Так, згідно зі статтею 11 Закону про ОП</w:t>
      </w:r>
      <w:r w:rsidR="002B27D5">
        <w:rPr>
          <w:sz w:val="28"/>
        </w:rPr>
        <w:t>Н суб’єкт господарювання повинний</w:t>
      </w:r>
      <w:r w:rsidR="009A3C69" w:rsidRPr="00BB0FA0">
        <w:rPr>
          <w:sz w:val="28"/>
        </w:rPr>
        <w:t xml:space="preserve"> розробляти План </w:t>
      </w:r>
      <w:r w:rsidR="002B27D5">
        <w:rPr>
          <w:sz w:val="28"/>
        </w:rPr>
        <w:t>по всіх заходах, навіть таких</w:t>
      </w:r>
      <w:r w:rsidR="009A3C69" w:rsidRPr="00BB0FA0">
        <w:rPr>
          <w:sz w:val="28"/>
        </w:rPr>
        <w:t xml:space="preserve">, що виходять за межі об’єкта та не належать до обов’язків суб’єкта господарювання. </w:t>
      </w:r>
      <w:r w:rsidR="0091575F" w:rsidRPr="00BB0FA0">
        <w:rPr>
          <w:sz w:val="28"/>
        </w:rPr>
        <w:t>Таким чином, законодавство покладає на суб’єкта господарювання відповідальність за забезпечення захисту населення за межами ОПН без урахування того, що суб’єкт господарювання не може забезпечити такий захист.</w:t>
      </w:r>
    </w:p>
    <w:p w:rsidR="0091575F" w:rsidRDefault="0091575F" w:rsidP="0091575F">
      <w:pPr>
        <w:ind w:firstLine="680"/>
        <w:jc w:val="both"/>
        <w:rPr>
          <w:sz w:val="28"/>
        </w:rPr>
      </w:pPr>
      <w:r>
        <w:rPr>
          <w:sz w:val="28"/>
        </w:rPr>
        <w:t xml:space="preserve">У законопроєкті запроваджено </w:t>
      </w:r>
      <w:r w:rsidRPr="00BB0FA0">
        <w:rPr>
          <w:sz w:val="28"/>
        </w:rPr>
        <w:t>розподіл ОПН на три класи відповідно до чинного законодавства з метою розмежування вимог з урахуванням класу небезпеки та встановлення конкретних вимог до кожного класу ОПН</w:t>
      </w:r>
      <w:r>
        <w:rPr>
          <w:sz w:val="28"/>
        </w:rPr>
        <w:t>.</w:t>
      </w:r>
    </w:p>
    <w:p w:rsidR="002B27D5" w:rsidRDefault="0091575F" w:rsidP="002B27D5">
      <w:pPr>
        <w:ind w:firstLine="680"/>
        <w:jc w:val="both"/>
        <w:rPr>
          <w:rStyle w:val="rvts0"/>
          <w:sz w:val="28"/>
          <w:szCs w:val="28"/>
        </w:rPr>
      </w:pPr>
      <w:r w:rsidRPr="00BB0FA0">
        <w:rPr>
          <w:sz w:val="28"/>
        </w:rPr>
        <w:t xml:space="preserve">Такий підхід дозволяє врахувати вимоги Директиви Севезо ІІІ не тільки для об’єктів, аварія на яких може становити значну загрозу, у тому числі на транскордонному рівні (1 і 2 класи ОПН), </w:t>
      </w:r>
      <w:r w:rsidR="002B27D5">
        <w:rPr>
          <w:sz w:val="28"/>
        </w:rPr>
        <w:t>а</w:t>
      </w:r>
      <w:r w:rsidRPr="00BB0FA0">
        <w:rPr>
          <w:sz w:val="28"/>
        </w:rPr>
        <w:t xml:space="preserve"> й </w:t>
      </w:r>
      <w:r w:rsidR="002B27D5">
        <w:rPr>
          <w:sz w:val="28"/>
        </w:rPr>
        <w:t>у</w:t>
      </w:r>
      <w:r w:rsidRPr="00BB0FA0">
        <w:rPr>
          <w:sz w:val="28"/>
        </w:rPr>
        <w:t>рахувати вимоги національного законодавства для об’єктів, на яких можуть виникнути значні аварії, що можуть загрожувати безпеці населення на території України (3 клас).</w:t>
      </w:r>
    </w:p>
    <w:p w:rsidR="009A3C69" w:rsidRPr="002B27D5" w:rsidRDefault="009A3C69" w:rsidP="002B27D5">
      <w:pPr>
        <w:ind w:firstLine="680"/>
        <w:jc w:val="both"/>
        <w:rPr>
          <w:sz w:val="28"/>
          <w:szCs w:val="28"/>
        </w:rPr>
      </w:pPr>
      <w:r w:rsidRPr="00BB0FA0">
        <w:rPr>
          <w:sz w:val="28"/>
        </w:rPr>
        <w:lastRenderedPageBreak/>
        <w:t>Наприклад, у Франції прийнято 5 класів небезпеки ОПН. До кожного класу таких ОПН установлено різні рівні відповідальності суб’єкта та окремі вимоги щодо необхідності розроблення заходів реагування. Це дозволяє забезпечити по кожному класу ОПН відповідний рівень втручання державних органів та застосувати конкретні умови для контролю за діяльністю суб’єктів господарювання.</w:t>
      </w:r>
    </w:p>
    <w:p w:rsidR="009A3C69" w:rsidRPr="00BB0FA0" w:rsidRDefault="00786DE5" w:rsidP="000C6E89">
      <w:pPr>
        <w:ind w:firstLine="680"/>
        <w:jc w:val="both"/>
        <w:rPr>
          <w:sz w:val="28"/>
          <w:szCs w:val="28"/>
        </w:rPr>
      </w:pPr>
      <w:r>
        <w:rPr>
          <w:rStyle w:val="rvts0"/>
          <w:sz w:val="28"/>
          <w:szCs w:val="28"/>
          <w:lang w:val="ru-RU"/>
        </w:rPr>
        <w:t>У</w:t>
      </w:r>
      <w:r w:rsidR="009A3C69" w:rsidRPr="00BB0FA0">
        <w:rPr>
          <w:rStyle w:val="rvts0"/>
          <w:sz w:val="28"/>
          <w:szCs w:val="28"/>
        </w:rPr>
        <w:t xml:space="preserve">раховуючи, що в законодавстві України наведено лише </w:t>
      </w:r>
      <w:r w:rsidR="009A3C69" w:rsidRPr="00BB0FA0">
        <w:rPr>
          <w:sz w:val="28"/>
          <w:szCs w:val="28"/>
        </w:rPr>
        <w:t xml:space="preserve">узагальнений перелік органів державного нагляду, до повноважень яких віднесено питання здійснення державного нагляду за об’єктами </w:t>
      </w:r>
      <w:proofErr w:type="gramStart"/>
      <w:r w:rsidR="009A3C69" w:rsidRPr="00BB0FA0">
        <w:rPr>
          <w:sz w:val="28"/>
          <w:szCs w:val="28"/>
        </w:rPr>
        <w:t>п</w:t>
      </w:r>
      <w:proofErr w:type="gramEnd"/>
      <w:r w:rsidR="009A3C69" w:rsidRPr="00BB0FA0">
        <w:rPr>
          <w:sz w:val="28"/>
          <w:szCs w:val="28"/>
        </w:rPr>
        <w:t xml:space="preserve">ідвищеної небезпеки, але не визначено конкретний орган (компетентний орган), </w:t>
      </w:r>
      <w:r w:rsidR="009A3C69" w:rsidRPr="00BB0FA0">
        <w:rPr>
          <w:sz w:val="28"/>
        </w:rPr>
        <w:t xml:space="preserve">уповноважений здійснювати координацію дій інших органів з метою запобігання надзвичайним ситуаціям, а також надсилати аварійне оповіщення та інформацію </w:t>
      </w:r>
      <w:r w:rsidR="002B27D5">
        <w:rPr>
          <w:sz w:val="28"/>
          <w:lang w:val="ru-RU"/>
        </w:rPr>
        <w:t>в</w:t>
      </w:r>
      <w:r w:rsidR="009A3C69" w:rsidRPr="00BB0FA0">
        <w:rPr>
          <w:sz w:val="28"/>
        </w:rPr>
        <w:t xml:space="preserve"> разі транскордонного впливу аварії в Україні і одержувати аварійні оповіщення та інформацію </w:t>
      </w:r>
      <w:r w:rsidR="002B27D5">
        <w:rPr>
          <w:sz w:val="28"/>
          <w:lang w:val="ru-RU"/>
        </w:rPr>
        <w:t>в</w:t>
      </w:r>
      <w:r w:rsidR="009A3C69" w:rsidRPr="00BB0FA0">
        <w:rPr>
          <w:sz w:val="28"/>
        </w:rPr>
        <w:t xml:space="preserve"> разі аварії на ОПН в іншій державі</w:t>
      </w:r>
      <w:r w:rsidR="009A3C69" w:rsidRPr="00BB0FA0">
        <w:rPr>
          <w:sz w:val="28"/>
          <w:szCs w:val="28"/>
        </w:rPr>
        <w:t xml:space="preserve">, що є </w:t>
      </w:r>
      <w:r w:rsidR="009A3C69" w:rsidRPr="00BB0FA0">
        <w:rPr>
          <w:sz w:val="28"/>
          <w:szCs w:val="28"/>
        </w:rPr>
        <w:br/>
        <w:t xml:space="preserve">окремою вимогою </w:t>
      </w:r>
      <w:r w:rsidR="009A3C69" w:rsidRPr="00BB0FA0">
        <w:rPr>
          <w:rStyle w:val="rvts0"/>
          <w:sz w:val="28"/>
          <w:szCs w:val="28"/>
        </w:rPr>
        <w:t xml:space="preserve">Директиви </w:t>
      </w:r>
      <w:r w:rsidR="009A3C69" w:rsidRPr="00BB0FA0">
        <w:rPr>
          <w:rStyle w:val="st1"/>
          <w:sz w:val="28"/>
          <w:szCs w:val="28"/>
        </w:rPr>
        <w:t>Севезо ІІІ, у законо</w:t>
      </w:r>
      <w:r w:rsidR="007256F0" w:rsidRPr="00BB0FA0">
        <w:rPr>
          <w:rStyle w:val="st1"/>
          <w:sz w:val="28"/>
          <w:szCs w:val="28"/>
        </w:rPr>
        <w:t>проєкт</w:t>
      </w:r>
      <w:r w:rsidR="009A3C69" w:rsidRPr="00BB0FA0">
        <w:rPr>
          <w:rStyle w:val="st1"/>
          <w:sz w:val="28"/>
          <w:szCs w:val="28"/>
        </w:rPr>
        <w:t>і запропоновано визначити компетентним органом Державну службу України з надзвичайних ситуацій</w:t>
      </w:r>
      <w:r w:rsidR="009A3C69" w:rsidRPr="00BB0FA0">
        <w:rPr>
          <w:sz w:val="28"/>
          <w:szCs w:val="28"/>
        </w:rPr>
        <w:t>.</w:t>
      </w:r>
    </w:p>
    <w:p w:rsidR="009A3C69" w:rsidRPr="00BB0FA0" w:rsidRDefault="009A3C69" w:rsidP="000C6E89">
      <w:pPr>
        <w:ind w:firstLine="680"/>
        <w:jc w:val="both"/>
        <w:rPr>
          <w:sz w:val="28"/>
        </w:rPr>
      </w:pPr>
      <w:r w:rsidRPr="00BB0FA0">
        <w:rPr>
          <w:sz w:val="28"/>
          <w:szCs w:val="28"/>
        </w:rPr>
        <w:t xml:space="preserve">На сьогодні має місце проблема вжиття заходів реагування </w:t>
      </w:r>
      <w:r w:rsidR="002B27D5">
        <w:rPr>
          <w:sz w:val="28"/>
          <w:szCs w:val="28"/>
        </w:rPr>
        <w:t>на</w:t>
      </w:r>
      <w:r w:rsidRPr="00BB0FA0">
        <w:rPr>
          <w:sz w:val="28"/>
          <w:szCs w:val="28"/>
        </w:rPr>
        <w:t xml:space="preserve"> зупинення роботи об’єкта підвищеної небезпеки або окремого обладнан</w:t>
      </w:r>
      <w:r w:rsidR="007256F0" w:rsidRPr="00BB0FA0">
        <w:rPr>
          <w:sz w:val="28"/>
          <w:szCs w:val="28"/>
        </w:rPr>
        <w:t xml:space="preserve">ня (установки), на </w:t>
      </w:r>
      <w:r w:rsidR="002B27D5">
        <w:rPr>
          <w:sz w:val="28"/>
          <w:szCs w:val="28"/>
        </w:rPr>
        <w:t>якому сталася</w:t>
      </w:r>
      <w:r w:rsidRPr="00BB0FA0">
        <w:rPr>
          <w:sz w:val="28"/>
          <w:szCs w:val="28"/>
        </w:rPr>
        <w:t xml:space="preserve"> аварія, оскільки на законодав</w:t>
      </w:r>
      <w:r w:rsidR="002B27D5">
        <w:rPr>
          <w:sz w:val="28"/>
          <w:szCs w:val="28"/>
        </w:rPr>
        <w:t>чому рівні не визначено вичерпного переліку</w:t>
      </w:r>
      <w:r w:rsidRPr="00BB0FA0">
        <w:rPr>
          <w:sz w:val="28"/>
          <w:szCs w:val="28"/>
        </w:rPr>
        <w:t xml:space="preserve"> вимог щодо дій органів державного нагляду із заборони експлуатації</w:t>
      </w:r>
      <w:r w:rsidR="00585601">
        <w:rPr>
          <w:sz w:val="28"/>
          <w:szCs w:val="28"/>
        </w:rPr>
        <w:t xml:space="preserve"> об’єктів підвищеної небезпеки </w:t>
      </w:r>
      <w:r w:rsidR="002B27D5">
        <w:rPr>
          <w:sz w:val="28"/>
          <w:szCs w:val="28"/>
        </w:rPr>
        <w:t>в</w:t>
      </w:r>
      <w:r w:rsidRPr="00BB0FA0">
        <w:rPr>
          <w:sz w:val="28"/>
          <w:szCs w:val="28"/>
        </w:rPr>
        <w:t xml:space="preserve"> цьому випадку. Так, законодавством визначено, що заборона експлуатації можлива тільки за рішенням адміністративного суду, що не дозволяє негайно заборонити діяльність підприємства </w:t>
      </w:r>
      <w:r w:rsidR="002B27D5">
        <w:rPr>
          <w:sz w:val="28"/>
          <w:szCs w:val="28"/>
        </w:rPr>
        <w:t>в</w:t>
      </w:r>
      <w:r w:rsidRPr="00BB0FA0">
        <w:rPr>
          <w:sz w:val="28"/>
          <w:szCs w:val="28"/>
        </w:rPr>
        <w:t xml:space="preserve"> разі виникнення серйозних недоліків, що можуть призвести до аварії та загибелі людей.</w:t>
      </w:r>
    </w:p>
    <w:p w:rsidR="009A3C69" w:rsidRPr="00BB0FA0" w:rsidRDefault="00A4233B" w:rsidP="000C6E89">
      <w:pPr>
        <w:ind w:firstLine="680"/>
        <w:jc w:val="both"/>
        <w:rPr>
          <w:sz w:val="28"/>
        </w:rPr>
      </w:pPr>
      <w:r>
        <w:rPr>
          <w:sz w:val="28"/>
        </w:rPr>
        <w:t xml:space="preserve">Крім </w:t>
      </w:r>
      <w:r w:rsidR="0091575F">
        <w:rPr>
          <w:sz w:val="28"/>
        </w:rPr>
        <w:t>цьо</w:t>
      </w:r>
      <w:r w:rsidR="009A3C69" w:rsidRPr="00BB0FA0">
        <w:rPr>
          <w:sz w:val="28"/>
        </w:rPr>
        <w:t>го, у разі виникнення аварії процедура призупинення експлуатації обладнання або діяльності виробництва, на якому виникла аварія, дуже складна і передбачає зайве втручання органів державного нагляду та інших державних органів у діяльність суб’єкта господарювання.</w:t>
      </w:r>
    </w:p>
    <w:p w:rsidR="00F30EBA" w:rsidRPr="006003BB" w:rsidRDefault="002B27D5" w:rsidP="006003BB">
      <w:pPr>
        <w:ind w:firstLine="680"/>
        <w:jc w:val="both"/>
        <w:rPr>
          <w:sz w:val="28"/>
          <w:szCs w:val="28"/>
        </w:rPr>
      </w:pPr>
      <w:r>
        <w:rPr>
          <w:sz w:val="28"/>
        </w:rPr>
        <w:t>Ураховуючи викладене</w:t>
      </w:r>
      <w:r w:rsidR="009A3C69" w:rsidRPr="00BB0FA0">
        <w:rPr>
          <w:sz w:val="28"/>
        </w:rPr>
        <w:t>, у статті 14 законо</w:t>
      </w:r>
      <w:r w:rsidR="007256F0" w:rsidRPr="00BB0FA0">
        <w:rPr>
          <w:sz w:val="28"/>
        </w:rPr>
        <w:t>проєкт</w:t>
      </w:r>
      <w:r w:rsidR="009A3C69" w:rsidRPr="00BB0FA0">
        <w:rPr>
          <w:sz w:val="28"/>
        </w:rPr>
        <w:t xml:space="preserve">у передбачено обов’язок суб’єкта господарювання самостійно </w:t>
      </w:r>
      <w:r w:rsidR="009A3C69" w:rsidRPr="00BB0FA0">
        <w:rPr>
          <w:rFonts w:eastAsia="Calibri"/>
          <w:sz w:val="28"/>
          <w:lang w:eastAsia="en-US"/>
        </w:rPr>
        <w:t>припинити експлуатацію обладнання, на якому виникла аварія, а в статті 15 упорядковано процедуру н</w:t>
      </w:r>
      <w:r w:rsidR="009A3C69" w:rsidRPr="00BB0FA0">
        <w:rPr>
          <w:sz w:val="28"/>
          <w:szCs w:val="28"/>
        </w:rPr>
        <w:t>адання інформації та право громадян на одержання інформації про об’єкти підвищеної небезпеки.</w:t>
      </w:r>
    </w:p>
    <w:p w:rsidR="0091575F" w:rsidRPr="005E3D7D" w:rsidRDefault="0091575F" w:rsidP="000C6E89">
      <w:pPr>
        <w:widowControl w:val="0"/>
        <w:tabs>
          <w:tab w:val="left" w:pos="1134"/>
        </w:tabs>
        <w:ind w:firstLine="680"/>
        <w:jc w:val="both"/>
        <w:rPr>
          <w:b/>
          <w:sz w:val="24"/>
          <w:szCs w:val="26"/>
          <w:shd w:val="clear" w:color="auto" w:fill="FFFFFF"/>
        </w:rPr>
      </w:pPr>
    </w:p>
    <w:p w:rsidR="00932F93" w:rsidRPr="00BB0FA0" w:rsidRDefault="00932F93" w:rsidP="000C6E89">
      <w:pPr>
        <w:widowControl w:val="0"/>
        <w:tabs>
          <w:tab w:val="left" w:pos="1134"/>
        </w:tabs>
        <w:ind w:firstLine="680"/>
        <w:jc w:val="both"/>
        <w:rPr>
          <w:b/>
          <w:sz w:val="28"/>
          <w:szCs w:val="26"/>
          <w:shd w:val="clear" w:color="auto" w:fill="FFFFFF"/>
        </w:rPr>
      </w:pPr>
      <w:r w:rsidRPr="00BB0FA0">
        <w:rPr>
          <w:b/>
          <w:sz w:val="28"/>
          <w:szCs w:val="26"/>
          <w:shd w:val="clear" w:color="auto" w:fill="FFFFFF"/>
        </w:rPr>
        <w:t>4. Вплив на бюджет</w:t>
      </w:r>
    </w:p>
    <w:p w:rsidR="000C6E89" w:rsidRPr="00842455" w:rsidRDefault="000C6E89" w:rsidP="000C6E89">
      <w:pPr>
        <w:widowControl w:val="0"/>
        <w:tabs>
          <w:tab w:val="left" w:pos="1134"/>
        </w:tabs>
        <w:ind w:firstLine="680"/>
        <w:jc w:val="both"/>
        <w:rPr>
          <w:sz w:val="24"/>
          <w:szCs w:val="24"/>
          <w:shd w:val="clear" w:color="auto" w:fill="FFFFFF"/>
        </w:rPr>
      </w:pPr>
    </w:p>
    <w:p w:rsidR="009A3C69" w:rsidRPr="000572D9" w:rsidRDefault="00842455" w:rsidP="00FF4178">
      <w:pPr>
        <w:widowControl w:val="0"/>
        <w:tabs>
          <w:tab w:val="left" w:pos="1134"/>
        </w:tabs>
        <w:ind w:firstLine="680"/>
        <w:jc w:val="both"/>
        <w:rPr>
          <w:color w:val="FF0000"/>
          <w:sz w:val="28"/>
          <w:szCs w:val="28"/>
        </w:rPr>
      </w:pPr>
      <w:r>
        <w:rPr>
          <w:sz w:val="28"/>
          <w:szCs w:val="28"/>
        </w:rPr>
        <w:t>Реалізація проєкту Закону не потребуватиме додаткових видатків з державного та місцевих бюджетів</w:t>
      </w:r>
      <w:r w:rsidR="009A3C69" w:rsidRPr="009C6A8E">
        <w:rPr>
          <w:sz w:val="28"/>
          <w:szCs w:val="28"/>
        </w:rPr>
        <w:t>.</w:t>
      </w:r>
    </w:p>
    <w:p w:rsidR="00585601" w:rsidRPr="00842455" w:rsidRDefault="00585601" w:rsidP="00B54646">
      <w:pPr>
        <w:pStyle w:val="a9"/>
        <w:widowControl w:val="0"/>
        <w:spacing w:before="0"/>
        <w:jc w:val="both"/>
        <w:rPr>
          <w:sz w:val="24"/>
          <w:szCs w:val="24"/>
        </w:rPr>
      </w:pPr>
    </w:p>
    <w:p w:rsidR="00932F93" w:rsidRPr="00BB0FA0" w:rsidRDefault="00932F93" w:rsidP="000C6E89">
      <w:pPr>
        <w:widowControl w:val="0"/>
        <w:tabs>
          <w:tab w:val="left" w:pos="1134"/>
        </w:tabs>
        <w:ind w:firstLine="680"/>
        <w:jc w:val="both"/>
        <w:rPr>
          <w:b/>
          <w:sz w:val="28"/>
          <w:szCs w:val="26"/>
          <w:shd w:val="clear" w:color="auto" w:fill="FFFFFF"/>
        </w:rPr>
      </w:pPr>
      <w:r w:rsidRPr="00BB0FA0">
        <w:rPr>
          <w:b/>
          <w:sz w:val="28"/>
          <w:szCs w:val="26"/>
          <w:shd w:val="clear" w:color="auto" w:fill="FFFFFF"/>
        </w:rPr>
        <w:t>5. Позиція заінтересованих сторін</w:t>
      </w:r>
    </w:p>
    <w:p w:rsidR="000C6E89" w:rsidRPr="00842455" w:rsidRDefault="000C6E89" w:rsidP="000C6E89">
      <w:pPr>
        <w:widowControl w:val="0"/>
        <w:tabs>
          <w:tab w:val="left" w:pos="1134"/>
        </w:tabs>
        <w:ind w:firstLine="680"/>
        <w:jc w:val="both"/>
        <w:rPr>
          <w:sz w:val="24"/>
          <w:szCs w:val="24"/>
          <w:shd w:val="clear" w:color="auto" w:fill="FFFFFF"/>
        </w:rPr>
      </w:pPr>
      <w:bookmarkStart w:id="1" w:name="_Hlk21025623"/>
    </w:p>
    <w:bookmarkEnd w:id="1"/>
    <w:p w:rsidR="00842455" w:rsidRPr="00BB0FA0" w:rsidRDefault="007256F0" w:rsidP="00842455">
      <w:pPr>
        <w:widowControl w:val="0"/>
        <w:tabs>
          <w:tab w:val="left" w:pos="1134"/>
        </w:tabs>
        <w:ind w:firstLine="680"/>
        <w:jc w:val="both"/>
        <w:rPr>
          <w:sz w:val="28"/>
          <w:szCs w:val="26"/>
          <w:shd w:val="clear" w:color="auto" w:fill="FFFFFF"/>
        </w:rPr>
      </w:pPr>
      <w:r w:rsidRPr="00BB0FA0">
        <w:rPr>
          <w:sz w:val="28"/>
          <w:szCs w:val="26"/>
          <w:shd w:val="clear" w:color="auto" w:fill="FFFFFF"/>
        </w:rPr>
        <w:t>Проєкт</w:t>
      </w:r>
      <w:r w:rsidR="009A3C69" w:rsidRPr="00BB0FA0">
        <w:rPr>
          <w:sz w:val="28"/>
          <w:szCs w:val="26"/>
          <w:shd w:val="clear" w:color="auto" w:fill="FFFFFF"/>
        </w:rPr>
        <w:t xml:space="preserve"> акта виносився на громадське обговорення відповідно до вимог Порядку проведення консультацій з громадськістю з питань формування та реалізації державної політики, затвердженого постановою Кабінету Міністрів України від </w:t>
      </w:r>
      <w:r w:rsidR="00B30D6C">
        <w:rPr>
          <w:sz w:val="28"/>
          <w:szCs w:val="26"/>
          <w:shd w:val="clear" w:color="auto" w:fill="FFFFFF"/>
        </w:rPr>
        <w:t>03 листопада 2010 року</w:t>
      </w:r>
      <w:r w:rsidR="009A3C69" w:rsidRPr="00BB0FA0">
        <w:rPr>
          <w:sz w:val="28"/>
          <w:szCs w:val="26"/>
          <w:shd w:val="clear" w:color="auto" w:fill="FFFFFF"/>
        </w:rPr>
        <w:t xml:space="preserve"> № 996 </w:t>
      </w:r>
      <w:r w:rsidR="00A66591">
        <w:rPr>
          <w:sz w:val="28"/>
          <w:shd w:val="clear" w:color="auto" w:fill="FFFFFF"/>
        </w:rPr>
        <w:t>«</w:t>
      </w:r>
      <w:r w:rsidR="009A3C69" w:rsidRPr="00BB0FA0">
        <w:rPr>
          <w:sz w:val="28"/>
          <w:szCs w:val="26"/>
          <w:shd w:val="clear" w:color="auto" w:fill="FFFFFF"/>
        </w:rPr>
        <w:t xml:space="preserve">Про забезпечення участі </w:t>
      </w:r>
      <w:r w:rsidR="009A3C69" w:rsidRPr="00BB0FA0">
        <w:rPr>
          <w:sz w:val="28"/>
          <w:szCs w:val="26"/>
          <w:shd w:val="clear" w:color="auto" w:fill="FFFFFF"/>
        </w:rPr>
        <w:lastRenderedPageBreak/>
        <w:t>громадськості у формуванні та реалізації державної політики</w:t>
      </w:r>
      <w:r w:rsidR="00A66591" w:rsidRPr="00786DE5">
        <w:rPr>
          <w:sz w:val="28"/>
          <w:szCs w:val="26"/>
          <w:shd w:val="clear" w:color="auto" w:fill="FFFFFF"/>
        </w:rPr>
        <w:t>»</w:t>
      </w:r>
      <w:r w:rsidR="009A3C69" w:rsidRPr="00BB0FA0">
        <w:rPr>
          <w:sz w:val="28"/>
          <w:szCs w:val="26"/>
          <w:shd w:val="clear" w:color="auto" w:fill="FFFFFF"/>
        </w:rPr>
        <w:t xml:space="preserve"> (Офіційний вісник </w:t>
      </w:r>
      <w:r w:rsidR="00A66591">
        <w:rPr>
          <w:sz w:val="28"/>
          <w:szCs w:val="26"/>
          <w:shd w:val="clear" w:color="auto" w:fill="FFFFFF"/>
        </w:rPr>
        <w:t>України, 2010 року</w:t>
      </w:r>
      <w:r w:rsidR="009A3C69" w:rsidRPr="00BB0FA0">
        <w:rPr>
          <w:sz w:val="28"/>
          <w:szCs w:val="26"/>
          <w:shd w:val="clear" w:color="auto" w:fill="FFFFFF"/>
        </w:rPr>
        <w:t>, № 84, ст</w:t>
      </w:r>
      <w:r w:rsidRPr="00BB0FA0">
        <w:rPr>
          <w:sz w:val="28"/>
          <w:szCs w:val="26"/>
          <w:shd w:val="clear" w:color="auto" w:fill="FFFFFF"/>
        </w:rPr>
        <w:t>аття</w:t>
      </w:r>
      <w:r w:rsidR="009A3C69" w:rsidRPr="00BB0FA0">
        <w:rPr>
          <w:sz w:val="28"/>
          <w:szCs w:val="26"/>
          <w:shd w:val="clear" w:color="auto" w:fill="FFFFFF"/>
        </w:rPr>
        <w:t xml:space="preserve"> 2945)</w:t>
      </w:r>
      <w:r w:rsidR="00A4233B">
        <w:rPr>
          <w:sz w:val="28"/>
          <w:szCs w:val="26"/>
          <w:shd w:val="clear" w:color="auto" w:fill="FFFFFF"/>
        </w:rPr>
        <w:t>,</w:t>
      </w:r>
      <w:r w:rsidR="000C6E89" w:rsidRPr="00BB0FA0">
        <w:rPr>
          <w:sz w:val="28"/>
          <w:szCs w:val="26"/>
          <w:shd w:val="clear" w:color="auto" w:fill="FFFFFF"/>
        </w:rPr>
        <w:t xml:space="preserve"> шляхом розміщення його </w:t>
      </w:r>
      <w:r w:rsidR="00A04266" w:rsidRPr="00BB0FA0">
        <w:rPr>
          <w:sz w:val="28"/>
          <w:szCs w:val="26"/>
          <w:shd w:val="clear" w:color="auto" w:fill="FFFFFF"/>
        </w:rPr>
        <w:t>на офіційному сайті ДСНС</w:t>
      </w:r>
      <w:r w:rsidR="000C6E89" w:rsidRPr="00BB0FA0">
        <w:rPr>
          <w:sz w:val="28"/>
          <w:szCs w:val="26"/>
          <w:shd w:val="clear" w:color="auto" w:fill="FFFFFF"/>
        </w:rPr>
        <w:t>.</w:t>
      </w:r>
      <w:r w:rsidR="00FF4178" w:rsidRPr="00BB0FA0">
        <w:rPr>
          <w:sz w:val="28"/>
          <w:szCs w:val="26"/>
          <w:shd w:val="clear" w:color="auto" w:fill="FFFFFF"/>
        </w:rPr>
        <w:t xml:space="preserve"> </w:t>
      </w:r>
    </w:p>
    <w:p w:rsidR="00842455" w:rsidRPr="00BB0FA0" w:rsidRDefault="00842455" w:rsidP="00842455">
      <w:pPr>
        <w:ind w:firstLine="680"/>
        <w:jc w:val="both"/>
        <w:rPr>
          <w:sz w:val="28"/>
          <w:szCs w:val="28"/>
        </w:rPr>
      </w:pPr>
      <w:r w:rsidRPr="00BB0FA0">
        <w:rPr>
          <w:sz w:val="28"/>
          <w:szCs w:val="26"/>
          <w:shd w:val="clear" w:color="auto" w:fill="FFFFFF"/>
        </w:rPr>
        <w:t xml:space="preserve">Прогноз впливу реалізації акта на ключові інтереси заінтересованих сторін наведено </w:t>
      </w:r>
      <w:r>
        <w:rPr>
          <w:sz w:val="28"/>
          <w:szCs w:val="26"/>
          <w:shd w:val="clear" w:color="auto" w:fill="FFFFFF"/>
        </w:rPr>
        <w:t>в</w:t>
      </w:r>
      <w:r w:rsidRPr="00BB0FA0">
        <w:rPr>
          <w:sz w:val="28"/>
          <w:szCs w:val="26"/>
          <w:shd w:val="clear" w:color="auto" w:fill="FFFFFF"/>
        </w:rPr>
        <w:t xml:space="preserve"> додатку </w:t>
      </w:r>
      <w:r w:rsidRPr="00842455">
        <w:rPr>
          <w:sz w:val="28"/>
          <w:szCs w:val="26"/>
          <w:shd w:val="clear" w:color="auto" w:fill="FFFFFF"/>
          <w:lang w:val="ru-RU"/>
        </w:rPr>
        <w:t>1</w:t>
      </w:r>
      <w:r w:rsidRPr="00BB0FA0">
        <w:rPr>
          <w:sz w:val="28"/>
          <w:szCs w:val="26"/>
          <w:shd w:val="clear" w:color="auto" w:fill="FFFFFF"/>
        </w:rPr>
        <w:t xml:space="preserve"> до пояснювальної записки.</w:t>
      </w:r>
    </w:p>
    <w:p w:rsidR="00842455" w:rsidRPr="00842455" w:rsidRDefault="00842455" w:rsidP="00842455">
      <w:pPr>
        <w:widowControl w:val="0"/>
        <w:tabs>
          <w:tab w:val="left" w:pos="1134"/>
        </w:tabs>
        <w:jc w:val="both"/>
        <w:rPr>
          <w:b/>
          <w:sz w:val="24"/>
          <w:szCs w:val="24"/>
          <w:shd w:val="clear" w:color="auto" w:fill="FFFFFF"/>
        </w:rPr>
      </w:pPr>
    </w:p>
    <w:p w:rsidR="00932F93" w:rsidRPr="00BB0FA0" w:rsidRDefault="00932F93" w:rsidP="000C6E89">
      <w:pPr>
        <w:widowControl w:val="0"/>
        <w:tabs>
          <w:tab w:val="left" w:pos="1134"/>
        </w:tabs>
        <w:ind w:firstLine="680"/>
        <w:jc w:val="both"/>
        <w:rPr>
          <w:b/>
          <w:sz w:val="28"/>
          <w:szCs w:val="26"/>
          <w:shd w:val="clear" w:color="auto" w:fill="FFFFFF"/>
        </w:rPr>
      </w:pPr>
      <w:r w:rsidRPr="00BB0FA0">
        <w:rPr>
          <w:b/>
          <w:sz w:val="28"/>
          <w:szCs w:val="26"/>
          <w:shd w:val="clear" w:color="auto" w:fill="FFFFFF"/>
        </w:rPr>
        <w:t xml:space="preserve">6. Прогноз впливу </w:t>
      </w:r>
    </w:p>
    <w:p w:rsidR="000C6E89" w:rsidRPr="00842455" w:rsidRDefault="000C6E89" w:rsidP="00FF4178">
      <w:pPr>
        <w:widowControl w:val="0"/>
        <w:tabs>
          <w:tab w:val="left" w:pos="1134"/>
        </w:tabs>
        <w:ind w:firstLine="680"/>
        <w:jc w:val="center"/>
        <w:rPr>
          <w:b/>
          <w:sz w:val="24"/>
          <w:szCs w:val="24"/>
          <w:shd w:val="clear" w:color="auto" w:fill="FFFFFF"/>
        </w:rPr>
      </w:pPr>
    </w:p>
    <w:p w:rsidR="00842455" w:rsidRDefault="00606112" w:rsidP="000C6E89">
      <w:pPr>
        <w:ind w:firstLine="680"/>
        <w:jc w:val="both"/>
        <w:rPr>
          <w:sz w:val="28"/>
          <w:szCs w:val="26"/>
          <w:shd w:val="clear" w:color="auto" w:fill="FFFFFF"/>
        </w:rPr>
      </w:pPr>
      <w:r w:rsidRPr="00BB0FA0">
        <w:rPr>
          <w:bCs/>
          <w:sz w:val="28"/>
          <w:szCs w:val="28"/>
        </w:rPr>
        <w:t>Реалізація законо</w:t>
      </w:r>
      <w:r w:rsidR="007256F0" w:rsidRPr="00BB0FA0">
        <w:rPr>
          <w:bCs/>
          <w:sz w:val="28"/>
          <w:szCs w:val="28"/>
        </w:rPr>
        <w:t>проєкт</w:t>
      </w:r>
      <w:r w:rsidRPr="00BB0FA0">
        <w:rPr>
          <w:bCs/>
          <w:sz w:val="28"/>
          <w:szCs w:val="28"/>
        </w:rPr>
        <w:t xml:space="preserve">у </w:t>
      </w:r>
      <w:r w:rsidRPr="00BB0FA0">
        <w:rPr>
          <w:sz w:val="28"/>
          <w:szCs w:val="28"/>
        </w:rPr>
        <w:t>сприятиме підвищенню ефективності державного регулювання у сфері діяльності суб’єктів господарювання</w:t>
      </w:r>
      <w:r w:rsidRPr="00BB0FA0">
        <w:rPr>
          <w:bCs/>
          <w:sz w:val="28"/>
        </w:rPr>
        <w:t>, пов’язаної з об’єктами підвищеної небезпеки,</w:t>
      </w:r>
      <w:r w:rsidRPr="00BB0FA0">
        <w:rPr>
          <w:sz w:val="28"/>
          <w:szCs w:val="28"/>
        </w:rPr>
        <w:t xml:space="preserve"> і зниженню </w:t>
      </w:r>
      <w:r w:rsidRPr="00BB0FA0">
        <w:rPr>
          <w:bCs/>
          <w:sz w:val="28"/>
          <w:szCs w:val="28"/>
        </w:rPr>
        <w:t>рівня ризику виникнення значних аварій на ОПН</w:t>
      </w:r>
      <w:r w:rsidRPr="00BB0FA0">
        <w:rPr>
          <w:sz w:val="28"/>
          <w:szCs w:val="28"/>
        </w:rPr>
        <w:t>.</w:t>
      </w:r>
      <w:r w:rsidR="0091575F" w:rsidRPr="0091575F">
        <w:rPr>
          <w:sz w:val="28"/>
          <w:szCs w:val="26"/>
          <w:shd w:val="clear" w:color="auto" w:fill="FFFFFF"/>
        </w:rPr>
        <w:t xml:space="preserve"> </w:t>
      </w:r>
    </w:p>
    <w:p w:rsidR="00224C92" w:rsidRPr="005E3D7D" w:rsidRDefault="00224C92" w:rsidP="000C6E89">
      <w:pPr>
        <w:ind w:firstLine="680"/>
        <w:jc w:val="both"/>
        <w:rPr>
          <w:sz w:val="24"/>
          <w:szCs w:val="28"/>
        </w:rPr>
      </w:pPr>
    </w:p>
    <w:p w:rsidR="00932F93" w:rsidRPr="00BB0FA0" w:rsidRDefault="00932F93" w:rsidP="000C6E89">
      <w:pPr>
        <w:widowControl w:val="0"/>
        <w:tabs>
          <w:tab w:val="left" w:pos="1134"/>
        </w:tabs>
        <w:ind w:firstLine="680"/>
        <w:jc w:val="both"/>
        <w:rPr>
          <w:b/>
          <w:sz w:val="28"/>
          <w:szCs w:val="26"/>
          <w:shd w:val="clear" w:color="auto" w:fill="FFFFFF"/>
        </w:rPr>
      </w:pPr>
      <w:r w:rsidRPr="00BB0FA0">
        <w:rPr>
          <w:b/>
          <w:sz w:val="28"/>
          <w:szCs w:val="26"/>
          <w:shd w:val="clear" w:color="auto" w:fill="FFFFFF"/>
        </w:rPr>
        <w:t>7. Позиція заінтересованих органів</w:t>
      </w:r>
    </w:p>
    <w:p w:rsidR="006E361E" w:rsidRPr="005E3D7D" w:rsidRDefault="006E361E" w:rsidP="000C6E89">
      <w:pPr>
        <w:widowControl w:val="0"/>
        <w:tabs>
          <w:tab w:val="left" w:pos="1134"/>
        </w:tabs>
        <w:ind w:firstLine="680"/>
        <w:jc w:val="both"/>
        <w:rPr>
          <w:b/>
          <w:sz w:val="24"/>
          <w:szCs w:val="24"/>
          <w:shd w:val="clear" w:color="auto" w:fill="FFFFFF"/>
          <w:lang w:val="en-US"/>
        </w:rPr>
      </w:pPr>
    </w:p>
    <w:p w:rsidR="00CA33C2" w:rsidRDefault="00786DE5" w:rsidP="00786DE5">
      <w:pPr>
        <w:widowControl w:val="0"/>
        <w:tabs>
          <w:tab w:val="left" w:pos="1134"/>
        </w:tabs>
        <w:ind w:firstLine="680"/>
        <w:jc w:val="both"/>
        <w:rPr>
          <w:sz w:val="28"/>
          <w:szCs w:val="28"/>
        </w:rPr>
      </w:pPr>
      <w:r>
        <w:rPr>
          <w:sz w:val="28"/>
          <w:szCs w:val="28"/>
          <w:shd w:val="clear" w:color="auto" w:fill="FFFFFF"/>
        </w:rPr>
        <w:t xml:space="preserve">Законопроєкт погодили без зауважень </w:t>
      </w:r>
      <w:r>
        <w:rPr>
          <w:sz w:val="28"/>
          <w:szCs w:val="28"/>
        </w:rPr>
        <w:t>Міністерство</w:t>
      </w:r>
      <w:r w:rsidR="009C6A8E" w:rsidRPr="00BB0FA0">
        <w:rPr>
          <w:sz w:val="28"/>
          <w:szCs w:val="28"/>
        </w:rPr>
        <w:t xml:space="preserve"> фінансів України, </w:t>
      </w:r>
      <w:r>
        <w:rPr>
          <w:sz w:val="28"/>
          <w:szCs w:val="28"/>
        </w:rPr>
        <w:t>Міністерство</w:t>
      </w:r>
      <w:r w:rsidR="009C6A8E">
        <w:rPr>
          <w:sz w:val="28"/>
          <w:szCs w:val="28"/>
        </w:rPr>
        <w:t xml:space="preserve"> розвитку економіки, торгівлі та сільського господарства України,</w:t>
      </w:r>
      <w:r w:rsidR="009C6A8E" w:rsidRPr="009C6A8E">
        <w:rPr>
          <w:sz w:val="28"/>
          <w:szCs w:val="28"/>
        </w:rPr>
        <w:t xml:space="preserve"> </w:t>
      </w:r>
      <w:r>
        <w:rPr>
          <w:sz w:val="28"/>
          <w:szCs w:val="28"/>
        </w:rPr>
        <w:t>Міністерство охорони здоров’я України та Міністерство енергетики України. Законопроєкт погодили із зауваженнями Міністерство захисту довкілля та природних ресурсів України, Міністерство</w:t>
      </w:r>
      <w:r w:rsidR="009C6A8E" w:rsidRPr="00BB0FA0">
        <w:rPr>
          <w:sz w:val="28"/>
          <w:szCs w:val="28"/>
        </w:rPr>
        <w:t xml:space="preserve"> розвит</w:t>
      </w:r>
      <w:r>
        <w:rPr>
          <w:sz w:val="28"/>
          <w:szCs w:val="28"/>
        </w:rPr>
        <w:t xml:space="preserve">ку громад та територій України, </w:t>
      </w:r>
      <w:r w:rsidRPr="00BB0FA0">
        <w:rPr>
          <w:sz w:val="28"/>
          <w:szCs w:val="28"/>
        </w:rPr>
        <w:t>Державн</w:t>
      </w:r>
      <w:r>
        <w:rPr>
          <w:sz w:val="28"/>
          <w:szCs w:val="28"/>
        </w:rPr>
        <w:t xml:space="preserve">а регуляторна служба України та </w:t>
      </w:r>
      <w:r w:rsidR="009C6A8E" w:rsidRPr="00BB0FA0">
        <w:rPr>
          <w:sz w:val="28"/>
          <w:szCs w:val="28"/>
        </w:rPr>
        <w:t>Державн</w:t>
      </w:r>
      <w:r>
        <w:rPr>
          <w:sz w:val="28"/>
          <w:szCs w:val="28"/>
        </w:rPr>
        <w:t>а</w:t>
      </w:r>
      <w:r w:rsidR="009C6A8E" w:rsidRPr="00BB0FA0">
        <w:rPr>
          <w:sz w:val="28"/>
          <w:szCs w:val="28"/>
        </w:rPr>
        <w:t xml:space="preserve"> служб</w:t>
      </w:r>
      <w:r>
        <w:rPr>
          <w:sz w:val="28"/>
          <w:szCs w:val="28"/>
        </w:rPr>
        <w:t>а</w:t>
      </w:r>
      <w:r w:rsidR="009C6A8E" w:rsidRPr="00BB0FA0">
        <w:rPr>
          <w:sz w:val="28"/>
          <w:szCs w:val="28"/>
        </w:rPr>
        <w:t xml:space="preserve"> України з питань праці</w:t>
      </w:r>
      <w:r>
        <w:rPr>
          <w:sz w:val="28"/>
          <w:szCs w:val="28"/>
        </w:rPr>
        <w:t>.</w:t>
      </w:r>
    </w:p>
    <w:p w:rsidR="00786DE5" w:rsidRPr="00786DE5" w:rsidRDefault="00786DE5" w:rsidP="00786DE5">
      <w:pPr>
        <w:ind w:firstLine="567"/>
        <w:jc w:val="both"/>
        <w:rPr>
          <w:rFonts w:eastAsia="Tahoma"/>
          <w:kern w:val="1"/>
          <w:sz w:val="28"/>
          <w:szCs w:val="28"/>
          <w:lang w:bidi="hi-IN"/>
        </w:rPr>
      </w:pPr>
      <w:r w:rsidRPr="00786DE5">
        <w:rPr>
          <w:rFonts w:eastAsia="Tahoma"/>
          <w:kern w:val="1"/>
          <w:sz w:val="28"/>
          <w:szCs w:val="28"/>
          <w:lang w:bidi="hi-IN"/>
        </w:rPr>
        <w:t>Міністерство юстиції України надало висновок за результатами правової експертизи проєкту Закону України. Загальна підсумкова оцінка: відповідний із зауваженнями в частині недотримання вимог нормопроєктувальної техніки.</w:t>
      </w:r>
    </w:p>
    <w:p w:rsidR="00786DE5" w:rsidRPr="005E3D7D" w:rsidRDefault="00786DE5" w:rsidP="00786DE5">
      <w:pPr>
        <w:widowControl w:val="0"/>
        <w:tabs>
          <w:tab w:val="left" w:pos="1134"/>
        </w:tabs>
        <w:ind w:firstLine="680"/>
        <w:jc w:val="both"/>
        <w:rPr>
          <w:sz w:val="24"/>
          <w:szCs w:val="24"/>
        </w:rPr>
      </w:pPr>
    </w:p>
    <w:p w:rsidR="00932F93" w:rsidRPr="00BB0FA0" w:rsidRDefault="00672A07" w:rsidP="000C6E89">
      <w:pPr>
        <w:widowControl w:val="0"/>
        <w:tabs>
          <w:tab w:val="left" w:pos="1134"/>
        </w:tabs>
        <w:ind w:firstLine="680"/>
        <w:jc w:val="both"/>
        <w:rPr>
          <w:b/>
          <w:sz w:val="28"/>
          <w:szCs w:val="26"/>
          <w:shd w:val="clear" w:color="auto" w:fill="FFFFFF"/>
        </w:rPr>
      </w:pPr>
      <w:r w:rsidRPr="00BB0FA0">
        <w:rPr>
          <w:b/>
          <w:sz w:val="28"/>
          <w:szCs w:val="26"/>
          <w:shd w:val="clear" w:color="auto" w:fill="FFFFFF"/>
        </w:rPr>
        <w:t>8</w:t>
      </w:r>
      <w:r w:rsidR="00932F93" w:rsidRPr="00BB0FA0">
        <w:rPr>
          <w:b/>
          <w:sz w:val="28"/>
          <w:szCs w:val="26"/>
          <w:shd w:val="clear" w:color="auto" w:fill="FFFFFF"/>
        </w:rPr>
        <w:t xml:space="preserve">. Підстава розроблення </w:t>
      </w:r>
      <w:r w:rsidR="007256F0" w:rsidRPr="00BB0FA0">
        <w:rPr>
          <w:b/>
          <w:sz w:val="28"/>
          <w:szCs w:val="26"/>
          <w:shd w:val="clear" w:color="auto" w:fill="FFFFFF"/>
        </w:rPr>
        <w:t>проєкт</w:t>
      </w:r>
      <w:r w:rsidR="00932F93" w:rsidRPr="00BB0FA0">
        <w:rPr>
          <w:b/>
          <w:sz w:val="28"/>
          <w:szCs w:val="26"/>
          <w:shd w:val="clear" w:color="auto" w:fill="FFFFFF"/>
        </w:rPr>
        <w:t>у акта</w:t>
      </w:r>
    </w:p>
    <w:p w:rsidR="006E361E" w:rsidRPr="005E3D7D" w:rsidRDefault="006E361E" w:rsidP="000C6E89">
      <w:pPr>
        <w:widowControl w:val="0"/>
        <w:tabs>
          <w:tab w:val="left" w:pos="1134"/>
        </w:tabs>
        <w:ind w:firstLine="680"/>
        <w:jc w:val="both"/>
        <w:rPr>
          <w:b/>
          <w:sz w:val="24"/>
          <w:szCs w:val="24"/>
          <w:shd w:val="clear" w:color="auto" w:fill="FFFFFF"/>
        </w:rPr>
      </w:pPr>
    </w:p>
    <w:p w:rsidR="00585601" w:rsidRDefault="007256F0" w:rsidP="000C6E89">
      <w:pPr>
        <w:pStyle w:val="a9"/>
        <w:widowControl w:val="0"/>
        <w:spacing w:before="0"/>
        <w:ind w:firstLine="680"/>
        <w:jc w:val="both"/>
        <w:rPr>
          <w:sz w:val="28"/>
        </w:rPr>
      </w:pPr>
      <w:r w:rsidRPr="00BB0FA0">
        <w:rPr>
          <w:sz w:val="28"/>
          <w:szCs w:val="28"/>
        </w:rPr>
        <w:t>Проєкт</w:t>
      </w:r>
      <w:r w:rsidR="00606112" w:rsidRPr="00BB0FA0">
        <w:rPr>
          <w:sz w:val="28"/>
          <w:szCs w:val="28"/>
        </w:rPr>
        <w:t xml:space="preserve"> Закону Укр</w:t>
      </w:r>
      <w:r w:rsidR="00A66591">
        <w:rPr>
          <w:sz w:val="28"/>
          <w:szCs w:val="28"/>
        </w:rPr>
        <w:t>аїни «</w:t>
      </w:r>
      <w:r w:rsidR="00606112" w:rsidRPr="00BB0FA0">
        <w:rPr>
          <w:rStyle w:val="rvts15"/>
          <w:bCs/>
          <w:sz w:val="28"/>
          <w:szCs w:val="28"/>
        </w:rPr>
        <w:t>Про внесення змін до деяких законодавчих актів України щодо об’єктів підвищеної небезпеки</w:t>
      </w:r>
      <w:r w:rsidR="00A66591">
        <w:rPr>
          <w:sz w:val="28"/>
          <w:szCs w:val="28"/>
        </w:rPr>
        <w:t>»</w:t>
      </w:r>
      <w:r w:rsidR="00606112" w:rsidRPr="00BB0FA0">
        <w:rPr>
          <w:sz w:val="28"/>
          <w:szCs w:val="28"/>
        </w:rPr>
        <w:t xml:space="preserve"> має забезпечити виконання пункту 1764 </w:t>
      </w:r>
      <w:r w:rsidR="00606112" w:rsidRPr="00BB0FA0">
        <w:rPr>
          <w:rStyle w:val="rvts0"/>
          <w:sz w:val="28"/>
        </w:rPr>
        <w:t xml:space="preserve">Плану заходів </w:t>
      </w:r>
      <w:r w:rsidR="00606112" w:rsidRPr="00BB0FA0">
        <w:rPr>
          <w:rStyle w:val="rvts23"/>
          <w:sz w:val="28"/>
        </w:rPr>
        <w:t xml:space="preserve">з виконання </w:t>
      </w:r>
      <w:r w:rsidR="00606112" w:rsidRPr="00BB0FA0">
        <w:rPr>
          <w:rStyle w:val="rvts0"/>
          <w:sz w:val="28"/>
        </w:rPr>
        <w:t>Угоди про асоціацію</w:t>
      </w:r>
      <w:r w:rsidR="00606112" w:rsidRPr="00BB0FA0">
        <w:rPr>
          <w:rStyle w:val="rvts23"/>
          <w:sz w:val="28"/>
        </w:rPr>
        <w:t xml:space="preserve"> між Україною, з однієї сторони, та Європейським Союзом, Європейським співтовариством з атомної енергії і їхніми державами-членами, з іншої сторони, затвердженого постановою Кабінету Міністрів України від </w:t>
      </w:r>
      <w:r w:rsidR="00B30D6C">
        <w:rPr>
          <w:rStyle w:val="rvts9"/>
          <w:sz w:val="28"/>
        </w:rPr>
        <w:t>25 жовтня 2017 року</w:t>
      </w:r>
      <w:r w:rsidR="00606112" w:rsidRPr="00BB0FA0">
        <w:rPr>
          <w:rStyle w:val="rvts9"/>
          <w:sz w:val="28"/>
        </w:rPr>
        <w:t xml:space="preserve"> № 1106, </w:t>
      </w:r>
      <w:r w:rsidR="00606112" w:rsidRPr="00BB0FA0">
        <w:rPr>
          <w:sz w:val="28"/>
        </w:rPr>
        <w:t xml:space="preserve">щодо імплементації Директиви </w:t>
      </w:r>
      <w:r w:rsidR="00585601">
        <w:rPr>
          <w:sz w:val="28"/>
        </w:rPr>
        <w:t>Севезо ІІІ.</w:t>
      </w:r>
    </w:p>
    <w:p w:rsidR="000041AE" w:rsidRDefault="000041AE" w:rsidP="005E3D7D">
      <w:pPr>
        <w:widowControl w:val="0"/>
        <w:tabs>
          <w:tab w:val="left" w:pos="1134"/>
        </w:tabs>
        <w:jc w:val="both"/>
        <w:rPr>
          <w:sz w:val="28"/>
          <w:szCs w:val="26"/>
          <w:shd w:val="clear" w:color="auto" w:fill="FFFFFF"/>
        </w:rPr>
      </w:pPr>
    </w:p>
    <w:p w:rsidR="005E3D7D" w:rsidRPr="00BB0FA0" w:rsidRDefault="005E3D7D" w:rsidP="005E3D7D">
      <w:pPr>
        <w:widowControl w:val="0"/>
        <w:tabs>
          <w:tab w:val="left" w:pos="1134"/>
        </w:tabs>
        <w:jc w:val="both"/>
        <w:rPr>
          <w:sz w:val="28"/>
          <w:szCs w:val="26"/>
          <w:shd w:val="clear" w:color="auto" w:fill="FFFFFF"/>
        </w:rPr>
      </w:pPr>
    </w:p>
    <w:tbl>
      <w:tblPr>
        <w:tblW w:w="5000" w:type="pct"/>
        <w:tblCellSpacing w:w="0" w:type="dxa"/>
        <w:tblCellMar>
          <w:left w:w="0" w:type="dxa"/>
          <w:right w:w="0" w:type="dxa"/>
        </w:tblCellMar>
        <w:tblLook w:val="04A0" w:firstRow="1" w:lastRow="0" w:firstColumn="1" w:lastColumn="0" w:noHBand="0" w:noVBand="1"/>
      </w:tblPr>
      <w:tblGrid>
        <w:gridCol w:w="4804"/>
        <w:gridCol w:w="2083"/>
        <w:gridCol w:w="2751"/>
      </w:tblGrid>
      <w:tr w:rsidR="00653134" w:rsidRPr="00653134" w:rsidTr="002B27D5">
        <w:trPr>
          <w:tblCellSpacing w:w="0" w:type="dxa"/>
        </w:trPr>
        <w:tc>
          <w:tcPr>
            <w:tcW w:w="4804" w:type="dxa"/>
            <w:hideMark/>
          </w:tcPr>
          <w:p w:rsidR="00653134" w:rsidRPr="00653134" w:rsidRDefault="00653134">
            <w:pPr>
              <w:tabs>
                <w:tab w:val="left" w:pos="708"/>
              </w:tabs>
              <w:rPr>
                <w:b/>
                <w:sz w:val="28"/>
                <w:szCs w:val="28"/>
              </w:rPr>
            </w:pPr>
            <w:r w:rsidRPr="00653134">
              <w:rPr>
                <w:b/>
                <w:sz w:val="28"/>
                <w:szCs w:val="28"/>
              </w:rPr>
              <w:t>Міністр внутрішніх справ України</w:t>
            </w:r>
          </w:p>
        </w:tc>
        <w:tc>
          <w:tcPr>
            <w:tcW w:w="2083" w:type="dxa"/>
          </w:tcPr>
          <w:p w:rsidR="00653134" w:rsidRPr="00653134" w:rsidRDefault="00653134">
            <w:pPr>
              <w:tabs>
                <w:tab w:val="left" w:pos="708"/>
              </w:tabs>
              <w:ind w:firstLine="680"/>
              <w:rPr>
                <w:sz w:val="28"/>
                <w:szCs w:val="28"/>
              </w:rPr>
            </w:pPr>
          </w:p>
        </w:tc>
        <w:tc>
          <w:tcPr>
            <w:tcW w:w="2751" w:type="dxa"/>
            <w:hideMark/>
          </w:tcPr>
          <w:p w:rsidR="00653134" w:rsidRPr="00653134" w:rsidRDefault="00B30D6C">
            <w:pPr>
              <w:tabs>
                <w:tab w:val="left" w:pos="708"/>
              </w:tabs>
              <w:rPr>
                <w:b/>
                <w:sz w:val="28"/>
                <w:szCs w:val="28"/>
              </w:rPr>
            </w:pPr>
            <w:r>
              <w:rPr>
                <w:b/>
                <w:sz w:val="28"/>
                <w:szCs w:val="28"/>
              </w:rPr>
              <w:t xml:space="preserve">         Арсен АВАКОВ</w:t>
            </w:r>
          </w:p>
        </w:tc>
      </w:tr>
    </w:tbl>
    <w:p w:rsidR="005E3D7D" w:rsidRPr="002B27D5" w:rsidRDefault="005E3D7D" w:rsidP="002B27D5">
      <w:pPr>
        <w:tabs>
          <w:tab w:val="left" w:pos="708"/>
        </w:tabs>
        <w:rPr>
          <w:sz w:val="28"/>
          <w:szCs w:val="28"/>
        </w:rPr>
      </w:pPr>
      <w:bookmarkStart w:id="2" w:name="n972"/>
      <w:bookmarkEnd w:id="2"/>
    </w:p>
    <w:sectPr w:rsidR="005E3D7D" w:rsidRPr="002B27D5" w:rsidSect="002B27D5">
      <w:headerReference w:type="default" r:id="rId9"/>
      <w:footerReference w:type="default" r:id="rId10"/>
      <w:headerReference w:type="first" r:id="rId11"/>
      <w:footerReference w:type="first" r:id="rId12"/>
      <w:pgSz w:w="11906" w:h="16838"/>
      <w:pgMar w:top="709" w:right="567" w:bottom="426" w:left="1701" w:header="851"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60EA" w:rsidRDefault="001960EA">
      <w:r>
        <w:separator/>
      </w:r>
    </w:p>
  </w:endnote>
  <w:endnote w:type="continuationSeparator" w:id="0">
    <w:p w:rsidR="001960EA" w:rsidRDefault="00196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ohit Devanagari">
    <w:altName w:val="Times New Roman"/>
    <w:charset w:val="01"/>
    <w:family w:val="auto"/>
    <w:pitch w:val="default"/>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134" w:rsidRDefault="00653134">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134" w:rsidRPr="00FD60AB" w:rsidRDefault="00653134" w:rsidP="00FD60AB">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60EA" w:rsidRDefault="001960EA">
      <w:r>
        <w:separator/>
      </w:r>
    </w:p>
  </w:footnote>
  <w:footnote w:type="continuationSeparator" w:id="0">
    <w:p w:rsidR="001960EA" w:rsidRDefault="001960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134" w:rsidRPr="00FD60AB" w:rsidRDefault="00653134" w:rsidP="00307AFB">
    <w:pPr>
      <w:pStyle w:val="ae"/>
      <w:framePr w:wrap="around" w:vAnchor="text" w:hAnchor="margin" w:xAlign="center" w:y="1"/>
      <w:rPr>
        <w:rStyle w:val="a3"/>
        <w:sz w:val="28"/>
      </w:rPr>
    </w:pPr>
    <w:r w:rsidRPr="00FD60AB">
      <w:rPr>
        <w:rStyle w:val="a3"/>
        <w:sz w:val="28"/>
      </w:rPr>
      <w:fldChar w:fldCharType="begin"/>
    </w:r>
    <w:r w:rsidRPr="00FD60AB">
      <w:rPr>
        <w:rStyle w:val="a3"/>
        <w:sz w:val="28"/>
      </w:rPr>
      <w:instrText xml:space="preserve">PAGE  </w:instrText>
    </w:r>
    <w:r w:rsidRPr="00FD60AB">
      <w:rPr>
        <w:rStyle w:val="a3"/>
        <w:sz w:val="28"/>
      </w:rPr>
      <w:fldChar w:fldCharType="separate"/>
    </w:r>
    <w:r w:rsidR="000A20EB">
      <w:rPr>
        <w:rStyle w:val="a3"/>
        <w:noProof/>
        <w:sz w:val="28"/>
      </w:rPr>
      <w:t>4</w:t>
    </w:r>
    <w:r w:rsidRPr="00FD60AB">
      <w:rPr>
        <w:rStyle w:val="a3"/>
        <w:sz w:val="28"/>
      </w:rPr>
      <w:fldChar w:fldCharType="end"/>
    </w:r>
  </w:p>
  <w:p w:rsidR="00653134" w:rsidRDefault="00653134">
    <w:pPr>
      <w:pStyle w:val="a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134" w:rsidRDefault="00653134">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suff w:val="space"/>
      <w:lvlText w:val="%1."/>
      <w:lvlJc w:val="center"/>
      <w:pPr>
        <w:tabs>
          <w:tab w:val="num" w:pos="0"/>
        </w:tabs>
        <w:ind w:left="0" w:firstLine="680"/>
      </w:pPr>
      <w:rPr>
        <w:rFonts w:hint="default"/>
        <w:b/>
      </w:rPr>
    </w:lvl>
    <w:lvl w:ilvl="1">
      <w:start w:val="1"/>
      <w:numFmt w:val="decimal"/>
      <w:suff w:val="space"/>
      <w:lvlText w:val="%1.%2."/>
      <w:lvlJc w:val="left"/>
      <w:pPr>
        <w:tabs>
          <w:tab w:val="num" w:pos="0"/>
        </w:tabs>
        <w:ind w:left="0" w:firstLine="680"/>
      </w:pPr>
      <w:rPr>
        <w:rFonts w:hint="default"/>
      </w:rPr>
    </w:lvl>
    <w:lvl w:ilvl="2">
      <w:start w:val="1"/>
      <w:numFmt w:val="decimal"/>
      <w:suff w:val="space"/>
      <w:lvlText w:val="%1.%2.%3."/>
      <w:lvlJc w:val="left"/>
      <w:pPr>
        <w:tabs>
          <w:tab w:val="num" w:pos="0"/>
        </w:tabs>
        <w:ind w:left="0" w:firstLine="680"/>
      </w:pPr>
      <w:rPr>
        <w:rFonts w:hint="default"/>
      </w:rPr>
    </w:lvl>
    <w:lvl w:ilvl="3">
      <w:start w:val="1"/>
      <w:numFmt w:val="decimal"/>
      <w:suff w:val="space"/>
      <w:lvlText w:val="%1.%2.%3.%4."/>
      <w:lvlJc w:val="left"/>
      <w:pPr>
        <w:tabs>
          <w:tab w:val="num" w:pos="0"/>
        </w:tabs>
        <w:ind w:left="0" w:firstLine="680"/>
      </w:pPr>
      <w:rPr>
        <w:rFonts w:hint="default"/>
      </w:rPr>
    </w:lvl>
    <w:lvl w:ilvl="4">
      <w:start w:val="1"/>
      <w:numFmt w:val="decimal"/>
      <w:lvlText w:val="%1.%2.%3.%4.%5."/>
      <w:lvlJc w:val="left"/>
      <w:pPr>
        <w:tabs>
          <w:tab w:val="num" w:pos="2520"/>
        </w:tabs>
        <w:ind w:left="0" w:firstLine="680"/>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
    <w:nsid w:val="00000002"/>
    <w:multiLevelType w:val="multilevel"/>
    <w:tmpl w:val="00000002"/>
    <w:name w:val="WW8Num4"/>
    <w:lvl w:ilvl="0">
      <w:start w:val="1"/>
      <w:numFmt w:val="decimal"/>
      <w:suff w:val="space"/>
      <w:lvlText w:val="%1."/>
      <w:lvlJc w:val="center"/>
      <w:pPr>
        <w:tabs>
          <w:tab w:val="num" w:pos="0"/>
        </w:tabs>
        <w:ind w:left="0" w:firstLine="680"/>
      </w:pPr>
      <w:rPr>
        <w:rFonts w:hint="default"/>
        <w:b/>
      </w:rPr>
    </w:lvl>
    <w:lvl w:ilvl="1">
      <w:start w:val="1"/>
      <w:numFmt w:val="decimal"/>
      <w:suff w:val="space"/>
      <w:lvlText w:val="%1.%2."/>
      <w:lvlJc w:val="left"/>
      <w:pPr>
        <w:tabs>
          <w:tab w:val="num" w:pos="0"/>
        </w:tabs>
        <w:ind w:left="0" w:firstLine="680"/>
      </w:pPr>
      <w:rPr>
        <w:rFonts w:hint="default"/>
      </w:rPr>
    </w:lvl>
    <w:lvl w:ilvl="2">
      <w:start w:val="1"/>
      <w:numFmt w:val="decimal"/>
      <w:suff w:val="space"/>
      <w:lvlText w:val="%1.%2.%3."/>
      <w:lvlJc w:val="left"/>
      <w:pPr>
        <w:tabs>
          <w:tab w:val="num" w:pos="0"/>
        </w:tabs>
        <w:ind w:left="0" w:firstLine="680"/>
      </w:pPr>
      <w:rPr>
        <w:rFonts w:hint="default"/>
      </w:rPr>
    </w:lvl>
    <w:lvl w:ilvl="3">
      <w:start w:val="1"/>
      <w:numFmt w:val="decimal"/>
      <w:suff w:val="space"/>
      <w:lvlText w:val="%1.%2.%3.%4."/>
      <w:lvlJc w:val="left"/>
      <w:pPr>
        <w:tabs>
          <w:tab w:val="num" w:pos="0"/>
        </w:tabs>
        <w:ind w:left="0" w:firstLine="680"/>
      </w:pPr>
      <w:rPr>
        <w:rFonts w:hint="default"/>
      </w:rPr>
    </w:lvl>
    <w:lvl w:ilvl="4">
      <w:start w:val="1"/>
      <w:numFmt w:val="decimal"/>
      <w:lvlText w:val="%1.%2.%3.%4.%5."/>
      <w:lvlJc w:val="left"/>
      <w:pPr>
        <w:tabs>
          <w:tab w:val="num" w:pos="2520"/>
        </w:tabs>
        <w:ind w:left="0" w:firstLine="680"/>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nsid w:val="00000003"/>
    <w:multiLevelType w:val="multilevel"/>
    <w:tmpl w:val="00000003"/>
    <w:name w:val="WW8Num11"/>
    <w:lvl w:ilvl="0">
      <w:start w:val="1"/>
      <w:numFmt w:val="decimal"/>
      <w:suff w:val="space"/>
      <w:lvlText w:val="%1."/>
      <w:lvlJc w:val="left"/>
      <w:pPr>
        <w:tabs>
          <w:tab w:val="num" w:pos="0"/>
        </w:tabs>
        <w:ind w:left="738" w:firstLine="680"/>
      </w:pPr>
      <w:rPr>
        <w:rFonts w:hint="default"/>
        <w:b/>
        <w:spacing w:val="-6"/>
        <w:sz w:val="28"/>
      </w:rPr>
    </w:lvl>
    <w:lvl w:ilvl="1">
      <w:start w:val="1"/>
      <w:numFmt w:val="decimal"/>
      <w:lvlText w:val="%1.%2."/>
      <w:lvlJc w:val="left"/>
      <w:pPr>
        <w:tabs>
          <w:tab w:val="num" w:pos="792"/>
        </w:tabs>
        <w:ind w:left="792" w:hanging="432"/>
      </w:pPr>
      <w:rPr>
        <w:rFonts w:hint="default"/>
        <w:b/>
        <w:spacing w:val="-6"/>
        <w:sz w:val="28"/>
      </w:rPr>
    </w:lvl>
    <w:lvl w:ilvl="2">
      <w:start w:val="1"/>
      <w:numFmt w:val="decimal"/>
      <w:lvlText w:val="%1.%2.%3."/>
      <w:lvlJc w:val="left"/>
      <w:pPr>
        <w:tabs>
          <w:tab w:val="num" w:pos="1440"/>
        </w:tabs>
        <w:ind w:left="1224" w:hanging="504"/>
      </w:pPr>
      <w:rPr>
        <w:rFonts w:hint="default"/>
        <w:b/>
        <w:spacing w:val="-6"/>
        <w:sz w:val="28"/>
      </w:rPr>
    </w:lvl>
    <w:lvl w:ilvl="3">
      <w:start w:val="1"/>
      <w:numFmt w:val="decimal"/>
      <w:lvlText w:val="%1.%2.%3.%4."/>
      <w:lvlJc w:val="left"/>
      <w:pPr>
        <w:tabs>
          <w:tab w:val="num" w:pos="1800"/>
        </w:tabs>
        <w:ind w:left="1728" w:hanging="648"/>
      </w:pPr>
      <w:rPr>
        <w:rFonts w:hint="default"/>
        <w:b/>
        <w:spacing w:val="-6"/>
        <w:sz w:val="28"/>
      </w:rPr>
    </w:lvl>
    <w:lvl w:ilvl="4">
      <w:start w:val="1"/>
      <w:numFmt w:val="decimal"/>
      <w:lvlText w:val="%1.%2.%3.%4.%5."/>
      <w:lvlJc w:val="left"/>
      <w:pPr>
        <w:tabs>
          <w:tab w:val="num" w:pos="2520"/>
        </w:tabs>
        <w:ind w:left="2232" w:hanging="792"/>
      </w:pPr>
      <w:rPr>
        <w:rFonts w:hint="default"/>
        <w:b/>
        <w:spacing w:val="-6"/>
        <w:sz w:val="28"/>
      </w:rPr>
    </w:lvl>
    <w:lvl w:ilvl="5">
      <w:start w:val="1"/>
      <w:numFmt w:val="decimal"/>
      <w:lvlText w:val="%1.%2.%3.%4.%5.%6."/>
      <w:lvlJc w:val="left"/>
      <w:pPr>
        <w:tabs>
          <w:tab w:val="num" w:pos="2880"/>
        </w:tabs>
        <w:ind w:left="2736" w:hanging="936"/>
      </w:pPr>
      <w:rPr>
        <w:rFonts w:hint="default"/>
        <w:b/>
        <w:spacing w:val="-6"/>
        <w:sz w:val="28"/>
      </w:rPr>
    </w:lvl>
    <w:lvl w:ilvl="6">
      <w:start w:val="1"/>
      <w:numFmt w:val="decimal"/>
      <w:lvlText w:val="%1.%2.%3.%4.%5.%6.%7."/>
      <w:lvlJc w:val="left"/>
      <w:pPr>
        <w:tabs>
          <w:tab w:val="num" w:pos="3600"/>
        </w:tabs>
        <w:ind w:left="3240" w:hanging="1080"/>
      </w:pPr>
      <w:rPr>
        <w:rFonts w:hint="default"/>
        <w:b/>
        <w:spacing w:val="-6"/>
        <w:sz w:val="28"/>
      </w:rPr>
    </w:lvl>
    <w:lvl w:ilvl="7">
      <w:start w:val="1"/>
      <w:numFmt w:val="decimal"/>
      <w:lvlText w:val="%1.%2.%3.%4.%5.%6.%7.%8."/>
      <w:lvlJc w:val="left"/>
      <w:pPr>
        <w:tabs>
          <w:tab w:val="num" w:pos="3960"/>
        </w:tabs>
        <w:ind w:left="3744" w:hanging="1224"/>
      </w:pPr>
      <w:rPr>
        <w:rFonts w:hint="default"/>
        <w:b/>
        <w:spacing w:val="-6"/>
        <w:sz w:val="28"/>
      </w:rPr>
    </w:lvl>
    <w:lvl w:ilvl="8">
      <w:start w:val="1"/>
      <w:numFmt w:val="decimal"/>
      <w:lvlText w:val="%1.%2.%3.%4.%5.%6.%7.%8.%9."/>
      <w:lvlJc w:val="left"/>
      <w:pPr>
        <w:tabs>
          <w:tab w:val="num" w:pos="4680"/>
        </w:tabs>
        <w:ind w:left="4320" w:hanging="1440"/>
      </w:pPr>
      <w:rPr>
        <w:rFonts w:hint="default"/>
        <w:b/>
        <w:spacing w:val="-6"/>
        <w:sz w:val="28"/>
      </w:rPr>
    </w:lvl>
  </w:abstractNum>
  <w:abstractNum w:abstractNumId="3">
    <w:nsid w:val="10036BE0"/>
    <w:multiLevelType w:val="hybridMultilevel"/>
    <w:tmpl w:val="43A4442E"/>
    <w:lvl w:ilvl="0" w:tplc="78C82712">
      <w:numFmt w:val="bullet"/>
      <w:lvlText w:val="-"/>
      <w:lvlJc w:val="left"/>
      <w:pPr>
        <w:ind w:left="928"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4">
    <w:nsid w:val="604A49F5"/>
    <w:multiLevelType w:val="multilevel"/>
    <w:tmpl w:val="0419001D"/>
    <w:lvl w:ilvl="0">
      <w:start w:val="1"/>
      <w:numFmt w:val="decimal"/>
      <w:pStyle w:val="WW8Num2z6"/>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1D9"/>
    <w:rsid w:val="000041AE"/>
    <w:rsid w:val="000101F9"/>
    <w:rsid w:val="00023547"/>
    <w:rsid w:val="000572D9"/>
    <w:rsid w:val="00060F4A"/>
    <w:rsid w:val="00084F9D"/>
    <w:rsid w:val="000A20EB"/>
    <w:rsid w:val="000C6E89"/>
    <w:rsid w:val="000D47C4"/>
    <w:rsid w:val="000D4D9C"/>
    <w:rsid w:val="000D61D9"/>
    <w:rsid w:val="000F2312"/>
    <w:rsid w:val="00102F2A"/>
    <w:rsid w:val="001272B8"/>
    <w:rsid w:val="001545A0"/>
    <w:rsid w:val="00171DDF"/>
    <w:rsid w:val="001960EA"/>
    <w:rsid w:val="001A0A71"/>
    <w:rsid w:val="001D0ED7"/>
    <w:rsid w:val="00211DE2"/>
    <w:rsid w:val="00221325"/>
    <w:rsid w:val="00224C92"/>
    <w:rsid w:val="00242A71"/>
    <w:rsid w:val="00251F99"/>
    <w:rsid w:val="002B27D5"/>
    <w:rsid w:val="002C2223"/>
    <w:rsid w:val="002C30DB"/>
    <w:rsid w:val="002F31AC"/>
    <w:rsid w:val="00305D62"/>
    <w:rsid w:val="00307AFB"/>
    <w:rsid w:val="00342016"/>
    <w:rsid w:val="00385473"/>
    <w:rsid w:val="003A71A3"/>
    <w:rsid w:val="003B743D"/>
    <w:rsid w:val="003C7BB7"/>
    <w:rsid w:val="003E1EBA"/>
    <w:rsid w:val="003F0CCB"/>
    <w:rsid w:val="00401AC9"/>
    <w:rsid w:val="00441422"/>
    <w:rsid w:val="00461D55"/>
    <w:rsid w:val="00470543"/>
    <w:rsid w:val="00480FB4"/>
    <w:rsid w:val="00481691"/>
    <w:rsid w:val="004B5EDF"/>
    <w:rsid w:val="004B7CF4"/>
    <w:rsid w:val="005473F6"/>
    <w:rsid w:val="00554C5B"/>
    <w:rsid w:val="00585601"/>
    <w:rsid w:val="005B33F1"/>
    <w:rsid w:val="005C19A5"/>
    <w:rsid w:val="005C1D1C"/>
    <w:rsid w:val="005E3D7D"/>
    <w:rsid w:val="006003BB"/>
    <w:rsid w:val="00606112"/>
    <w:rsid w:val="00653134"/>
    <w:rsid w:val="00672A07"/>
    <w:rsid w:val="00673CEA"/>
    <w:rsid w:val="006945DA"/>
    <w:rsid w:val="006B4725"/>
    <w:rsid w:val="006C3EDE"/>
    <w:rsid w:val="006E32F8"/>
    <w:rsid w:val="006E361E"/>
    <w:rsid w:val="0070153B"/>
    <w:rsid w:val="00703C10"/>
    <w:rsid w:val="00720C1A"/>
    <w:rsid w:val="007256F0"/>
    <w:rsid w:val="00743FA7"/>
    <w:rsid w:val="0077770F"/>
    <w:rsid w:val="007827E2"/>
    <w:rsid w:val="00786DE5"/>
    <w:rsid w:val="007A5421"/>
    <w:rsid w:val="00830DC5"/>
    <w:rsid w:val="00840F3F"/>
    <w:rsid w:val="00842455"/>
    <w:rsid w:val="00846700"/>
    <w:rsid w:val="0086372F"/>
    <w:rsid w:val="0087562F"/>
    <w:rsid w:val="008853AD"/>
    <w:rsid w:val="008A13EF"/>
    <w:rsid w:val="008B574E"/>
    <w:rsid w:val="008E7259"/>
    <w:rsid w:val="008F278D"/>
    <w:rsid w:val="00907E1B"/>
    <w:rsid w:val="0091575F"/>
    <w:rsid w:val="00932F93"/>
    <w:rsid w:val="00941D63"/>
    <w:rsid w:val="0095654A"/>
    <w:rsid w:val="00960952"/>
    <w:rsid w:val="00963147"/>
    <w:rsid w:val="00964CDF"/>
    <w:rsid w:val="009935FA"/>
    <w:rsid w:val="009A3C69"/>
    <w:rsid w:val="009B3231"/>
    <w:rsid w:val="009C697F"/>
    <w:rsid w:val="009C6A8E"/>
    <w:rsid w:val="009D0A5F"/>
    <w:rsid w:val="00A04266"/>
    <w:rsid w:val="00A163B6"/>
    <w:rsid w:val="00A31056"/>
    <w:rsid w:val="00A3336E"/>
    <w:rsid w:val="00A4179F"/>
    <w:rsid w:val="00A4233B"/>
    <w:rsid w:val="00A64BF7"/>
    <w:rsid w:val="00A66591"/>
    <w:rsid w:val="00A74A27"/>
    <w:rsid w:val="00AA5ADC"/>
    <w:rsid w:val="00AB3B3F"/>
    <w:rsid w:val="00AB4B91"/>
    <w:rsid w:val="00AC7F88"/>
    <w:rsid w:val="00B002F2"/>
    <w:rsid w:val="00B30D6C"/>
    <w:rsid w:val="00B54646"/>
    <w:rsid w:val="00B61C3F"/>
    <w:rsid w:val="00B62A8E"/>
    <w:rsid w:val="00B85878"/>
    <w:rsid w:val="00BB0FA0"/>
    <w:rsid w:val="00BD5486"/>
    <w:rsid w:val="00BF197B"/>
    <w:rsid w:val="00C03D55"/>
    <w:rsid w:val="00C143BE"/>
    <w:rsid w:val="00C22708"/>
    <w:rsid w:val="00C5457E"/>
    <w:rsid w:val="00C73546"/>
    <w:rsid w:val="00C85BCA"/>
    <w:rsid w:val="00CA33C2"/>
    <w:rsid w:val="00D14D96"/>
    <w:rsid w:val="00D31E42"/>
    <w:rsid w:val="00D52365"/>
    <w:rsid w:val="00D846F2"/>
    <w:rsid w:val="00D97D4A"/>
    <w:rsid w:val="00DA61C4"/>
    <w:rsid w:val="00DC5AE0"/>
    <w:rsid w:val="00E042F9"/>
    <w:rsid w:val="00E378CF"/>
    <w:rsid w:val="00E4232B"/>
    <w:rsid w:val="00E704C0"/>
    <w:rsid w:val="00E91BE8"/>
    <w:rsid w:val="00E92186"/>
    <w:rsid w:val="00EA32C6"/>
    <w:rsid w:val="00EB099F"/>
    <w:rsid w:val="00EB2BCD"/>
    <w:rsid w:val="00EB457E"/>
    <w:rsid w:val="00F01D2C"/>
    <w:rsid w:val="00F14A32"/>
    <w:rsid w:val="00F27763"/>
    <w:rsid w:val="00F30EBA"/>
    <w:rsid w:val="00F55CF6"/>
    <w:rsid w:val="00F64B82"/>
    <w:rsid w:val="00F80B14"/>
    <w:rsid w:val="00F84F7C"/>
    <w:rsid w:val="00FA5946"/>
    <w:rsid w:val="00FB1951"/>
    <w:rsid w:val="00FB45D9"/>
    <w:rsid w:val="00FD60AB"/>
    <w:rsid w:val="00FD712D"/>
    <w:rsid w:val="00FE44A9"/>
    <w:rsid w:val="00FE65C2"/>
    <w:rsid w:val="00FE76FD"/>
    <w:rsid w:val="00FF1CD6"/>
    <w:rsid w:val="00FF41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suppressAutoHyphens/>
    </w:pPr>
    <w:rPr>
      <w:lang w:val="uk-UA" w:eastAsia="zh-CN"/>
    </w:rPr>
  </w:style>
  <w:style w:type="paragraph" w:styleId="1">
    <w:name w:val="heading 1"/>
    <w:basedOn w:val="a"/>
    <w:next w:val="a"/>
    <w:qFormat/>
    <w:pPr>
      <w:keepNext/>
      <w:outlineLvl w:val="0"/>
    </w:pPr>
    <w:rPr>
      <w:sz w:val="28"/>
    </w:rPr>
  </w:style>
  <w:style w:type="paragraph" w:styleId="2">
    <w:name w:val="heading 2"/>
    <w:basedOn w:val="a"/>
    <w:next w:val="a"/>
    <w:qFormat/>
    <w:pPr>
      <w:keepNext/>
      <w:ind w:firstLine="720"/>
      <w:jc w:val="both"/>
      <w:outlineLvl w:val="1"/>
    </w:pPr>
    <w:rPr>
      <w:sz w:val="28"/>
    </w:rPr>
  </w:style>
  <w:style w:type="paragraph" w:styleId="3">
    <w:name w:val="heading 3"/>
    <w:basedOn w:val="a"/>
    <w:next w:val="a"/>
    <w:qFormat/>
    <w:pPr>
      <w:keepNext/>
      <w:spacing w:before="240" w:after="60"/>
      <w:outlineLvl w:val="2"/>
    </w:pPr>
    <w:rPr>
      <w:rFonts w:ascii="Arial" w:hAnsi="Arial" w:cs="Arial"/>
      <w:b/>
      <w:bCs/>
      <w:sz w:val="26"/>
      <w:szCs w:val="26"/>
    </w:rPr>
  </w:style>
  <w:style w:type="paragraph" w:styleId="5">
    <w:name w:val="heading 5"/>
    <w:basedOn w:val="a"/>
    <w:next w:val="a"/>
    <w:qFormat/>
    <w:pPr>
      <w:numPr>
        <w:ilvl w:val="4"/>
        <w:numId w:val="2"/>
      </w:numPr>
      <w:tabs>
        <w:tab w:val="left" w:pos="680"/>
      </w:tabs>
      <w:spacing w:before="240" w:after="60"/>
      <w:outlineLvl w:val="4"/>
    </w:pPr>
    <w:rPr>
      <w:b/>
      <w:bCs/>
      <w:i/>
      <w:iCs/>
      <w:color w:val="000000"/>
      <w:sz w:val="26"/>
      <w:szCs w:val="26"/>
    </w:rPr>
  </w:style>
  <w:style w:type="paragraph" w:styleId="6">
    <w:name w:val="heading 6"/>
    <w:basedOn w:val="a"/>
    <w:next w:val="a"/>
    <w:qFormat/>
    <w:pPr>
      <w:numPr>
        <w:ilvl w:val="5"/>
        <w:numId w:val="2"/>
      </w:numPr>
      <w:tabs>
        <w:tab w:val="left" w:pos="680"/>
      </w:tabs>
      <w:spacing w:before="240" w:after="60"/>
      <w:outlineLvl w:val="5"/>
    </w:pPr>
    <w:rPr>
      <w:b/>
      <w:bCs/>
      <w:color w:val="000000"/>
      <w:sz w:val="22"/>
      <w:szCs w:val="22"/>
    </w:rPr>
  </w:style>
  <w:style w:type="paragraph" w:styleId="7">
    <w:name w:val="heading 7"/>
    <w:basedOn w:val="a"/>
    <w:next w:val="a"/>
    <w:qFormat/>
    <w:pPr>
      <w:numPr>
        <w:ilvl w:val="6"/>
        <w:numId w:val="2"/>
      </w:numPr>
      <w:tabs>
        <w:tab w:val="left" w:pos="680"/>
      </w:tabs>
      <w:spacing w:before="240" w:after="60"/>
      <w:outlineLvl w:val="6"/>
    </w:pPr>
    <w:rPr>
      <w:color w:val="000000"/>
      <w:sz w:val="24"/>
      <w:szCs w:val="24"/>
    </w:rPr>
  </w:style>
  <w:style w:type="paragraph" w:styleId="8">
    <w:name w:val="heading 8"/>
    <w:basedOn w:val="a"/>
    <w:next w:val="a"/>
    <w:qFormat/>
    <w:pPr>
      <w:numPr>
        <w:ilvl w:val="7"/>
        <w:numId w:val="2"/>
      </w:numPr>
      <w:tabs>
        <w:tab w:val="left" w:pos="680"/>
      </w:tabs>
      <w:spacing w:before="240" w:after="60"/>
      <w:outlineLvl w:val="7"/>
    </w:pPr>
    <w:rPr>
      <w:i/>
      <w:iCs/>
      <w:color w:val="000000"/>
      <w:sz w:val="24"/>
      <w:szCs w:val="24"/>
    </w:rPr>
  </w:style>
  <w:style w:type="paragraph" w:styleId="9">
    <w:name w:val="heading 9"/>
    <w:basedOn w:val="a"/>
    <w:next w:val="a"/>
    <w:qFormat/>
    <w:pPr>
      <w:numPr>
        <w:ilvl w:val="8"/>
        <w:numId w:val="2"/>
      </w:numPr>
      <w:tabs>
        <w:tab w:val="left" w:pos="680"/>
      </w:tabs>
      <w:spacing w:before="240" w:after="60"/>
      <w:outlineLvl w:val="8"/>
    </w:pPr>
    <w:rPr>
      <w:rFonts w:ascii="Arial" w:hAnsi="Arial" w:cs="Arial"/>
      <w:color w:val="000000"/>
      <w:sz w:val="22"/>
      <w:szCs w:val="2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WW8Num1z0">
    <w:name w:val="WW8Num1z0"/>
    <w:rPr>
      <w:rFonts w:hint="default"/>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b/>
    </w:rPr>
  </w:style>
  <w:style w:type="character" w:customStyle="1" w:styleId="WW8Num4z1">
    <w:name w:val="WW8Num4z1"/>
    <w:rPr>
      <w:rFonts w:hint="default"/>
    </w:rPr>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rPr>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b/>
      <w:spacing w:val="-6"/>
      <w:sz w:val="28"/>
    </w:rPr>
  </w:style>
  <w:style w:type="character" w:customStyle="1" w:styleId="10">
    <w:name w:val="Основной шрифт абзаца1"/>
  </w:style>
  <w:style w:type="character" w:styleId="a3">
    <w:name w:val="page number"/>
    <w:basedOn w:val="10"/>
  </w:style>
  <w:style w:type="character" w:customStyle="1" w:styleId="rvts0">
    <w:name w:val="rvts0"/>
    <w:basedOn w:val="10"/>
  </w:style>
  <w:style w:type="character" w:customStyle="1" w:styleId="rvts23">
    <w:name w:val="rvts23"/>
    <w:basedOn w:val="10"/>
  </w:style>
  <w:style w:type="character" w:customStyle="1" w:styleId="rvts9">
    <w:name w:val="rvts9"/>
    <w:basedOn w:val="10"/>
  </w:style>
  <w:style w:type="character" w:customStyle="1" w:styleId="11">
    <w:name w:val=" Знак Знак1"/>
    <w:rPr>
      <w:rFonts w:ascii="Courier New" w:hAnsi="Courier New" w:cs="Courier New"/>
      <w:lang w:val="ru-RU" w:bidi="ar-SA"/>
    </w:rPr>
  </w:style>
  <w:style w:type="character" w:styleId="a4">
    <w:name w:val="Strong"/>
    <w:qFormat/>
    <w:rPr>
      <w:rFonts w:cs="Times New Roman"/>
      <w:b/>
      <w:bCs/>
    </w:rPr>
  </w:style>
  <w:style w:type="character" w:customStyle="1" w:styleId="st1">
    <w:name w:val="st1"/>
  </w:style>
  <w:style w:type="character" w:customStyle="1" w:styleId="crumb">
    <w:name w:val="crumb"/>
    <w:basedOn w:val="10"/>
  </w:style>
  <w:style w:type="character" w:styleId="a5">
    <w:name w:val="Hyperlink"/>
    <w:rPr>
      <w:color w:val="0000FF"/>
      <w:u w:val="single"/>
    </w:rPr>
  </w:style>
  <w:style w:type="character" w:styleId="a6">
    <w:name w:val="FollowedHyperlink"/>
    <w:rPr>
      <w:color w:val="800080"/>
      <w:u w:val="single"/>
    </w:rPr>
  </w:style>
  <w:style w:type="character" w:customStyle="1" w:styleId="rvts15">
    <w:name w:val="rvts15"/>
  </w:style>
  <w:style w:type="character" w:customStyle="1" w:styleId="a7">
    <w:name w:val=" Знак Знак"/>
    <w:rPr>
      <w:rFonts w:ascii="Tahoma" w:hAnsi="Tahoma" w:cs="Tahoma"/>
      <w:sz w:val="16"/>
      <w:szCs w:val="16"/>
      <w:lang w:val="uk-UA"/>
    </w:rPr>
  </w:style>
  <w:style w:type="character" w:customStyle="1" w:styleId="rvts37">
    <w:name w:val="rvts37"/>
    <w:basedOn w:val="10"/>
  </w:style>
  <w:style w:type="character" w:customStyle="1" w:styleId="rvts46">
    <w:name w:val="rvts46"/>
    <w:basedOn w:val="10"/>
  </w:style>
  <w:style w:type="character" w:customStyle="1" w:styleId="rvts82">
    <w:name w:val="rvts82"/>
    <w:basedOn w:val="10"/>
  </w:style>
  <w:style w:type="paragraph" w:customStyle="1" w:styleId="a8">
    <w:name w:val="Заголовок"/>
    <w:basedOn w:val="a"/>
    <w:next w:val="a9"/>
    <w:pPr>
      <w:jc w:val="center"/>
    </w:pPr>
    <w:rPr>
      <w:sz w:val="28"/>
    </w:rPr>
  </w:style>
  <w:style w:type="paragraph" w:styleId="a9">
    <w:name w:val="Body Text"/>
    <w:basedOn w:val="a"/>
    <w:pPr>
      <w:spacing w:before="120"/>
    </w:pPr>
  </w:style>
  <w:style w:type="paragraph" w:styleId="aa">
    <w:name w:val="List"/>
    <w:basedOn w:val="a9"/>
    <w:rPr>
      <w:rFonts w:cs="Lohit Devanagari"/>
    </w:rPr>
  </w:style>
  <w:style w:type="paragraph" w:styleId="ab">
    <w:name w:val="caption"/>
    <w:basedOn w:val="a"/>
    <w:qFormat/>
    <w:pPr>
      <w:suppressLineNumbers/>
      <w:spacing w:before="120" w:after="120"/>
    </w:pPr>
    <w:rPr>
      <w:rFonts w:cs="Lohit Devanagari"/>
      <w:i/>
      <w:iCs/>
      <w:sz w:val="24"/>
      <w:szCs w:val="24"/>
    </w:rPr>
  </w:style>
  <w:style w:type="paragraph" w:customStyle="1" w:styleId="ac">
    <w:name w:val="Покажчик"/>
    <w:basedOn w:val="a"/>
    <w:pPr>
      <w:suppressLineNumbers/>
    </w:pPr>
    <w:rPr>
      <w:rFonts w:cs="Lohit Devanagari"/>
    </w:rPr>
  </w:style>
  <w:style w:type="paragraph" w:styleId="ad">
    <w:name w:val="Body Text Indent"/>
    <w:basedOn w:val="a"/>
    <w:pPr>
      <w:shd w:val="clear" w:color="auto" w:fill="FFFFFF"/>
      <w:ind w:firstLine="720"/>
      <w:jc w:val="both"/>
    </w:pPr>
    <w:rPr>
      <w:sz w:val="28"/>
    </w:rPr>
  </w:style>
  <w:style w:type="paragraph" w:styleId="ae">
    <w:name w:val="header"/>
    <w:basedOn w:val="a"/>
    <w:pPr>
      <w:tabs>
        <w:tab w:val="center" w:pos="4153"/>
        <w:tab w:val="right" w:pos="8306"/>
      </w:tabs>
    </w:pPr>
  </w:style>
  <w:style w:type="paragraph" w:styleId="af">
    <w:name w:val="footer"/>
    <w:basedOn w:val="a"/>
    <w:pPr>
      <w:tabs>
        <w:tab w:val="center" w:pos="4153"/>
        <w:tab w:val="right" w:pos="8306"/>
      </w:tabs>
    </w:pPr>
  </w:style>
  <w:style w:type="paragraph" w:customStyle="1" w:styleId="21">
    <w:name w:val="Основной текст с отступом 21"/>
    <w:basedOn w:val="a"/>
    <w:pPr>
      <w:tabs>
        <w:tab w:val="left" w:pos="360"/>
      </w:tabs>
      <w:spacing w:before="120" w:line="280" w:lineRule="atLeast"/>
      <w:ind w:left="360"/>
    </w:pPr>
    <w:rPr>
      <w:color w:val="000000"/>
    </w:rPr>
  </w:style>
  <w:style w:type="paragraph" w:customStyle="1" w:styleId="31">
    <w:name w:val="Основной текст с отступом 31"/>
    <w:basedOn w:val="a"/>
    <w:pPr>
      <w:shd w:val="clear" w:color="auto" w:fill="FFFFFF"/>
      <w:ind w:firstLine="720"/>
      <w:jc w:val="both"/>
    </w:pPr>
    <w:rPr>
      <w:color w:val="000000"/>
      <w:sz w:val="28"/>
    </w:rPr>
  </w:style>
  <w:style w:type="paragraph" w:customStyle="1" w:styleId="310">
    <w:name w:val="Основной текст 31"/>
    <w:basedOn w:val="a"/>
    <w:pPr>
      <w:spacing w:after="120"/>
    </w:pPr>
    <w:rPr>
      <w:sz w:val="16"/>
      <w:szCs w:val="16"/>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ru-RU"/>
    </w:rPr>
  </w:style>
  <w:style w:type="paragraph" w:customStyle="1" w:styleId="rvps7">
    <w:name w:val="rvps7"/>
    <w:basedOn w:val="a"/>
    <w:pPr>
      <w:spacing w:before="100" w:after="100"/>
    </w:pPr>
    <w:rPr>
      <w:sz w:val="24"/>
      <w:szCs w:val="24"/>
      <w:lang w:val="ru-RU"/>
    </w:rPr>
  </w:style>
  <w:style w:type="paragraph" w:customStyle="1" w:styleId="rvps6">
    <w:name w:val="rvps6"/>
    <w:basedOn w:val="a"/>
    <w:pPr>
      <w:spacing w:before="100" w:after="100"/>
    </w:pPr>
    <w:rPr>
      <w:sz w:val="24"/>
      <w:szCs w:val="24"/>
      <w:lang w:val="ru-RU"/>
    </w:rPr>
  </w:style>
  <w:style w:type="paragraph" w:customStyle="1" w:styleId="af0">
    <w:name w:val="Знак"/>
    <w:basedOn w:val="a"/>
    <w:rPr>
      <w:rFonts w:ascii="Verdana" w:hAnsi="Verdana" w:cs="Verdana"/>
      <w:lang w:val="en-US"/>
    </w:rPr>
  </w:style>
  <w:style w:type="paragraph" w:customStyle="1" w:styleId="af1">
    <w:name w:val="Знак Знак Знак Знак Знак Знак Знак"/>
    <w:basedOn w:val="a"/>
    <w:rPr>
      <w:rFonts w:ascii="Verdana" w:hAnsi="Verdana" w:cs="Verdana"/>
      <w:lang w:val="en-US"/>
    </w:rPr>
  </w:style>
  <w:style w:type="paragraph" w:styleId="af2">
    <w:name w:val="Balloon Text"/>
    <w:basedOn w:val="a"/>
    <w:rPr>
      <w:rFonts w:ascii="Tahoma" w:hAnsi="Tahoma" w:cs="Tahoma"/>
      <w:sz w:val="16"/>
      <w:szCs w:val="16"/>
    </w:rPr>
  </w:style>
  <w:style w:type="paragraph" w:customStyle="1" w:styleId="rvps2">
    <w:name w:val="rvps2"/>
    <w:basedOn w:val="a"/>
    <w:pPr>
      <w:spacing w:before="100" w:after="100"/>
    </w:pPr>
    <w:rPr>
      <w:sz w:val="24"/>
      <w:szCs w:val="24"/>
      <w:lang w:val="ru-RU"/>
    </w:rPr>
  </w:style>
  <w:style w:type="paragraph" w:customStyle="1" w:styleId="af3">
    <w:name w:val="Мой формат"/>
    <w:basedOn w:val="a9"/>
    <w:pPr>
      <w:numPr>
        <w:numId w:val="2"/>
      </w:numPr>
      <w:spacing w:before="0"/>
      <w:ind w:firstLine="0"/>
      <w:jc w:val="both"/>
    </w:pPr>
    <w:rPr>
      <w:rFonts w:cs="Verdana"/>
      <w:sz w:val="28"/>
      <w:szCs w:val="28"/>
    </w:rPr>
  </w:style>
  <w:style w:type="paragraph" w:customStyle="1" w:styleId="rvps12">
    <w:name w:val="rvps12"/>
    <w:basedOn w:val="a"/>
    <w:pPr>
      <w:spacing w:before="100" w:after="100"/>
    </w:pPr>
    <w:rPr>
      <w:sz w:val="24"/>
      <w:szCs w:val="24"/>
      <w:lang w:val="ru-RU"/>
    </w:rPr>
  </w:style>
  <w:style w:type="paragraph" w:customStyle="1" w:styleId="rvps14">
    <w:name w:val="rvps14"/>
    <w:basedOn w:val="a"/>
    <w:pPr>
      <w:spacing w:before="280" w:after="280"/>
    </w:pPr>
    <w:rPr>
      <w:sz w:val="24"/>
      <w:szCs w:val="24"/>
      <w:lang w:val="ru-RU"/>
    </w:rPr>
  </w:style>
  <w:style w:type="paragraph" w:customStyle="1" w:styleId="af4">
    <w:name w:val="Вміст таблиці"/>
    <w:basedOn w:val="a"/>
    <w:pPr>
      <w:suppressLineNumbers/>
    </w:pPr>
  </w:style>
  <w:style w:type="paragraph" w:customStyle="1" w:styleId="af5">
    <w:name w:val="Заголовок таблиці"/>
    <w:basedOn w:val="af4"/>
    <w:pPr>
      <w:jc w:val="center"/>
    </w:pPr>
    <w:rPr>
      <w:b/>
      <w:bCs/>
    </w:rPr>
  </w:style>
  <w:style w:type="paragraph" w:customStyle="1" w:styleId="af6">
    <w:name w:val="Вміст кадру"/>
    <w:basedOn w:val="a"/>
  </w:style>
  <w:style w:type="paragraph" w:customStyle="1" w:styleId="rvps4">
    <w:name w:val="rvps4"/>
    <w:basedOn w:val="a"/>
    <w:rsid w:val="0086372F"/>
    <w:pPr>
      <w:suppressAutoHyphens w:val="0"/>
      <w:spacing w:before="100" w:beforeAutospacing="1" w:after="100" w:afterAutospacing="1"/>
    </w:pPr>
    <w:rPr>
      <w:sz w:val="24"/>
      <w:szCs w:val="24"/>
      <w:lang w:val="ru-RU" w:eastAsia="ru-RU"/>
    </w:rPr>
  </w:style>
  <w:style w:type="character" w:customStyle="1" w:styleId="12">
    <w:name w:val="Шрифт абзацу за промовчанням1"/>
    <w:rsid w:val="005E3D7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suppressAutoHyphens/>
    </w:pPr>
    <w:rPr>
      <w:lang w:val="uk-UA" w:eastAsia="zh-CN"/>
    </w:rPr>
  </w:style>
  <w:style w:type="paragraph" w:styleId="1">
    <w:name w:val="heading 1"/>
    <w:basedOn w:val="a"/>
    <w:next w:val="a"/>
    <w:qFormat/>
    <w:pPr>
      <w:keepNext/>
      <w:outlineLvl w:val="0"/>
    </w:pPr>
    <w:rPr>
      <w:sz w:val="28"/>
    </w:rPr>
  </w:style>
  <w:style w:type="paragraph" w:styleId="2">
    <w:name w:val="heading 2"/>
    <w:basedOn w:val="a"/>
    <w:next w:val="a"/>
    <w:qFormat/>
    <w:pPr>
      <w:keepNext/>
      <w:ind w:firstLine="720"/>
      <w:jc w:val="both"/>
      <w:outlineLvl w:val="1"/>
    </w:pPr>
    <w:rPr>
      <w:sz w:val="28"/>
    </w:rPr>
  </w:style>
  <w:style w:type="paragraph" w:styleId="3">
    <w:name w:val="heading 3"/>
    <w:basedOn w:val="a"/>
    <w:next w:val="a"/>
    <w:qFormat/>
    <w:pPr>
      <w:keepNext/>
      <w:spacing w:before="240" w:after="60"/>
      <w:outlineLvl w:val="2"/>
    </w:pPr>
    <w:rPr>
      <w:rFonts w:ascii="Arial" w:hAnsi="Arial" w:cs="Arial"/>
      <w:b/>
      <w:bCs/>
      <w:sz w:val="26"/>
      <w:szCs w:val="26"/>
    </w:rPr>
  </w:style>
  <w:style w:type="paragraph" w:styleId="5">
    <w:name w:val="heading 5"/>
    <w:basedOn w:val="a"/>
    <w:next w:val="a"/>
    <w:qFormat/>
    <w:pPr>
      <w:numPr>
        <w:ilvl w:val="4"/>
        <w:numId w:val="2"/>
      </w:numPr>
      <w:tabs>
        <w:tab w:val="left" w:pos="680"/>
      </w:tabs>
      <w:spacing w:before="240" w:after="60"/>
      <w:outlineLvl w:val="4"/>
    </w:pPr>
    <w:rPr>
      <w:b/>
      <w:bCs/>
      <w:i/>
      <w:iCs/>
      <w:color w:val="000000"/>
      <w:sz w:val="26"/>
      <w:szCs w:val="26"/>
    </w:rPr>
  </w:style>
  <w:style w:type="paragraph" w:styleId="6">
    <w:name w:val="heading 6"/>
    <w:basedOn w:val="a"/>
    <w:next w:val="a"/>
    <w:qFormat/>
    <w:pPr>
      <w:numPr>
        <w:ilvl w:val="5"/>
        <w:numId w:val="2"/>
      </w:numPr>
      <w:tabs>
        <w:tab w:val="left" w:pos="680"/>
      </w:tabs>
      <w:spacing w:before="240" w:after="60"/>
      <w:outlineLvl w:val="5"/>
    </w:pPr>
    <w:rPr>
      <w:b/>
      <w:bCs/>
      <w:color w:val="000000"/>
      <w:sz w:val="22"/>
      <w:szCs w:val="22"/>
    </w:rPr>
  </w:style>
  <w:style w:type="paragraph" w:styleId="7">
    <w:name w:val="heading 7"/>
    <w:basedOn w:val="a"/>
    <w:next w:val="a"/>
    <w:qFormat/>
    <w:pPr>
      <w:numPr>
        <w:ilvl w:val="6"/>
        <w:numId w:val="2"/>
      </w:numPr>
      <w:tabs>
        <w:tab w:val="left" w:pos="680"/>
      </w:tabs>
      <w:spacing w:before="240" w:after="60"/>
      <w:outlineLvl w:val="6"/>
    </w:pPr>
    <w:rPr>
      <w:color w:val="000000"/>
      <w:sz w:val="24"/>
      <w:szCs w:val="24"/>
    </w:rPr>
  </w:style>
  <w:style w:type="paragraph" w:styleId="8">
    <w:name w:val="heading 8"/>
    <w:basedOn w:val="a"/>
    <w:next w:val="a"/>
    <w:qFormat/>
    <w:pPr>
      <w:numPr>
        <w:ilvl w:val="7"/>
        <w:numId w:val="2"/>
      </w:numPr>
      <w:tabs>
        <w:tab w:val="left" w:pos="680"/>
      </w:tabs>
      <w:spacing w:before="240" w:after="60"/>
      <w:outlineLvl w:val="7"/>
    </w:pPr>
    <w:rPr>
      <w:i/>
      <w:iCs/>
      <w:color w:val="000000"/>
      <w:sz w:val="24"/>
      <w:szCs w:val="24"/>
    </w:rPr>
  </w:style>
  <w:style w:type="paragraph" w:styleId="9">
    <w:name w:val="heading 9"/>
    <w:basedOn w:val="a"/>
    <w:next w:val="a"/>
    <w:qFormat/>
    <w:pPr>
      <w:numPr>
        <w:ilvl w:val="8"/>
        <w:numId w:val="2"/>
      </w:numPr>
      <w:tabs>
        <w:tab w:val="left" w:pos="680"/>
      </w:tabs>
      <w:spacing w:before="240" w:after="60"/>
      <w:outlineLvl w:val="8"/>
    </w:pPr>
    <w:rPr>
      <w:rFonts w:ascii="Arial" w:hAnsi="Arial" w:cs="Arial"/>
      <w:color w:val="000000"/>
      <w:sz w:val="22"/>
      <w:szCs w:val="2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WW8Num1z0">
    <w:name w:val="WW8Num1z0"/>
    <w:rPr>
      <w:rFonts w:hint="default"/>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b/>
    </w:rPr>
  </w:style>
  <w:style w:type="character" w:customStyle="1" w:styleId="WW8Num4z1">
    <w:name w:val="WW8Num4z1"/>
    <w:rPr>
      <w:rFonts w:hint="default"/>
    </w:rPr>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rPr>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b/>
      <w:spacing w:val="-6"/>
      <w:sz w:val="28"/>
    </w:rPr>
  </w:style>
  <w:style w:type="character" w:customStyle="1" w:styleId="10">
    <w:name w:val="Основной шрифт абзаца1"/>
  </w:style>
  <w:style w:type="character" w:styleId="a3">
    <w:name w:val="page number"/>
    <w:basedOn w:val="10"/>
  </w:style>
  <w:style w:type="character" w:customStyle="1" w:styleId="rvts0">
    <w:name w:val="rvts0"/>
    <w:basedOn w:val="10"/>
  </w:style>
  <w:style w:type="character" w:customStyle="1" w:styleId="rvts23">
    <w:name w:val="rvts23"/>
    <w:basedOn w:val="10"/>
  </w:style>
  <w:style w:type="character" w:customStyle="1" w:styleId="rvts9">
    <w:name w:val="rvts9"/>
    <w:basedOn w:val="10"/>
  </w:style>
  <w:style w:type="character" w:customStyle="1" w:styleId="11">
    <w:name w:val=" Знак Знак1"/>
    <w:rPr>
      <w:rFonts w:ascii="Courier New" w:hAnsi="Courier New" w:cs="Courier New"/>
      <w:lang w:val="ru-RU" w:bidi="ar-SA"/>
    </w:rPr>
  </w:style>
  <w:style w:type="character" w:styleId="a4">
    <w:name w:val="Strong"/>
    <w:qFormat/>
    <w:rPr>
      <w:rFonts w:cs="Times New Roman"/>
      <w:b/>
      <w:bCs/>
    </w:rPr>
  </w:style>
  <w:style w:type="character" w:customStyle="1" w:styleId="st1">
    <w:name w:val="st1"/>
  </w:style>
  <w:style w:type="character" w:customStyle="1" w:styleId="crumb">
    <w:name w:val="crumb"/>
    <w:basedOn w:val="10"/>
  </w:style>
  <w:style w:type="character" w:styleId="a5">
    <w:name w:val="Hyperlink"/>
    <w:rPr>
      <w:color w:val="0000FF"/>
      <w:u w:val="single"/>
    </w:rPr>
  </w:style>
  <w:style w:type="character" w:styleId="a6">
    <w:name w:val="FollowedHyperlink"/>
    <w:rPr>
      <w:color w:val="800080"/>
      <w:u w:val="single"/>
    </w:rPr>
  </w:style>
  <w:style w:type="character" w:customStyle="1" w:styleId="rvts15">
    <w:name w:val="rvts15"/>
  </w:style>
  <w:style w:type="character" w:customStyle="1" w:styleId="a7">
    <w:name w:val=" Знак Знак"/>
    <w:rPr>
      <w:rFonts w:ascii="Tahoma" w:hAnsi="Tahoma" w:cs="Tahoma"/>
      <w:sz w:val="16"/>
      <w:szCs w:val="16"/>
      <w:lang w:val="uk-UA"/>
    </w:rPr>
  </w:style>
  <w:style w:type="character" w:customStyle="1" w:styleId="rvts37">
    <w:name w:val="rvts37"/>
    <w:basedOn w:val="10"/>
  </w:style>
  <w:style w:type="character" w:customStyle="1" w:styleId="rvts46">
    <w:name w:val="rvts46"/>
    <w:basedOn w:val="10"/>
  </w:style>
  <w:style w:type="character" w:customStyle="1" w:styleId="rvts82">
    <w:name w:val="rvts82"/>
    <w:basedOn w:val="10"/>
  </w:style>
  <w:style w:type="paragraph" w:customStyle="1" w:styleId="a8">
    <w:name w:val="Заголовок"/>
    <w:basedOn w:val="a"/>
    <w:next w:val="a9"/>
    <w:pPr>
      <w:jc w:val="center"/>
    </w:pPr>
    <w:rPr>
      <w:sz w:val="28"/>
    </w:rPr>
  </w:style>
  <w:style w:type="paragraph" w:styleId="a9">
    <w:name w:val="Body Text"/>
    <w:basedOn w:val="a"/>
    <w:pPr>
      <w:spacing w:before="120"/>
    </w:pPr>
  </w:style>
  <w:style w:type="paragraph" w:styleId="aa">
    <w:name w:val="List"/>
    <w:basedOn w:val="a9"/>
    <w:rPr>
      <w:rFonts w:cs="Lohit Devanagari"/>
    </w:rPr>
  </w:style>
  <w:style w:type="paragraph" w:styleId="ab">
    <w:name w:val="caption"/>
    <w:basedOn w:val="a"/>
    <w:qFormat/>
    <w:pPr>
      <w:suppressLineNumbers/>
      <w:spacing w:before="120" w:after="120"/>
    </w:pPr>
    <w:rPr>
      <w:rFonts w:cs="Lohit Devanagari"/>
      <w:i/>
      <w:iCs/>
      <w:sz w:val="24"/>
      <w:szCs w:val="24"/>
    </w:rPr>
  </w:style>
  <w:style w:type="paragraph" w:customStyle="1" w:styleId="ac">
    <w:name w:val="Покажчик"/>
    <w:basedOn w:val="a"/>
    <w:pPr>
      <w:suppressLineNumbers/>
    </w:pPr>
    <w:rPr>
      <w:rFonts w:cs="Lohit Devanagari"/>
    </w:rPr>
  </w:style>
  <w:style w:type="paragraph" w:styleId="ad">
    <w:name w:val="Body Text Indent"/>
    <w:basedOn w:val="a"/>
    <w:pPr>
      <w:shd w:val="clear" w:color="auto" w:fill="FFFFFF"/>
      <w:ind w:firstLine="720"/>
      <w:jc w:val="both"/>
    </w:pPr>
    <w:rPr>
      <w:sz w:val="28"/>
    </w:rPr>
  </w:style>
  <w:style w:type="paragraph" w:styleId="ae">
    <w:name w:val="header"/>
    <w:basedOn w:val="a"/>
    <w:pPr>
      <w:tabs>
        <w:tab w:val="center" w:pos="4153"/>
        <w:tab w:val="right" w:pos="8306"/>
      </w:tabs>
    </w:pPr>
  </w:style>
  <w:style w:type="paragraph" w:styleId="af">
    <w:name w:val="footer"/>
    <w:basedOn w:val="a"/>
    <w:pPr>
      <w:tabs>
        <w:tab w:val="center" w:pos="4153"/>
        <w:tab w:val="right" w:pos="8306"/>
      </w:tabs>
    </w:pPr>
  </w:style>
  <w:style w:type="paragraph" w:customStyle="1" w:styleId="21">
    <w:name w:val="Основной текст с отступом 21"/>
    <w:basedOn w:val="a"/>
    <w:pPr>
      <w:tabs>
        <w:tab w:val="left" w:pos="360"/>
      </w:tabs>
      <w:spacing w:before="120" w:line="280" w:lineRule="atLeast"/>
      <w:ind w:left="360"/>
    </w:pPr>
    <w:rPr>
      <w:color w:val="000000"/>
    </w:rPr>
  </w:style>
  <w:style w:type="paragraph" w:customStyle="1" w:styleId="31">
    <w:name w:val="Основной текст с отступом 31"/>
    <w:basedOn w:val="a"/>
    <w:pPr>
      <w:shd w:val="clear" w:color="auto" w:fill="FFFFFF"/>
      <w:ind w:firstLine="720"/>
      <w:jc w:val="both"/>
    </w:pPr>
    <w:rPr>
      <w:color w:val="000000"/>
      <w:sz w:val="28"/>
    </w:rPr>
  </w:style>
  <w:style w:type="paragraph" w:customStyle="1" w:styleId="310">
    <w:name w:val="Основной текст 31"/>
    <w:basedOn w:val="a"/>
    <w:pPr>
      <w:spacing w:after="120"/>
    </w:pPr>
    <w:rPr>
      <w:sz w:val="16"/>
      <w:szCs w:val="16"/>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ru-RU"/>
    </w:rPr>
  </w:style>
  <w:style w:type="paragraph" w:customStyle="1" w:styleId="rvps7">
    <w:name w:val="rvps7"/>
    <w:basedOn w:val="a"/>
    <w:pPr>
      <w:spacing w:before="100" w:after="100"/>
    </w:pPr>
    <w:rPr>
      <w:sz w:val="24"/>
      <w:szCs w:val="24"/>
      <w:lang w:val="ru-RU"/>
    </w:rPr>
  </w:style>
  <w:style w:type="paragraph" w:customStyle="1" w:styleId="rvps6">
    <w:name w:val="rvps6"/>
    <w:basedOn w:val="a"/>
    <w:pPr>
      <w:spacing w:before="100" w:after="100"/>
    </w:pPr>
    <w:rPr>
      <w:sz w:val="24"/>
      <w:szCs w:val="24"/>
      <w:lang w:val="ru-RU"/>
    </w:rPr>
  </w:style>
  <w:style w:type="paragraph" w:customStyle="1" w:styleId="af0">
    <w:name w:val="Знак"/>
    <w:basedOn w:val="a"/>
    <w:rPr>
      <w:rFonts w:ascii="Verdana" w:hAnsi="Verdana" w:cs="Verdana"/>
      <w:lang w:val="en-US"/>
    </w:rPr>
  </w:style>
  <w:style w:type="paragraph" w:customStyle="1" w:styleId="af1">
    <w:name w:val="Знак Знак Знак Знак Знак Знак Знак"/>
    <w:basedOn w:val="a"/>
    <w:rPr>
      <w:rFonts w:ascii="Verdana" w:hAnsi="Verdana" w:cs="Verdana"/>
      <w:lang w:val="en-US"/>
    </w:rPr>
  </w:style>
  <w:style w:type="paragraph" w:styleId="af2">
    <w:name w:val="Balloon Text"/>
    <w:basedOn w:val="a"/>
    <w:rPr>
      <w:rFonts w:ascii="Tahoma" w:hAnsi="Tahoma" w:cs="Tahoma"/>
      <w:sz w:val="16"/>
      <w:szCs w:val="16"/>
    </w:rPr>
  </w:style>
  <w:style w:type="paragraph" w:customStyle="1" w:styleId="rvps2">
    <w:name w:val="rvps2"/>
    <w:basedOn w:val="a"/>
    <w:pPr>
      <w:spacing w:before="100" w:after="100"/>
    </w:pPr>
    <w:rPr>
      <w:sz w:val="24"/>
      <w:szCs w:val="24"/>
      <w:lang w:val="ru-RU"/>
    </w:rPr>
  </w:style>
  <w:style w:type="paragraph" w:customStyle="1" w:styleId="af3">
    <w:name w:val="Мой формат"/>
    <w:basedOn w:val="a9"/>
    <w:pPr>
      <w:numPr>
        <w:numId w:val="2"/>
      </w:numPr>
      <w:spacing w:before="0"/>
      <w:ind w:firstLine="0"/>
      <w:jc w:val="both"/>
    </w:pPr>
    <w:rPr>
      <w:rFonts w:cs="Verdana"/>
      <w:sz w:val="28"/>
      <w:szCs w:val="28"/>
    </w:rPr>
  </w:style>
  <w:style w:type="paragraph" w:customStyle="1" w:styleId="rvps12">
    <w:name w:val="rvps12"/>
    <w:basedOn w:val="a"/>
    <w:pPr>
      <w:spacing w:before="100" w:after="100"/>
    </w:pPr>
    <w:rPr>
      <w:sz w:val="24"/>
      <w:szCs w:val="24"/>
      <w:lang w:val="ru-RU"/>
    </w:rPr>
  </w:style>
  <w:style w:type="paragraph" w:customStyle="1" w:styleId="rvps14">
    <w:name w:val="rvps14"/>
    <w:basedOn w:val="a"/>
    <w:pPr>
      <w:spacing w:before="280" w:after="280"/>
    </w:pPr>
    <w:rPr>
      <w:sz w:val="24"/>
      <w:szCs w:val="24"/>
      <w:lang w:val="ru-RU"/>
    </w:rPr>
  </w:style>
  <w:style w:type="paragraph" w:customStyle="1" w:styleId="af4">
    <w:name w:val="Вміст таблиці"/>
    <w:basedOn w:val="a"/>
    <w:pPr>
      <w:suppressLineNumbers/>
    </w:pPr>
  </w:style>
  <w:style w:type="paragraph" w:customStyle="1" w:styleId="af5">
    <w:name w:val="Заголовок таблиці"/>
    <w:basedOn w:val="af4"/>
    <w:pPr>
      <w:jc w:val="center"/>
    </w:pPr>
    <w:rPr>
      <w:b/>
      <w:bCs/>
    </w:rPr>
  </w:style>
  <w:style w:type="paragraph" w:customStyle="1" w:styleId="af6">
    <w:name w:val="Вміст кадру"/>
    <w:basedOn w:val="a"/>
  </w:style>
  <w:style w:type="paragraph" w:customStyle="1" w:styleId="rvps4">
    <w:name w:val="rvps4"/>
    <w:basedOn w:val="a"/>
    <w:rsid w:val="0086372F"/>
    <w:pPr>
      <w:suppressAutoHyphens w:val="0"/>
      <w:spacing w:before="100" w:beforeAutospacing="1" w:after="100" w:afterAutospacing="1"/>
    </w:pPr>
    <w:rPr>
      <w:sz w:val="24"/>
      <w:szCs w:val="24"/>
      <w:lang w:val="ru-RU" w:eastAsia="ru-RU"/>
    </w:rPr>
  </w:style>
  <w:style w:type="character" w:customStyle="1" w:styleId="12">
    <w:name w:val="Шрифт абзацу за промовчанням1"/>
    <w:rsid w:val="005E3D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726982">
      <w:bodyDiv w:val="1"/>
      <w:marLeft w:val="0"/>
      <w:marRight w:val="0"/>
      <w:marTop w:val="0"/>
      <w:marBottom w:val="0"/>
      <w:divBdr>
        <w:top w:val="none" w:sz="0" w:space="0" w:color="auto"/>
        <w:left w:val="none" w:sz="0" w:space="0" w:color="auto"/>
        <w:bottom w:val="none" w:sz="0" w:space="0" w:color="auto"/>
        <w:right w:val="none" w:sz="0" w:space="0" w:color="auto"/>
      </w:divBdr>
      <w:divsChild>
        <w:div w:id="1265380855">
          <w:marLeft w:val="0"/>
          <w:marRight w:val="0"/>
          <w:marTop w:val="0"/>
          <w:marBottom w:val="0"/>
          <w:divBdr>
            <w:top w:val="none" w:sz="0" w:space="0" w:color="auto"/>
            <w:left w:val="none" w:sz="0" w:space="0" w:color="auto"/>
            <w:bottom w:val="none" w:sz="0" w:space="0" w:color="auto"/>
            <w:right w:val="none" w:sz="0" w:space="0" w:color="auto"/>
          </w:divBdr>
        </w:div>
      </w:divsChild>
    </w:div>
    <w:div w:id="1167288256">
      <w:bodyDiv w:val="1"/>
      <w:marLeft w:val="0"/>
      <w:marRight w:val="0"/>
      <w:marTop w:val="0"/>
      <w:marBottom w:val="0"/>
      <w:divBdr>
        <w:top w:val="none" w:sz="0" w:space="0" w:color="auto"/>
        <w:left w:val="none" w:sz="0" w:space="0" w:color="auto"/>
        <w:bottom w:val="none" w:sz="0" w:space="0" w:color="auto"/>
        <w:right w:val="none" w:sz="0" w:space="0" w:color="auto"/>
      </w:divBdr>
    </w:div>
    <w:div w:id="1306931311">
      <w:bodyDiv w:val="1"/>
      <w:marLeft w:val="0"/>
      <w:marRight w:val="0"/>
      <w:marTop w:val="0"/>
      <w:marBottom w:val="0"/>
      <w:divBdr>
        <w:top w:val="none" w:sz="0" w:space="0" w:color="auto"/>
        <w:left w:val="none" w:sz="0" w:space="0" w:color="auto"/>
        <w:bottom w:val="none" w:sz="0" w:space="0" w:color="auto"/>
        <w:right w:val="none" w:sz="0" w:space="0" w:color="auto"/>
      </w:divBdr>
    </w:div>
    <w:div w:id="2132553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4B80F-D647-487F-8032-0C0C7494E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1651</Words>
  <Characters>7994</Characters>
  <Application>Microsoft Office Word</Application>
  <DocSecurity>0</DocSecurity>
  <Lines>532</Lines>
  <Paragraphs>602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ПОЯСНЮВАЛЬНА  ЗАПИСКА</vt:lpstr>
      <vt:lpstr>ПОЯСНЮВАЛЬНА  ЗАПИСКА</vt:lpstr>
    </vt:vector>
  </TitlesOfParts>
  <Company/>
  <LinksUpToDate>false</LinksUpToDate>
  <CharactersWithSpaces>9043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creator>Терлецький</dc:creator>
  <cp:lastModifiedBy>User</cp:lastModifiedBy>
  <cp:revision>2</cp:revision>
  <cp:lastPrinted>2019-11-28T08:31:00Z</cp:lastPrinted>
  <dcterms:created xsi:type="dcterms:W3CDTF">2020-11-19T13:03:00Z</dcterms:created>
  <dcterms:modified xsi:type="dcterms:W3CDTF">2020-11-19T13:03:00Z</dcterms:modified>
</cp:coreProperties>
</file>