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663B8" w:rsidRPr="00AD7F82" w:rsidTr="008B5D4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21032F" w:rsidRDefault="00A663B8" w:rsidP="008B5D43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1D3474E" wp14:editId="41632E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663B8" w:rsidRPr="008D7BBE" w:rsidRDefault="00A663B8" w:rsidP="008B5D43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екологічної політики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та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природокористування</w:t>
            </w:r>
          </w:p>
          <w:p w:rsidR="00A663B8" w:rsidRDefault="00A663B8" w:rsidP="008B5D43">
            <w:pPr>
              <w:pStyle w:val="a3"/>
              <w:spacing w:before="160" w:after="60"/>
              <w:jc w:val="center"/>
              <w:rPr>
                <w:color w:val="1829A8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 w:rsidR="0078310D"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 w:rsidR="0078310D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="0078310D">
              <w:rPr>
                <w:color w:val="1829A8"/>
                <w:sz w:val="20"/>
                <w:szCs w:val="20"/>
              </w:rPr>
              <w:t>.: 255-27-06, факс: 255-22-72</w:t>
            </w:r>
          </w:p>
          <w:p w:rsidR="006E698D" w:rsidRPr="006E698D" w:rsidRDefault="006E698D" w:rsidP="008B5D43">
            <w:pPr>
              <w:pStyle w:val="a3"/>
              <w:spacing w:before="160" w:after="60"/>
              <w:jc w:val="center"/>
              <w:rPr>
                <w:color w:val="002060"/>
                <w:sz w:val="2"/>
                <w:szCs w:val="2"/>
              </w:rPr>
            </w:pP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A663B8" w:rsidTr="008B5D43">
        <w:tc>
          <w:tcPr>
            <w:tcW w:w="9897" w:type="dxa"/>
          </w:tcPr>
          <w:p w:rsidR="00A663B8" w:rsidRPr="0056039F" w:rsidRDefault="00A663B8" w:rsidP="008B5D43">
            <w:pPr>
              <w:pStyle w:val="a3"/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A663B8" w:rsidRPr="004F7B8A" w:rsidRDefault="00A663B8" w:rsidP="00A663B8">
      <w:pPr>
        <w:pStyle w:val="a3"/>
        <w:rPr>
          <w:color w:val="002060"/>
          <w:sz w:val="2"/>
          <w:szCs w:val="2"/>
        </w:rPr>
      </w:pPr>
    </w:p>
    <w:p w:rsidR="00A663B8" w:rsidRPr="0078310D" w:rsidRDefault="00A663B8" w:rsidP="0078310D">
      <w:pPr>
        <w:pStyle w:val="a9"/>
        <w:jc w:val="both"/>
        <w:rPr>
          <w:szCs w:val="28"/>
        </w:rPr>
      </w:pPr>
    </w:p>
    <w:p w:rsidR="00546DBE" w:rsidRDefault="00546DBE" w:rsidP="00546DBE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1E2F5A" w:rsidRPr="001E2F5A" w:rsidRDefault="00546DBE" w:rsidP="009C1BAD">
      <w:pPr>
        <w:pStyle w:val="3"/>
        <w:spacing w:before="120" w:beforeAutospacing="0" w:after="0" w:afterAutospacing="0"/>
        <w:ind w:firstLine="709"/>
        <w:jc w:val="both"/>
        <w:rPr>
          <w:rFonts w:cs="Calibri"/>
          <w:b w:val="0"/>
          <w:bCs w:val="0"/>
          <w:sz w:val="28"/>
          <w:szCs w:val="22"/>
          <w:lang w:val="uk-UA" w:eastAsia="en-US"/>
        </w:rPr>
      </w:pPr>
      <w:r w:rsidRPr="001E2F5A">
        <w:rPr>
          <w:rFonts w:cs="Calibri"/>
          <w:b w:val="0"/>
          <w:bCs w:val="0"/>
          <w:sz w:val="28"/>
          <w:szCs w:val="22"/>
          <w:lang w:val="uk-UA" w:eastAsia="en-US"/>
        </w:rPr>
        <w:t xml:space="preserve">Вносимо на розгляд Верховної Ради України </w:t>
      </w:r>
      <w:r w:rsidR="001E2F5A" w:rsidRPr="001E2F5A">
        <w:rPr>
          <w:rFonts w:cs="Calibri"/>
          <w:b w:val="0"/>
          <w:bCs w:val="0"/>
          <w:sz w:val="28"/>
          <w:szCs w:val="22"/>
          <w:lang w:val="uk-UA" w:eastAsia="en-US"/>
        </w:rPr>
        <w:t>проект Закону України про внесення змін до деяких законодавчих актів України щодо об’єктів підвищеної небезпеки (реєстр. № 4407 від 19.11.2020 р.), внесений Кабінетом Міністрів України.</w:t>
      </w:r>
    </w:p>
    <w:p w:rsidR="001E2F5A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Як зазначено у пояснювальній записці до законопроекту, </w:t>
      </w:r>
      <w:r w:rsidRPr="006F56F8">
        <w:rPr>
          <w:szCs w:val="28"/>
        </w:rPr>
        <w:t xml:space="preserve">він </w:t>
      </w:r>
      <w:r>
        <w:t>розроблений</w:t>
      </w:r>
      <w:r w:rsidRPr="004303F1">
        <w:t xml:space="preserve"> Державною службою України з надзвичайних ситуацій з метою </w:t>
      </w:r>
      <w:r w:rsidRPr="00E704C0">
        <w:t xml:space="preserve">імплементації Директиви 2012/18/ЄС Європейського Парламенту і Ради </w:t>
      </w:r>
      <w:r>
        <w:t>Є</w:t>
      </w:r>
      <w:r w:rsidRPr="001D0C7B">
        <w:t>вропи</w:t>
      </w:r>
      <w:r>
        <w:t xml:space="preserve"> </w:t>
      </w:r>
      <w:r w:rsidRPr="00E704C0">
        <w:t>від 4</w:t>
      </w:r>
      <w:r w:rsidRPr="00E704C0">
        <w:rPr>
          <w:lang w:val="ru-RU"/>
        </w:rPr>
        <w:t> </w:t>
      </w:r>
      <w:r w:rsidRPr="00E704C0">
        <w:t>липня 2012 року про контроль загроз виникнення значних аварій, пов’язаних із використанням небезпечних речовин, та про внесення змін і подальше скасування Директиви</w:t>
      </w:r>
      <w:r>
        <w:t xml:space="preserve"> Ради 96/82/ЄС</w:t>
      </w:r>
      <w:r w:rsidRPr="004303F1">
        <w:rPr>
          <w:rStyle w:val="WW8Num6z1"/>
        </w:rPr>
        <w:t>.</w:t>
      </w:r>
    </w:p>
    <w:p w:rsidR="001E2F5A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</w:t>
      </w:r>
      <w:r w:rsidRPr="004D6E13">
        <w:rPr>
          <w:szCs w:val="28"/>
        </w:rPr>
        <w:t>аконопроект</w:t>
      </w:r>
      <w:r>
        <w:rPr>
          <w:szCs w:val="28"/>
        </w:rPr>
        <w:t>ом</w:t>
      </w:r>
      <w:r w:rsidRPr="004D6E13">
        <w:rPr>
          <w:szCs w:val="28"/>
        </w:rPr>
        <w:t xml:space="preserve"> </w:t>
      </w:r>
      <w:r>
        <w:rPr>
          <w:szCs w:val="28"/>
        </w:rPr>
        <w:t>пропонується</w:t>
      </w:r>
      <w:r w:rsidRPr="004D6E13">
        <w:rPr>
          <w:szCs w:val="28"/>
        </w:rPr>
        <w:t xml:space="preserve"> </w:t>
      </w:r>
      <w:proofErr w:type="spellStart"/>
      <w:r w:rsidRPr="004D6E13">
        <w:rPr>
          <w:szCs w:val="28"/>
        </w:rPr>
        <w:t>внес</w:t>
      </w:r>
      <w:r>
        <w:rPr>
          <w:szCs w:val="28"/>
        </w:rPr>
        <w:t>ти</w:t>
      </w:r>
      <w:proofErr w:type="spellEnd"/>
      <w:r>
        <w:rPr>
          <w:szCs w:val="28"/>
        </w:rPr>
        <w:t xml:space="preserve"> зміни до </w:t>
      </w:r>
      <w:r w:rsidRPr="006F56F8">
        <w:rPr>
          <w:szCs w:val="28"/>
        </w:rPr>
        <w:t xml:space="preserve">Кодексу </w:t>
      </w:r>
      <w:r>
        <w:rPr>
          <w:szCs w:val="28"/>
        </w:rPr>
        <w:t>ц</w:t>
      </w:r>
      <w:r w:rsidRPr="006F56F8">
        <w:rPr>
          <w:szCs w:val="28"/>
        </w:rPr>
        <w:t>ивільного захисту України</w:t>
      </w:r>
      <w:r>
        <w:rPr>
          <w:szCs w:val="28"/>
        </w:rPr>
        <w:t xml:space="preserve"> (далі – КЦЗ)</w:t>
      </w:r>
      <w:r w:rsidRPr="00256C33">
        <w:rPr>
          <w:szCs w:val="28"/>
        </w:rPr>
        <w:t xml:space="preserve"> </w:t>
      </w:r>
      <w:r w:rsidRPr="006F56F8">
        <w:rPr>
          <w:szCs w:val="28"/>
        </w:rPr>
        <w:t xml:space="preserve">та </w:t>
      </w:r>
      <w:r>
        <w:rPr>
          <w:szCs w:val="28"/>
        </w:rPr>
        <w:t>з</w:t>
      </w:r>
      <w:r w:rsidRPr="006F56F8">
        <w:rPr>
          <w:szCs w:val="28"/>
        </w:rPr>
        <w:t>акон</w:t>
      </w:r>
      <w:r>
        <w:rPr>
          <w:szCs w:val="28"/>
        </w:rPr>
        <w:t>і</w:t>
      </w:r>
      <w:r w:rsidRPr="00256C33">
        <w:rPr>
          <w:szCs w:val="28"/>
        </w:rPr>
        <w:t>в</w:t>
      </w:r>
      <w:r w:rsidRPr="006F56F8">
        <w:rPr>
          <w:szCs w:val="28"/>
        </w:rPr>
        <w:t xml:space="preserve"> України «Про</w:t>
      </w:r>
      <w:r w:rsidRPr="004303F1">
        <w:rPr>
          <w:szCs w:val="28"/>
        </w:rPr>
        <w:t xml:space="preserve"> об’єкти підвищеної небезпеки</w:t>
      </w:r>
      <w:r w:rsidRPr="006F56F8">
        <w:rPr>
          <w:szCs w:val="28"/>
        </w:rPr>
        <w:t>»</w:t>
      </w:r>
      <w:r w:rsidRPr="008177B1">
        <w:rPr>
          <w:szCs w:val="28"/>
        </w:rPr>
        <w:t>, «Про основні засади державного нагляду (контролю) у сфері господарської діяльності»</w:t>
      </w:r>
      <w:r w:rsidRPr="006F56F8">
        <w:rPr>
          <w:szCs w:val="28"/>
        </w:rPr>
        <w:t xml:space="preserve"> </w:t>
      </w:r>
      <w:r>
        <w:rPr>
          <w:szCs w:val="28"/>
        </w:rPr>
        <w:t>і «</w:t>
      </w:r>
      <w:r w:rsidRPr="008177B1">
        <w:rPr>
          <w:szCs w:val="28"/>
        </w:rPr>
        <w:t>Про регулювання</w:t>
      </w:r>
      <w:r w:rsidRPr="00496C34">
        <w:rPr>
          <w:rStyle w:val="rvts0"/>
        </w:rPr>
        <w:t xml:space="preserve"> містобудівної діяльності</w:t>
      </w:r>
      <w:r>
        <w:rPr>
          <w:rStyle w:val="rvts0"/>
        </w:rPr>
        <w:t xml:space="preserve">» </w:t>
      </w:r>
      <w:r>
        <w:rPr>
          <w:szCs w:val="28"/>
        </w:rPr>
        <w:t>у частині</w:t>
      </w:r>
      <w:r w:rsidRPr="00256C33">
        <w:rPr>
          <w:szCs w:val="28"/>
        </w:rPr>
        <w:t>: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</w:pPr>
      <w:r w:rsidRPr="00BB0FA0">
        <w:t xml:space="preserve">упорядкування процедури віднесення об’єктів до </w:t>
      </w:r>
      <w:r w:rsidRPr="00BB0FA0">
        <w:rPr>
          <w:szCs w:val="28"/>
        </w:rPr>
        <w:t>об’єктів підвищеної небезпеки</w:t>
      </w:r>
      <w:r w:rsidRPr="00BB0FA0">
        <w:t xml:space="preserve"> (ідентифікації);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</w:pPr>
      <w:r w:rsidRPr="00BB0FA0">
        <w:t>зменшення адміністративного тиску на суб’єкти господарювання шляхом скасування погоджень плану локалізації та ліквідації аварій (</w:t>
      </w:r>
      <w:r w:rsidRPr="00BB0FA0">
        <w:rPr>
          <w:szCs w:val="28"/>
        </w:rPr>
        <w:t>далі –</w:t>
      </w:r>
      <w:r w:rsidRPr="00BB0FA0">
        <w:t xml:space="preserve">  План) і передачі функцій із забезпечення безпеки та захисту населення за межами </w:t>
      </w:r>
      <w:r w:rsidRPr="00BB0FA0">
        <w:rPr>
          <w:szCs w:val="28"/>
        </w:rPr>
        <w:t>об’єктів підвищеної небезпеки</w:t>
      </w:r>
      <w:r w:rsidRPr="00BB0FA0">
        <w:t xml:space="preserve"> </w:t>
      </w:r>
      <w:r>
        <w:t xml:space="preserve">(далі – </w:t>
      </w:r>
      <w:r w:rsidRPr="00BB0FA0">
        <w:t>ОПН</w:t>
      </w:r>
      <w:r>
        <w:t>)</w:t>
      </w:r>
      <w:r w:rsidRPr="00BB0FA0">
        <w:t xml:space="preserve"> на місцеві органи виконавчої влади;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  <w:rPr>
          <w:lang w:eastAsia="uk-UA"/>
        </w:rPr>
      </w:pPr>
      <w:r>
        <w:rPr>
          <w:szCs w:val="28"/>
        </w:rPr>
        <w:t xml:space="preserve">визначення </w:t>
      </w:r>
      <w:r w:rsidRPr="00BB0FA0">
        <w:rPr>
          <w:szCs w:val="28"/>
        </w:rPr>
        <w:t xml:space="preserve">компетентного </w:t>
      </w:r>
      <w:r>
        <w:rPr>
          <w:szCs w:val="28"/>
        </w:rPr>
        <w:t xml:space="preserve">органу та його повноважень щодо </w:t>
      </w:r>
      <w:r>
        <w:rPr>
          <w:lang w:eastAsia="uk-UA"/>
        </w:rPr>
        <w:t>надання інформації державам-</w:t>
      </w:r>
      <w:r w:rsidRPr="00BB0FA0">
        <w:rPr>
          <w:lang w:eastAsia="uk-UA"/>
        </w:rPr>
        <w:t>членам ЄС, які можуть постраждати від аварій з транскордонними наслідками на підприємствах вищого рівня небезпеки, та</w:t>
      </w:r>
      <w:r w:rsidRPr="00BB0FA0">
        <w:t xml:space="preserve"> одержання аварійного оповіщення </w:t>
      </w:r>
      <w:r>
        <w:t>в</w:t>
      </w:r>
      <w:r w:rsidRPr="00BB0FA0">
        <w:t xml:space="preserve"> разі а</w:t>
      </w:r>
      <w:r>
        <w:t>варії на ОПН в інших державах-</w:t>
      </w:r>
      <w:r w:rsidRPr="00BB0FA0">
        <w:t>членах ЄС;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</w:pPr>
      <w:r w:rsidRPr="00BB0FA0">
        <w:rPr>
          <w:lang w:eastAsia="uk-UA"/>
        </w:rPr>
        <w:t>удосконалення механізму координації між відповідними органами нагляду з урахуванням повноважень компетентного органу;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  <w:rPr>
          <w:lang w:eastAsia="uk-UA"/>
        </w:rPr>
      </w:pPr>
      <w:r w:rsidRPr="00BB0FA0">
        <w:t>зобов’язання суб’єкта господарювання самостійно призупиняти діяльність виробництва (експлуатацію обладнання), на якому виникла аварія;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  <w:rPr>
          <w:lang w:eastAsia="uk-UA"/>
        </w:rPr>
      </w:pPr>
      <w:r>
        <w:rPr>
          <w:lang w:eastAsia="uk-UA"/>
        </w:rPr>
        <w:t xml:space="preserve">скасування декларації безпеки на </w:t>
      </w:r>
      <w:r w:rsidR="004C15F7">
        <w:rPr>
          <w:lang w:val="ru-RU" w:eastAsia="uk-UA"/>
        </w:rPr>
        <w:t>ОПН</w:t>
      </w:r>
      <w:r>
        <w:rPr>
          <w:lang w:eastAsia="uk-UA"/>
        </w:rPr>
        <w:t xml:space="preserve"> із заміною її на </w:t>
      </w:r>
      <w:r w:rsidRPr="00BB0FA0">
        <w:rPr>
          <w:lang w:eastAsia="uk-UA"/>
        </w:rPr>
        <w:t xml:space="preserve">звіт про заходи безпеки на </w:t>
      </w:r>
      <w:r w:rsidR="004C15F7">
        <w:rPr>
          <w:lang w:val="ru-RU" w:eastAsia="uk-UA"/>
        </w:rPr>
        <w:t>ОПН</w:t>
      </w:r>
      <w:r>
        <w:rPr>
          <w:lang w:eastAsia="uk-UA"/>
        </w:rPr>
        <w:t xml:space="preserve">, який готується за спрощеною процедурою, </w:t>
      </w:r>
      <w:r w:rsidRPr="00BB0FA0">
        <w:rPr>
          <w:lang w:eastAsia="uk-UA"/>
        </w:rPr>
        <w:t>та надання громадськості доступу до н</w:t>
      </w:r>
      <w:r>
        <w:rPr>
          <w:lang w:eastAsia="uk-UA"/>
        </w:rPr>
        <w:t>ього</w:t>
      </w:r>
      <w:r w:rsidRPr="00BB0FA0">
        <w:rPr>
          <w:lang w:eastAsia="uk-UA"/>
        </w:rPr>
        <w:t>;</w:t>
      </w:r>
    </w:p>
    <w:p w:rsidR="001E2F5A" w:rsidRPr="00BB0FA0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 w:rsidRPr="00BB0FA0">
        <w:rPr>
          <w:lang w:eastAsia="uk-UA"/>
        </w:rPr>
        <w:lastRenderedPageBreak/>
        <w:t>удосконалення процедури надання інформації після нещасного випадку на ОПН;</w:t>
      </w:r>
    </w:p>
    <w:p w:rsidR="001E2F5A" w:rsidRPr="00256C33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 w:rsidRPr="00BB0FA0">
        <w:rPr>
          <w:szCs w:val="28"/>
        </w:rPr>
        <w:t xml:space="preserve">гармонізацію законодавства України із законодавством Європейського Союзу у сфері безпеки </w:t>
      </w:r>
      <w:r w:rsidR="004C15F7">
        <w:rPr>
          <w:szCs w:val="28"/>
          <w:lang w:val="ru-RU"/>
        </w:rPr>
        <w:t>ОПН</w:t>
      </w:r>
      <w:r w:rsidRPr="00BB0FA0">
        <w:rPr>
          <w:szCs w:val="28"/>
        </w:rPr>
        <w:t>.</w:t>
      </w:r>
    </w:p>
    <w:p w:rsidR="001E2F5A" w:rsidRDefault="001E2F5A" w:rsidP="009C1BA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Законопроектом пропонується у відповідності до </w:t>
      </w:r>
      <w:r w:rsidRPr="00BB0FA0">
        <w:rPr>
          <w:szCs w:val="28"/>
        </w:rPr>
        <w:t xml:space="preserve">Директиви </w:t>
      </w:r>
      <w:proofErr w:type="spellStart"/>
      <w:r w:rsidRPr="00BB0FA0">
        <w:rPr>
          <w:szCs w:val="28"/>
        </w:rPr>
        <w:t>Севезо</w:t>
      </w:r>
      <w:proofErr w:type="spellEnd"/>
      <w:r w:rsidRPr="00BB0FA0">
        <w:rPr>
          <w:szCs w:val="28"/>
        </w:rPr>
        <w:t xml:space="preserve"> ІІІ</w:t>
      </w:r>
      <w:r>
        <w:rPr>
          <w:szCs w:val="28"/>
        </w:rPr>
        <w:t xml:space="preserve"> дати нові визначення термінів, серед яких необхідно відзначити такі як «об’єкт підвищеної небезпеки», «оператор», </w:t>
      </w:r>
      <w:r w:rsidRPr="006F6A5F">
        <w:rPr>
          <w:rFonts w:hint="eastAsia"/>
          <w:szCs w:val="28"/>
        </w:rPr>
        <w:t>«ризик»</w:t>
      </w:r>
      <w:r w:rsidRPr="006F6A5F">
        <w:rPr>
          <w:szCs w:val="28"/>
        </w:rPr>
        <w:t xml:space="preserve">. </w:t>
      </w:r>
    </w:p>
    <w:p w:rsidR="001E2F5A" w:rsidRDefault="001E2F5A" w:rsidP="009C1BAD">
      <w:pPr>
        <w:pStyle w:val="HTML"/>
        <w:spacing w:before="120"/>
        <w:ind w:right="-1" w:firstLine="709"/>
        <w:jc w:val="both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8"/>
          <w:szCs w:val="22"/>
        </w:rPr>
        <w:t>Слід відмітити, що з</w:t>
      </w:r>
      <w:r w:rsidRPr="00C21FE9">
        <w:rPr>
          <w:rFonts w:ascii="Times New Roman" w:hAnsi="Times New Roman" w:cs="Times New Roman"/>
          <w:sz w:val="28"/>
          <w:szCs w:val="22"/>
        </w:rPr>
        <w:t xml:space="preserve">аконопроект </w:t>
      </w:r>
      <w:r>
        <w:rPr>
          <w:rFonts w:ascii="Times New Roman" w:hAnsi="Times New Roman" w:cs="Times New Roman"/>
          <w:sz w:val="28"/>
          <w:szCs w:val="22"/>
        </w:rPr>
        <w:t>визначає</w:t>
      </w:r>
      <w:r w:rsidRPr="00C21FE9">
        <w:rPr>
          <w:rFonts w:ascii="Times New Roman" w:hAnsi="Times New Roman" w:cs="Times New Roman"/>
          <w:sz w:val="28"/>
          <w:szCs w:val="22"/>
        </w:rPr>
        <w:t xml:space="preserve"> термін «оператор» </w:t>
      </w:r>
      <w:r>
        <w:rPr>
          <w:rFonts w:ascii="Times New Roman" w:hAnsi="Times New Roman" w:cs="Times New Roman"/>
          <w:sz w:val="28"/>
          <w:szCs w:val="22"/>
        </w:rPr>
        <w:t xml:space="preserve">як </w:t>
      </w:r>
      <w:r w:rsidRPr="00C21FE9">
        <w:rPr>
          <w:rFonts w:ascii="Times New Roman" w:hAnsi="Times New Roman" w:cs="Times New Roman"/>
          <w:sz w:val="28"/>
          <w:szCs w:val="22"/>
        </w:rPr>
        <w:t>«суб’єкт господарювання, який планує експлуатувати або експлуатує хоча б один об’єкт підвищеної небезпеки»</w:t>
      </w:r>
      <w:r>
        <w:rPr>
          <w:rFonts w:ascii="Times New Roman" w:hAnsi="Times New Roman" w:cs="Times New Roman"/>
          <w:sz w:val="28"/>
          <w:szCs w:val="22"/>
        </w:rPr>
        <w:t xml:space="preserve">. У </w:t>
      </w:r>
      <w:r w:rsidRPr="007967E5">
        <w:rPr>
          <w:rFonts w:ascii="Times New Roman" w:hAnsi="Times New Roman" w:cs="Times New Roman" w:hint="eastAsia"/>
          <w:sz w:val="28"/>
          <w:szCs w:val="22"/>
        </w:rPr>
        <w:t>Директив</w:t>
      </w:r>
      <w:r>
        <w:rPr>
          <w:rFonts w:ascii="Times New Roman" w:hAnsi="Times New Roman" w:cs="Times New Roman" w:hint="eastAsia"/>
          <w:sz w:val="28"/>
          <w:szCs w:val="22"/>
        </w:rPr>
        <w:t>і</w:t>
      </w:r>
      <w:r w:rsidRPr="007967E5">
        <w:rPr>
          <w:rFonts w:ascii="Times New Roman" w:hAnsi="Times New Roman" w:cs="Times New Roman" w:hint="eastAsia"/>
          <w:sz w:val="28"/>
          <w:szCs w:val="22"/>
        </w:rPr>
        <w:t xml:space="preserve"> </w:t>
      </w:r>
      <w:proofErr w:type="spellStart"/>
      <w:r w:rsidRPr="007967E5">
        <w:rPr>
          <w:rFonts w:ascii="Times New Roman" w:hAnsi="Times New Roman" w:cs="Times New Roman"/>
          <w:sz w:val="28"/>
          <w:szCs w:val="22"/>
        </w:rPr>
        <w:t>Севезо</w:t>
      </w:r>
      <w:proofErr w:type="spellEnd"/>
      <w:r w:rsidRPr="007967E5">
        <w:rPr>
          <w:rFonts w:ascii="Times New Roman" w:hAnsi="Times New Roman" w:cs="Times New Roman"/>
          <w:sz w:val="28"/>
          <w:szCs w:val="22"/>
        </w:rPr>
        <w:t xml:space="preserve"> ІІІ</w:t>
      </w:r>
      <w:r w:rsidRPr="007967E5">
        <w:rPr>
          <w:rFonts w:ascii="Times New Roman" w:hAnsi="Times New Roman" w:cs="Times New Roman" w:hint="eastAsia"/>
          <w:sz w:val="28"/>
          <w:szCs w:val="22"/>
        </w:rPr>
        <w:t xml:space="preserve"> </w:t>
      </w:r>
      <w:r>
        <w:rPr>
          <w:rFonts w:ascii="Times New Roman" w:hAnsi="Times New Roman" w:cs="Times New Roman" w:hint="eastAsia"/>
          <w:sz w:val="28"/>
          <w:szCs w:val="22"/>
        </w:rPr>
        <w:t xml:space="preserve">не застосовується </w:t>
      </w:r>
      <w:r>
        <w:rPr>
          <w:rFonts w:ascii="Times New Roman" w:hAnsi="Times New Roman" w:cs="Times New Roman"/>
          <w:sz w:val="28"/>
          <w:szCs w:val="22"/>
        </w:rPr>
        <w:t>«який планує», мова йде про «фізичну або юридичну особу, що здійснює експлуатацію».</w:t>
      </w:r>
    </w:p>
    <w:p w:rsidR="001E2F5A" w:rsidRPr="006215D1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2"/>
          <w:lang w:val="uk-UA" w:eastAsia="uk-UA"/>
        </w:rPr>
      </w:pPr>
      <w:r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 xml:space="preserve">Стаття 3 </w:t>
      </w:r>
      <w:r w:rsidRPr="007967E5">
        <w:rPr>
          <w:rFonts w:ascii="Times New Roman" w:hAnsi="Times New Roman" w:cs="Times New Roman" w:hint="eastAsia"/>
          <w:sz w:val="28"/>
          <w:szCs w:val="22"/>
          <w:lang w:val="uk-UA" w:eastAsia="uk-UA"/>
        </w:rPr>
        <w:t>Директив</w:t>
      </w:r>
      <w:r>
        <w:rPr>
          <w:rFonts w:ascii="Times New Roman" w:hAnsi="Times New Roman" w:cs="Times New Roman" w:hint="eastAsia"/>
          <w:sz w:val="28"/>
          <w:szCs w:val="22"/>
          <w:lang w:val="uk-UA" w:eastAsia="uk-UA"/>
        </w:rPr>
        <w:t xml:space="preserve">и </w:t>
      </w:r>
      <w:proofErr w:type="spellStart"/>
      <w:r w:rsidRPr="006215D1">
        <w:rPr>
          <w:rFonts w:ascii="Times New Roman" w:hAnsi="Times New Roman" w:cs="Times New Roman"/>
          <w:sz w:val="28"/>
          <w:szCs w:val="22"/>
          <w:lang w:val="uk-UA" w:eastAsia="uk-UA"/>
        </w:rPr>
        <w:t>Севезо</w:t>
      </w:r>
      <w:proofErr w:type="spellEnd"/>
      <w:r w:rsidRPr="006215D1">
        <w:rPr>
          <w:rFonts w:ascii="Times New Roman" w:hAnsi="Times New Roman" w:cs="Times New Roman"/>
          <w:sz w:val="28"/>
          <w:szCs w:val="22"/>
          <w:lang w:val="uk-UA" w:eastAsia="uk-UA"/>
        </w:rPr>
        <w:t xml:space="preserve"> ІІІ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 xml:space="preserve"> </w:t>
      </w:r>
      <w:r>
        <w:rPr>
          <w:rFonts w:ascii="Times New Roman" w:hAnsi="Times New Roman" w:cs="Times New Roman" w:hint="eastAsia"/>
          <w:sz w:val="28"/>
          <w:szCs w:val="22"/>
          <w:lang w:val="uk-UA" w:eastAsia="uk-UA"/>
        </w:rPr>
        <w:t>визначає 2 рівня небезпеки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>: вищий (1-й клас) та нижчий  (2-й клас), визначаючи критерії віднесення до кожного з класів в залежності від наявності та кількості небезпечних речовин (порогових мас). Разом з тим, законопроектом пропонується</w:t>
      </w:r>
      <w:r w:rsidRPr="007967E5">
        <w:rPr>
          <w:rFonts w:ascii="Times New Roman" w:hAnsi="Times New Roman" w:cs="Times New Roman" w:hint="eastAsia"/>
          <w:sz w:val="28"/>
          <w:szCs w:val="22"/>
          <w:lang w:val="uk-UA" w:eastAsia="uk-UA"/>
        </w:rPr>
        <w:t xml:space="preserve"> </w:t>
      </w:r>
      <w:r>
        <w:rPr>
          <w:rFonts w:ascii="Times New Roman" w:hAnsi="Times New Roman" w:cs="Times New Roman" w:hint="eastAsia"/>
          <w:sz w:val="28"/>
          <w:szCs w:val="22"/>
          <w:lang w:val="uk-UA" w:eastAsia="uk-UA"/>
        </w:rPr>
        <w:t>додатковий 3-й клас небезпеки для суб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 xml:space="preserve">’єктів, які не потрапили до жодного з класів, але на сьогодні ідентифіковані як </w:t>
      </w:r>
      <w:r w:rsidRPr="006215D1">
        <w:rPr>
          <w:rFonts w:ascii="Times New Roman" w:hAnsi="Times New Roman" w:cs="Times New Roman"/>
          <w:sz w:val="28"/>
          <w:szCs w:val="22"/>
          <w:lang w:val="uk-UA" w:eastAsia="uk-UA"/>
        </w:rPr>
        <w:t>об’єкти підвищеної небезпеки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 xml:space="preserve"> або  </w:t>
      </w:r>
      <w:r w:rsidRPr="006215D1">
        <w:rPr>
          <w:rFonts w:ascii="Times New Roman" w:hAnsi="Times New Roman" w:cs="Times New Roman"/>
          <w:sz w:val="28"/>
          <w:szCs w:val="22"/>
          <w:lang w:val="uk-UA" w:eastAsia="uk-UA"/>
        </w:rPr>
        <w:t>потенційно небезпечн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>і</w:t>
      </w:r>
      <w:r w:rsidRPr="006215D1">
        <w:rPr>
          <w:rFonts w:ascii="Times New Roman" w:hAnsi="Times New Roman" w:cs="Times New Roman"/>
          <w:sz w:val="28"/>
          <w:szCs w:val="22"/>
          <w:lang w:val="uk-UA" w:eastAsia="uk-UA"/>
        </w:rPr>
        <w:t xml:space="preserve"> об’єкт</w:t>
      </w:r>
      <w:r>
        <w:rPr>
          <w:rFonts w:ascii="Times New Roman" w:hAnsi="Times New Roman" w:cs="Times New Roman"/>
          <w:sz w:val="28"/>
          <w:szCs w:val="22"/>
          <w:lang w:val="uk-UA" w:eastAsia="uk-UA"/>
        </w:rPr>
        <w:t>и.</w:t>
      </w:r>
    </w:p>
    <w:p w:rsidR="001E2F5A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</w:pPr>
      <w:r w:rsidRPr="00561534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 xml:space="preserve">Скасування необхідності погодження </w:t>
      </w:r>
      <w:r w:rsidR="009C1BAD" w:rsidRPr="009C1BAD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>П</w:t>
      </w:r>
      <w:r w:rsidRPr="00D22B96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 xml:space="preserve">лану </w:t>
      </w:r>
      <w:r w:rsidRPr="00561534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>центральними органами виконавчої влади враховано у законопроекті шляхом внесення</w:t>
      </w:r>
      <w:r w:rsidRPr="00D22B96">
        <w:rPr>
          <w:rStyle w:val="rvts82"/>
          <w:lang w:val="uk-UA" w:eastAsia="ru-RU"/>
        </w:rPr>
        <w:t xml:space="preserve"> </w:t>
      </w:r>
      <w:r w:rsidRPr="00561534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 xml:space="preserve">змін до статті 11 Закону України </w:t>
      </w:r>
      <w:bookmarkStart w:id="0" w:name="o2"/>
      <w:bookmarkEnd w:id="0"/>
      <w:r w:rsidRPr="00561534">
        <w:rPr>
          <w:rStyle w:val="rvts82"/>
          <w:rFonts w:ascii="Times New Roman" w:hAnsi="Times New Roman"/>
          <w:color w:val="auto"/>
          <w:sz w:val="28"/>
          <w:szCs w:val="20"/>
          <w:lang w:val="uk-UA" w:eastAsia="ru-RU"/>
        </w:rPr>
        <w:t>«Про об’єкти підвищеної</w:t>
      </w:r>
      <w:r w:rsidRPr="00F56F3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 небезпеки».</w:t>
      </w:r>
    </w:p>
    <w:p w:rsidR="001E2F5A" w:rsidRPr="00D742C6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</w:pP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Слід зазначити, що КЦЗ визначає аварійно-рятувальну службу як</w:t>
      </w:r>
      <w:r w:rsidRPr="007018B9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 сукупність організаційно об’єднаних органів управління, сил та засобів, призначених для проведення аварійно-рятувальних та інших невідкладних робіт</w:t>
      </w: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. </w:t>
      </w:r>
      <w:r w:rsidRPr="00D742C6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Статут аварійно-рятувальної служби або положення про аварійно-рятувальну службу розробляється на підставі типового статуту (положення) аварійно-рятувальної служби та затверджується органом виконавчої влади, органом місцевого самоврядування, суб’єктом господарювання, які утворили таку службу.</w:t>
      </w: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 Таким чином, аварійно-рятувальні служби не відносяться до </w:t>
      </w:r>
      <w:r w:rsidRPr="00D742C6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центральних органів виконавчої влади, що забезпечують формування та реалізують державну політику у сферах цивільного захисту, пожежної і техногенної безпеки</w:t>
      </w: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.</w:t>
      </w:r>
    </w:p>
    <w:p w:rsidR="001E2F5A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/>
          <w:color w:val="auto"/>
          <w:sz w:val="28"/>
          <w:szCs w:val="20"/>
          <w:lang w:val="uk-UA" w:eastAsia="ru-RU"/>
        </w:rPr>
      </w:pP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Статтею 23 КЦЗ</w:t>
      </w:r>
      <w:r w:rsidRPr="00F4234B"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 до завдань, виконання яких покладено на аварійно-рятувальні служби, віднесено 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їх </w:t>
      </w:r>
      <w:r w:rsidRPr="00F4234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участь у розробленні та погодженн</w:t>
      </w:r>
      <w:r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і</w:t>
      </w:r>
      <w:r w:rsidRPr="00F4234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 </w:t>
      </w:r>
      <w:r w:rsidR="00C76E41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П</w:t>
      </w:r>
      <w:r w:rsidRPr="00F4234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ланів на об’єктах і </w:t>
      </w:r>
      <w:r w:rsidRPr="00F4234B">
        <w:rPr>
          <w:rFonts w:ascii="Times New Roman" w:hAnsi="Times New Roman"/>
          <w:color w:val="auto"/>
          <w:sz w:val="28"/>
          <w:szCs w:val="20"/>
          <w:lang w:val="uk-UA" w:eastAsia="ru-RU"/>
        </w:rPr>
        <w:t>територія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х, що ними обслуговуються. Законопроектом передбачається </w:t>
      </w:r>
      <w:proofErr w:type="spellStart"/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>внести</w:t>
      </w:r>
      <w:proofErr w:type="spellEnd"/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 зміну у зазначену статтю і вилучити із завдань аварійно-рятувальних служб погодження </w:t>
      </w:r>
      <w:r w:rsidR="00C76E41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>П</w:t>
      </w:r>
      <w:r w:rsidRPr="00F4234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ланів </w:t>
      </w:r>
      <w:r w:rsidRPr="00F4234B">
        <w:rPr>
          <w:lang w:val="uk-UA" w:eastAsia="ru-RU"/>
        </w:rPr>
        <w:t xml:space="preserve"> </w:t>
      </w:r>
      <w:r w:rsidRPr="00F4234B">
        <w:rPr>
          <w:rFonts w:ascii="Times New Roman" w:hAnsi="Times New Roman" w:cs="Times New Roman"/>
          <w:color w:val="auto"/>
          <w:sz w:val="28"/>
          <w:szCs w:val="20"/>
          <w:lang w:val="uk-UA" w:eastAsia="ru-RU"/>
        </w:rPr>
        <w:t xml:space="preserve">на об’єктах і </w:t>
      </w:r>
      <w:r w:rsidRPr="00F4234B">
        <w:rPr>
          <w:rFonts w:ascii="Times New Roman" w:hAnsi="Times New Roman"/>
          <w:color w:val="auto"/>
          <w:sz w:val="28"/>
          <w:szCs w:val="20"/>
          <w:lang w:val="uk-UA" w:eastAsia="ru-RU"/>
        </w:rPr>
        <w:t>територія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>х, що ними обслуговуються, залишивши лише участь у їх розробленні.</w:t>
      </w:r>
    </w:p>
    <w:p w:rsidR="001E2F5A" w:rsidRPr="006676CA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/>
          <w:color w:val="auto"/>
          <w:sz w:val="28"/>
          <w:szCs w:val="20"/>
          <w:lang w:val="uk-UA" w:eastAsia="ru-RU"/>
        </w:rPr>
      </w:pP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Постановою Кабінету Міністрів України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від 11 січня 2017 р. № 5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затверджено Порядок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здійснення постійного та обов’язкового аварійно-рятувального обслуговування суб’єктів господарювання, галузей та окремих територій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.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Цей Порядок визначає механізм здійснення аварійно-рятувальними службами постійного та обов’язкового аварійно-рятувального обслуговування суб’єктів господарювання, галузей та окремих територій, щодо яких існує небезпека виникнення надзвичайних ситуацій.</w:t>
      </w:r>
    </w:p>
    <w:p w:rsidR="001E2F5A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/>
          <w:color w:val="auto"/>
          <w:sz w:val="28"/>
          <w:szCs w:val="20"/>
          <w:lang w:val="uk-UA" w:eastAsia="ru-RU"/>
        </w:rPr>
      </w:pP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lastRenderedPageBreak/>
        <w:t xml:space="preserve">Відповідно до пункту 6 зазначеного Порядку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обслуговування здійснюється на підставі відповідного договору, що укладається між суб’єктом господарювання та аварійно-рятувальною службою, за письмовим зверненням уповноваженої особи суб’єкта господарювання до відповідної аварійно-рятувальної служби з одночасним поданням відомостей, визначених за результатами ідентифікації 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>ОПН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, декларації безпеки та </w:t>
      </w:r>
      <w:r w:rsidR="00C76E41">
        <w:rPr>
          <w:rFonts w:ascii="Times New Roman" w:hAnsi="Times New Roman"/>
          <w:color w:val="auto"/>
          <w:sz w:val="28"/>
          <w:szCs w:val="20"/>
          <w:lang w:val="uk-UA" w:eastAsia="ru-RU"/>
        </w:rPr>
        <w:t>П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лану на </w:t>
      </w:r>
      <w:r w:rsidR="00C76E41">
        <w:rPr>
          <w:rFonts w:ascii="Times New Roman" w:hAnsi="Times New Roman"/>
          <w:color w:val="auto"/>
          <w:sz w:val="28"/>
          <w:szCs w:val="20"/>
          <w:lang w:val="uk-UA" w:eastAsia="ru-RU"/>
        </w:rPr>
        <w:t>ОПН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, які підлягають обслуговуванню.</w:t>
      </w:r>
    </w:p>
    <w:p w:rsidR="001E2F5A" w:rsidRPr="006676CA" w:rsidRDefault="001E2F5A" w:rsidP="009C1BAD">
      <w:pPr>
        <w:pStyle w:val="HTML1"/>
        <w:shd w:val="clear" w:color="auto" w:fill="FFFFFF"/>
        <w:spacing w:before="120"/>
        <w:ind w:firstLine="709"/>
        <w:jc w:val="both"/>
        <w:textAlignment w:val="baseline"/>
        <w:rPr>
          <w:rFonts w:ascii="Times New Roman" w:hAnsi="Times New Roman"/>
          <w:color w:val="auto"/>
          <w:sz w:val="28"/>
          <w:szCs w:val="20"/>
          <w:lang w:val="uk-UA" w:eastAsia="ru-RU"/>
        </w:rPr>
      </w:pP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За умови якщо </w:t>
      </w:r>
      <w:r w:rsidR="00C76E41">
        <w:rPr>
          <w:rFonts w:ascii="Times New Roman" w:hAnsi="Times New Roman"/>
          <w:color w:val="auto"/>
          <w:sz w:val="28"/>
          <w:szCs w:val="20"/>
          <w:lang w:val="uk-UA" w:eastAsia="ru-RU"/>
        </w:rPr>
        <w:t>П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лан на 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ОПН не буде погоджуватися </w:t>
      </w:r>
      <w:r w:rsidRPr="006676CA">
        <w:rPr>
          <w:rFonts w:ascii="Times New Roman" w:hAnsi="Times New Roman"/>
          <w:color w:val="auto"/>
          <w:sz w:val="28"/>
          <w:szCs w:val="20"/>
          <w:lang w:val="uk-UA" w:eastAsia="ru-RU"/>
        </w:rPr>
        <w:t>аварійно-рятувальною службою</w:t>
      </w:r>
      <w:r>
        <w:rPr>
          <w:rFonts w:ascii="Times New Roman" w:hAnsi="Times New Roman"/>
          <w:color w:val="auto"/>
          <w:sz w:val="28"/>
          <w:szCs w:val="20"/>
          <w:lang w:val="uk-UA" w:eastAsia="ru-RU"/>
        </w:rPr>
        <w:t xml:space="preserve">, яка здійснюватиме обслуговування ОПН і в разі виникнення надзвичайної ситуації на об’єкті повинна виконувати заходи, передбачені планом, це може негативно вплинути на оперативність і ефективність виконання таких заходів.  </w:t>
      </w:r>
    </w:p>
    <w:p w:rsidR="001E2F5A" w:rsidRDefault="001E2F5A" w:rsidP="009C1BAD">
      <w:pPr>
        <w:pStyle w:val="HTML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520">
        <w:rPr>
          <w:rFonts w:ascii="Times New Roman" w:hAnsi="Times New Roman"/>
          <w:sz w:val="28"/>
          <w:lang w:eastAsia="ru-RU"/>
        </w:rPr>
        <w:t xml:space="preserve">Крім того слід відмітити, що </w:t>
      </w:r>
      <w:r>
        <w:rPr>
          <w:rFonts w:ascii="Times New Roman" w:hAnsi="Times New Roman"/>
          <w:sz w:val="28"/>
          <w:lang w:eastAsia="ru-RU"/>
        </w:rPr>
        <w:t xml:space="preserve">законопроектом пропонується у </w:t>
      </w:r>
      <w:r w:rsidRPr="00B71520">
        <w:rPr>
          <w:rFonts w:ascii="Times New Roman" w:hAnsi="Times New Roman"/>
          <w:sz w:val="28"/>
          <w:lang w:eastAsia="ru-RU"/>
        </w:rPr>
        <w:t>статт</w:t>
      </w:r>
      <w:r>
        <w:rPr>
          <w:rFonts w:ascii="Times New Roman" w:hAnsi="Times New Roman"/>
          <w:sz w:val="28"/>
          <w:lang w:eastAsia="ru-RU"/>
        </w:rPr>
        <w:t>і</w:t>
      </w:r>
      <w:r w:rsidRPr="00B71520">
        <w:rPr>
          <w:rFonts w:ascii="Times New Roman" w:hAnsi="Times New Roman"/>
          <w:sz w:val="28"/>
          <w:lang w:eastAsia="ru-RU"/>
        </w:rPr>
        <w:t xml:space="preserve"> 11 Закону України «Про об’єкти підвищеної небезпеки» </w:t>
      </w:r>
      <w:r>
        <w:rPr>
          <w:rFonts w:ascii="Times New Roman" w:hAnsi="Times New Roman"/>
          <w:sz w:val="28"/>
          <w:lang w:eastAsia="ru-RU"/>
        </w:rPr>
        <w:t>визначити, що «</w:t>
      </w:r>
      <w:r w:rsidRPr="0076545D">
        <w:rPr>
          <w:rFonts w:ascii="Times New Roman" w:hAnsi="Times New Roman"/>
          <w:sz w:val="28"/>
          <w:lang w:eastAsia="ru-RU"/>
        </w:rPr>
        <w:t>план локалізації і ліквідації аварій є внутрішнім планом об’єкта підвищеної небезпеки, який оператор після розроблення затверджує власним розпорядчим документом</w:t>
      </w:r>
      <w:r>
        <w:rPr>
          <w:rFonts w:ascii="Times New Roman" w:hAnsi="Times New Roman"/>
          <w:sz w:val="28"/>
          <w:lang w:eastAsia="ru-RU"/>
        </w:rPr>
        <w:t>»</w:t>
      </w:r>
      <w:r w:rsidR="004C15F7" w:rsidRPr="004C15F7">
        <w:rPr>
          <w:rFonts w:ascii="Times New Roman" w:hAnsi="Times New Roman"/>
          <w:sz w:val="28"/>
          <w:lang w:eastAsia="ru-RU"/>
        </w:rPr>
        <w:t>.</w:t>
      </w:r>
      <w:r>
        <w:rPr>
          <w:rFonts w:ascii="Times New Roman" w:hAnsi="Times New Roman"/>
          <w:sz w:val="28"/>
          <w:lang w:eastAsia="ru-RU"/>
        </w:rPr>
        <w:t xml:space="preserve"> </w:t>
      </w:r>
    </w:p>
    <w:p w:rsidR="001E2F5A" w:rsidRPr="00B71520" w:rsidRDefault="001E2F5A" w:rsidP="009C1BAD">
      <w:pPr>
        <w:pStyle w:val="HTML"/>
        <w:spacing w:before="120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B71520">
        <w:rPr>
          <w:rFonts w:ascii="Times New Roman" w:hAnsi="Times New Roman"/>
          <w:sz w:val="28"/>
          <w:lang w:eastAsia="ru-RU"/>
        </w:rPr>
        <w:t>Статтею 20 К</w:t>
      </w:r>
      <w:r>
        <w:rPr>
          <w:rFonts w:ascii="Times New Roman" w:hAnsi="Times New Roman"/>
          <w:sz w:val="28"/>
          <w:lang w:eastAsia="ru-RU"/>
        </w:rPr>
        <w:t>ЦЗ</w:t>
      </w:r>
      <w:r w:rsidRPr="00B71520">
        <w:rPr>
          <w:rFonts w:ascii="Times New Roman" w:hAnsi="Times New Roman"/>
          <w:sz w:val="28"/>
          <w:lang w:eastAsia="ru-RU"/>
        </w:rPr>
        <w:t xml:space="preserve"> до </w:t>
      </w:r>
      <w:r>
        <w:rPr>
          <w:rFonts w:ascii="Times New Roman" w:hAnsi="Times New Roman"/>
          <w:sz w:val="28"/>
          <w:lang w:eastAsia="ru-RU"/>
        </w:rPr>
        <w:t>з</w:t>
      </w:r>
      <w:r w:rsidRPr="00B71520">
        <w:rPr>
          <w:rFonts w:ascii="Times New Roman" w:hAnsi="Times New Roman"/>
          <w:sz w:val="28"/>
          <w:lang w:eastAsia="ru-RU"/>
        </w:rPr>
        <w:t xml:space="preserve">авдань і обов’язків суб’єктів господарювання віднесено лише розроблення </w:t>
      </w:r>
      <w:r w:rsidR="004C15F7" w:rsidRPr="004C15F7">
        <w:rPr>
          <w:rFonts w:ascii="Times New Roman" w:hAnsi="Times New Roman"/>
          <w:sz w:val="28"/>
          <w:lang w:eastAsia="ru-RU"/>
        </w:rPr>
        <w:t>П</w:t>
      </w:r>
      <w:r w:rsidRPr="00B71520">
        <w:rPr>
          <w:rFonts w:ascii="Times New Roman" w:hAnsi="Times New Roman"/>
          <w:sz w:val="28"/>
          <w:lang w:eastAsia="ru-RU"/>
        </w:rPr>
        <w:t xml:space="preserve">ланів на </w:t>
      </w:r>
      <w:r>
        <w:rPr>
          <w:rFonts w:ascii="Times New Roman" w:hAnsi="Times New Roman"/>
          <w:sz w:val="28"/>
          <w:lang w:eastAsia="ru-RU"/>
        </w:rPr>
        <w:t>ОПН</w:t>
      </w:r>
      <w:r w:rsidRPr="00B71520">
        <w:rPr>
          <w:rFonts w:ascii="Times New Roman" w:hAnsi="Times New Roman"/>
          <w:sz w:val="28"/>
          <w:lang w:eastAsia="ru-RU"/>
        </w:rPr>
        <w:t>.</w:t>
      </w:r>
    </w:p>
    <w:p w:rsidR="001E2F5A" w:rsidRPr="00B71520" w:rsidRDefault="001E2F5A" w:rsidP="009C1BAD">
      <w:pPr>
        <w:pStyle w:val="HTML"/>
        <w:spacing w:before="120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B71520">
        <w:rPr>
          <w:rFonts w:ascii="Times New Roman" w:hAnsi="Times New Roman"/>
          <w:sz w:val="28"/>
          <w:lang w:eastAsia="ru-RU"/>
        </w:rPr>
        <w:t xml:space="preserve">Таким чином, у законопроекті доцільно було б </w:t>
      </w:r>
      <w:r>
        <w:rPr>
          <w:rFonts w:ascii="Times New Roman" w:hAnsi="Times New Roman"/>
          <w:sz w:val="28"/>
          <w:lang w:eastAsia="ru-RU"/>
        </w:rPr>
        <w:t xml:space="preserve">запропонувати внесення змін до статті 20 КЦЗ в частині віднесення </w:t>
      </w:r>
      <w:r w:rsidRPr="00B71520">
        <w:rPr>
          <w:rFonts w:ascii="Times New Roman" w:hAnsi="Times New Roman"/>
          <w:sz w:val="28"/>
          <w:lang w:eastAsia="ru-RU"/>
        </w:rPr>
        <w:t xml:space="preserve">до </w:t>
      </w:r>
      <w:r>
        <w:rPr>
          <w:rFonts w:ascii="Times New Roman" w:hAnsi="Times New Roman"/>
          <w:sz w:val="28"/>
          <w:lang w:eastAsia="ru-RU"/>
        </w:rPr>
        <w:t>з</w:t>
      </w:r>
      <w:r w:rsidRPr="00B71520">
        <w:rPr>
          <w:rFonts w:ascii="Times New Roman" w:hAnsi="Times New Roman"/>
          <w:sz w:val="28"/>
          <w:lang w:eastAsia="ru-RU"/>
        </w:rPr>
        <w:t xml:space="preserve">авдань і обов’язків суб’єктів господарювання </w:t>
      </w:r>
      <w:r>
        <w:rPr>
          <w:rFonts w:ascii="Times New Roman" w:hAnsi="Times New Roman"/>
          <w:sz w:val="28"/>
          <w:lang w:eastAsia="ru-RU"/>
        </w:rPr>
        <w:t>також і затвердження</w:t>
      </w:r>
      <w:r w:rsidRPr="00B71520">
        <w:rPr>
          <w:rFonts w:ascii="Times New Roman" w:hAnsi="Times New Roman"/>
          <w:sz w:val="28"/>
          <w:lang w:eastAsia="ru-RU"/>
        </w:rPr>
        <w:t xml:space="preserve"> </w:t>
      </w:r>
      <w:r w:rsidR="004C15F7" w:rsidRPr="004C15F7">
        <w:rPr>
          <w:rFonts w:ascii="Times New Roman" w:hAnsi="Times New Roman"/>
          <w:sz w:val="28"/>
          <w:lang w:eastAsia="ru-RU"/>
        </w:rPr>
        <w:t>П</w:t>
      </w:r>
      <w:r w:rsidRPr="00B71520">
        <w:rPr>
          <w:rFonts w:ascii="Times New Roman" w:hAnsi="Times New Roman"/>
          <w:sz w:val="28"/>
          <w:lang w:eastAsia="ru-RU"/>
        </w:rPr>
        <w:t xml:space="preserve">ланів на </w:t>
      </w:r>
      <w:r>
        <w:rPr>
          <w:rFonts w:ascii="Times New Roman" w:hAnsi="Times New Roman"/>
          <w:sz w:val="28"/>
          <w:lang w:eastAsia="ru-RU"/>
        </w:rPr>
        <w:t>ОПН.</w:t>
      </w:r>
    </w:p>
    <w:p w:rsidR="001E2F5A" w:rsidRDefault="001E2F5A" w:rsidP="009C1BAD">
      <w:pPr>
        <w:spacing w:before="120" w:after="0" w:line="240" w:lineRule="auto"/>
        <w:ind w:firstLine="709"/>
        <w:jc w:val="both"/>
        <w:rPr>
          <w:szCs w:val="28"/>
          <w:lang w:val="ru-RU"/>
        </w:rPr>
      </w:pPr>
      <w:r w:rsidRPr="000F4861">
        <w:t>Головне науково-експертне управління</w:t>
      </w:r>
      <w:r w:rsidRPr="003C5D6C">
        <w:t>,</w:t>
      </w:r>
      <w:r>
        <w:t xml:space="preserve"> </w:t>
      </w:r>
      <w:r w:rsidRPr="009A185C">
        <w:rPr>
          <w:szCs w:val="28"/>
        </w:rPr>
        <w:t xml:space="preserve">проаналізувавши проект, </w:t>
      </w:r>
      <w:r>
        <w:rPr>
          <w:szCs w:val="28"/>
        </w:rPr>
        <w:t xml:space="preserve"> вислов</w:t>
      </w:r>
      <w:r w:rsidRPr="003C5D6C">
        <w:rPr>
          <w:szCs w:val="28"/>
        </w:rPr>
        <w:t>ило</w:t>
      </w:r>
      <w:r w:rsidRPr="009A185C">
        <w:rPr>
          <w:szCs w:val="28"/>
        </w:rPr>
        <w:t xml:space="preserve"> щодо його змісту </w:t>
      </w:r>
      <w:r>
        <w:rPr>
          <w:szCs w:val="28"/>
        </w:rPr>
        <w:t>ряд</w:t>
      </w:r>
      <w:r w:rsidRPr="009A185C">
        <w:rPr>
          <w:szCs w:val="28"/>
        </w:rPr>
        <w:t xml:space="preserve"> зауважен</w:t>
      </w:r>
      <w:r w:rsidRPr="003C5D6C">
        <w:rPr>
          <w:szCs w:val="28"/>
        </w:rPr>
        <w:t>ь</w:t>
      </w:r>
      <w:r w:rsidRPr="009A185C">
        <w:rPr>
          <w:szCs w:val="28"/>
        </w:rPr>
        <w:t xml:space="preserve"> та пропозиці</w:t>
      </w:r>
      <w:r w:rsidRPr="003C5D6C">
        <w:rPr>
          <w:szCs w:val="28"/>
        </w:rPr>
        <w:t>й,</w:t>
      </w:r>
      <w:r>
        <w:rPr>
          <w:szCs w:val="28"/>
        </w:rPr>
        <w:t xml:space="preserve"> серед яких слід відмітити наступні.</w:t>
      </w:r>
      <w:r>
        <w:rPr>
          <w:szCs w:val="28"/>
          <w:lang w:val="ru-RU"/>
        </w:rPr>
        <w:t xml:space="preserve"> </w:t>
      </w:r>
    </w:p>
    <w:p w:rsidR="001E2F5A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 w:rsidRPr="008D514D">
        <w:rPr>
          <w:szCs w:val="28"/>
        </w:rPr>
        <w:t xml:space="preserve">Погоджуючись із виключенням зі ст. 2 КЦЗ визначення змісту терміну «об’єкт підвищеної небезпеки», </w:t>
      </w:r>
      <w:proofErr w:type="spellStart"/>
      <w:r w:rsidRPr="008D514D">
        <w:rPr>
          <w:szCs w:val="28"/>
        </w:rPr>
        <w:t>звер</w:t>
      </w:r>
      <w:r>
        <w:rPr>
          <w:szCs w:val="28"/>
        </w:rPr>
        <w:t>нуто</w:t>
      </w:r>
      <w:proofErr w:type="spellEnd"/>
      <w:r w:rsidRPr="008D514D">
        <w:rPr>
          <w:szCs w:val="28"/>
        </w:rPr>
        <w:t xml:space="preserve"> увагу, що саме це поняття продовжує використовуватися у КЦЗ (п. 15 ч. 1 ст. 18; п. п. 6, 9, 10, 14 ч. 1 ст. 20; п. 4 ч. 2, п. 3 ч. 12 ст. 23 тощо). У зв’язку з цим, щоб уникнути виникнення можливості його неоднозначного тлумачення, пропонує</w:t>
      </w:r>
      <w:r>
        <w:rPr>
          <w:szCs w:val="28"/>
        </w:rPr>
        <w:t>ться</w:t>
      </w:r>
      <w:r w:rsidRPr="008D514D">
        <w:rPr>
          <w:szCs w:val="28"/>
        </w:rPr>
        <w:t xml:space="preserve"> у ст. 2 КЦЗ уточнити, що термін «об’єкт підвищеної небезпеки» застосовується у КЦЗ у значенні, наведеному у Законі України «Про об’єкти підвищеної небезпеки».</w:t>
      </w:r>
    </w:p>
    <w:p w:rsidR="001E2F5A" w:rsidRPr="009A185C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 w:rsidRPr="008D514D">
        <w:rPr>
          <w:szCs w:val="28"/>
        </w:rPr>
        <w:t>У змінах до ст. 5 Закону визначаються повноваження центрального органу виконавчої влади, який реалізує державну політику у сфері цивільного захисту і виконує функції компетентного</w:t>
      </w:r>
      <w:r w:rsidRPr="009A185C">
        <w:rPr>
          <w:szCs w:val="28"/>
        </w:rPr>
        <w:t xml:space="preserve"> органу у сфері діяльності, пов’язаної з ОПН. Проте слід звернути увагу, що у КЦЗ визначаються лише повноваження центрального органу виконавчої влади, який забезпечує формування та реалізує державну політику у сфері цивільного захисту (ст. 17), і відсутнє визначення повноважень центрального органу виконавчої влади, який реалізує державну політику у сфері цивільного захисту, що створює неузгодженість між проектом та КЦЗ.</w:t>
      </w:r>
    </w:p>
    <w:p w:rsidR="001E2F5A" w:rsidRDefault="001E2F5A" w:rsidP="009C1BAD">
      <w:pPr>
        <w:spacing w:before="120" w:after="0" w:line="240" w:lineRule="auto"/>
        <w:ind w:firstLine="709"/>
        <w:jc w:val="both"/>
        <w:rPr>
          <w:iCs/>
          <w:szCs w:val="28"/>
        </w:rPr>
      </w:pPr>
      <w:r w:rsidRPr="008D514D">
        <w:rPr>
          <w:iCs/>
          <w:szCs w:val="28"/>
        </w:rPr>
        <w:t xml:space="preserve">Положення </w:t>
      </w:r>
      <w:proofErr w:type="spellStart"/>
      <w:r w:rsidRPr="008D514D">
        <w:rPr>
          <w:iCs/>
          <w:szCs w:val="28"/>
        </w:rPr>
        <w:t>абз</w:t>
      </w:r>
      <w:proofErr w:type="spellEnd"/>
      <w:r w:rsidRPr="008D514D">
        <w:rPr>
          <w:iCs/>
          <w:szCs w:val="28"/>
        </w:rPr>
        <w:t>. 1 ч. 1 нової редакції ст. 10 Закону, відповідно до якого перед прийняттям в експлуатацію закінченого будівництвом ОПН його оператор готує і нада</w:t>
      </w:r>
      <w:r w:rsidRPr="009A185C">
        <w:rPr>
          <w:iCs/>
          <w:szCs w:val="28"/>
        </w:rPr>
        <w:t>є територіальному органу центрального органу виконавчої влади, що реалізує державну політику у сфері цивільного захисту «звіт про заходи безпеки на об’єкті підвищеної небезпеки» доцільно узгодити з відповідними положеннями Закону України «Про регулювання містобудівної діяльності», в якому такого обов’язку оператора ОПН не передбачено.</w:t>
      </w:r>
    </w:p>
    <w:p w:rsidR="001E2F5A" w:rsidRPr="004C4AA2" w:rsidRDefault="001E2F5A" w:rsidP="009C1BAD">
      <w:pPr>
        <w:spacing w:before="120"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Як зазначено у пояснювальній записці до законопроекту, його п</w:t>
      </w:r>
      <w:r w:rsidRPr="004303F1">
        <w:rPr>
          <w:szCs w:val="28"/>
        </w:rPr>
        <w:t>рийняття не передбачає фінансових витрат з державного та місцевих бюджетів.</w:t>
      </w:r>
    </w:p>
    <w:p w:rsidR="001E2F5A" w:rsidRPr="001E2F5A" w:rsidRDefault="001E2F5A" w:rsidP="009C1BAD">
      <w:pPr>
        <w:spacing w:before="120" w:after="0" w:line="240" w:lineRule="auto"/>
        <w:ind w:firstLine="709"/>
        <w:jc w:val="both"/>
        <w:rPr>
          <w:iCs/>
          <w:szCs w:val="28"/>
        </w:rPr>
      </w:pPr>
      <w:r w:rsidRPr="004C4AA2">
        <w:rPr>
          <w:szCs w:val="28"/>
        </w:rPr>
        <w:t>Відповідно до висновку Комітету з питань інтеграції України з Європейським Союзом</w:t>
      </w:r>
      <w:r>
        <w:rPr>
          <w:szCs w:val="28"/>
        </w:rPr>
        <w:t xml:space="preserve"> проект Закону </w:t>
      </w:r>
      <w:r w:rsidRPr="0003508E">
        <w:rPr>
          <w:szCs w:val="28"/>
        </w:rPr>
        <w:t>не суперечить зобов’язанням України відпо</w:t>
      </w:r>
      <w:r>
        <w:rPr>
          <w:szCs w:val="28"/>
        </w:rPr>
        <w:t>відно до Угоди про асоціацію та</w:t>
      </w:r>
      <w:r w:rsidRPr="0003508E">
        <w:rPr>
          <w:szCs w:val="28"/>
        </w:rPr>
        <w:t xml:space="preserve"> Директив</w:t>
      </w:r>
      <w:r>
        <w:rPr>
          <w:szCs w:val="28"/>
        </w:rPr>
        <w:t>і</w:t>
      </w:r>
      <w:r w:rsidRPr="0003508E">
        <w:rPr>
          <w:szCs w:val="28"/>
        </w:rPr>
        <w:t xml:space="preserve"> 2012/18/ЄС, </w:t>
      </w:r>
      <w:r w:rsidRPr="003B0B6A">
        <w:rPr>
          <w:szCs w:val="28"/>
        </w:rPr>
        <w:t xml:space="preserve">однак </w:t>
      </w:r>
      <w:r w:rsidRPr="0003508E">
        <w:rPr>
          <w:szCs w:val="28"/>
        </w:rPr>
        <w:t xml:space="preserve">не в повній мірі враховує деякі її </w:t>
      </w:r>
      <w:r w:rsidRPr="001E2F5A">
        <w:rPr>
          <w:iCs/>
          <w:szCs w:val="28"/>
        </w:rPr>
        <w:t>положення.</w:t>
      </w:r>
    </w:p>
    <w:p w:rsidR="001E2F5A" w:rsidRPr="001E2F5A" w:rsidRDefault="001E2F5A" w:rsidP="009C1BAD">
      <w:pPr>
        <w:pStyle w:val="a6"/>
        <w:spacing w:before="120" w:after="0"/>
        <w:ind w:left="0" w:firstLine="709"/>
        <w:jc w:val="both"/>
        <w:rPr>
          <w:rFonts w:eastAsia="Times New Roman" w:cs="Calibri"/>
          <w:iCs/>
          <w:sz w:val="28"/>
          <w:szCs w:val="28"/>
          <w:lang w:eastAsia="en-US"/>
        </w:rPr>
      </w:pPr>
      <w:r w:rsidRPr="001E2F5A">
        <w:rPr>
          <w:rFonts w:eastAsia="Times New Roman" w:cs="Calibri"/>
          <w:iCs/>
          <w:sz w:val="28"/>
          <w:szCs w:val="28"/>
          <w:lang w:eastAsia="en-US"/>
        </w:rPr>
        <w:t>Рекомендувати Верховній Раді України</w:t>
      </w:r>
      <w:r w:rsidRPr="001E2F5A">
        <w:rPr>
          <w:rFonts w:eastAsia="Times New Roman" w:cs="Calibri"/>
          <w:iCs/>
          <w:sz w:val="28"/>
          <w:szCs w:val="28"/>
          <w:lang w:eastAsia="en-US"/>
        </w:rPr>
        <w:t xml:space="preserve"> </w:t>
      </w:r>
      <w:r w:rsidRPr="001E2F5A">
        <w:rPr>
          <w:rFonts w:eastAsia="Times New Roman" w:cs="Calibri"/>
          <w:iCs/>
          <w:sz w:val="28"/>
          <w:szCs w:val="28"/>
          <w:lang w:eastAsia="en-US"/>
        </w:rPr>
        <w:t xml:space="preserve">проект Закону України про внесення змін до деяких законодавчих актів України щодо об’єктів підвищеної небезпеки (реєстр. № 4407 від 19.11.2020 р.), внесений Кабінетом Міністрів України, </w:t>
      </w:r>
      <w:r w:rsidR="00A56C84">
        <w:rPr>
          <w:rFonts w:eastAsia="Times New Roman" w:cs="Calibri"/>
          <w:iCs/>
          <w:sz w:val="28"/>
          <w:szCs w:val="28"/>
          <w:lang w:eastAsia="en-US"/>
        </w:rPr>
        <w:t>з</w:t>
      </w:r>
      <w:bookmarkStart w:id="1" w:name="_GoBack"/>
      <w:bookmarkEnd w:id="1"/>
      <w:r w:rsidRPr="001E2F5A">
        <w:rPr>
          <w:rFonts w:eastAsia="Times New Roman" w:cs="Calibri"/>
          <w:iCs/>
          <w:sz w:val="28"/>
          <w:szCs w:val="28"/>
          <w:lang w:eastAsia="en-US"/>
        </w:rPr>
        <w:t>а результатами розгляду в першому читанні прийняти за основу.</w:t>
      </w:r>
    </w:p>
    <w:p w:rsidR="00546DBE" w:rsidRPr="00546DBE" w:rsidRDefault="00546DBE" w:rsidP="009C1BAD">
      <w:pPr>
        <w:spacing w:before="120" w:after="0" w:line="240" w:lineRule="auto"/>
        <w:ind w:firstLine="709"/>
        <w:jc w:val="both"/>
        <w:rPr>
          <w:rFonts w:cs="Times New Roman"/>
          <w:szCs w:val="28"/>
        </w:rPr>
      </w:pPr>
      <w:r w:rsidRPr="00546DBE">
        <w:rPr>
          <w:rStyle w:val="spelle"/>
          <w:rFonts w:cs="Times New Roman"/>
          <w:szCs w:val="28"/>
        </w:rPr>
        <w:t>Співдоповідачем</w:t>
      </w:r>
      <w:r w:rsidRPr="00546DBE">
        <w:rPr>
          <w:rFonts w:cs="Times New Roman"/>
          <w:szCs w:val="28"/>
        </w:rPr>
        <w:t xml:space="preserve"> на пленарному </w:t>
      </w:r>
      <w:r w:rsidRPr="00546DBE">
        <w:rPr>
          <w:rStyle w:val="spelle"/>
          <w:rFonts w:cs="Times New Roman"/>
          <w:szCs w:val="28"/>
        </w:rPr>
        <w:t>засіданні</w:t>
      </w:r>
      <w:r w:rsidRPr="00546DBE">
        <w:rPr>
          <w:rFonts w:cs="Times New Roman"/>
          <w:szCs w:val="28"/>
        </w:rPr>
        <w:t xml:space="preserve"> </w:t>
      </w:r>
      <w:r w:rsidRPr="00546DBE">
        <w:rPr>
          <w:rStyle w:val="spelle"/>
          <w:rFonts w:cs="Times New Roman"/>
          <w:szCs w:val="28"/>
        </w:rPr>
        <w:t>Верховно</w:t>
      </w:r>
      <w:r w:rsidRPr="00546DBE">
        <w:rPr>
          <w:rStyle w:val="grame"/>
          <w:rFonts w:eastAsia="Calibri" w:cs="Times New Roman"/>
          <w:szCs w:val="28"/>
        </w:rPr>
        <w:t>ї Р</w:t>
      </w:r>
      <w:r w:rsidRPr="00546DBE">
        <w:rPr>
          <w:rFonts w:cs="Times New Roman"/>
          <w:szCs w:val="28"/>
        </w:rPr>
        <w:t xml:space="preserve">ади </w:t>
      </w:r>
      <w:r w:rsidRPr="00546DBE">
        <w:rPr>
          <w:rStyle w:val="spelle"/>
          <w:rFonts w:cs="Times New Roman"/>
          <w:szCs w:val="28"/>
        </w:rPr>
        <w:t>України</w:t>
      </w:r>
      <w:r w:rsidRPr="00546DBE">
        <w:rPr>
          <w:rFonts w:cs="Times New Roman"/>
          <w:szCs w:val="28"/>
        </w:rPr>
        <w:t xml:space="preserve"> </w:t>
      </w:r>
      <w:r w:rsidRPr="00546DBE">
        <w:rPr>
          <w:rStyle w:val="spelle"/>
          <w:rFonts w:cs="Times New Roman"/>
          <w:szCs w:val="28"/>
        </w:rPr>
        <w:t>визнач</w:t>
      </w:r>
      <w:proofErr w:type="spellStart"/>
      <w:r w:rsidRPr="00546DBE">
        <w:rPr>
          <w:rStyle w:val="spelle"/>
          <w:rFonts w:cs="Times New Roman"/>
          <w:szCs w:val="28"/>
          <w:lang w:val="ru-RU"/>
        </w:rPr>
        <w:t>ено</w:t>
      </w:r>
      <w:proofErr w:type="spellEnd"/>
      <w:r w:rsidRPr="00546DBE">
        <w:rPr>
          <w:rFonts w:cs="Times New Roman"/>
          <w:szCs w:val="28"/>
        </w:rPr>
        <w:t xml:space="preserve"> </w:t>
      </w:r>
      <w:r w:rsidRPr="00546DBE">
        <w:rPr>
          <w:rStyle w:val="spelle"/>
          <w:rFonts w:cs="Times New Roman"/>
          <w:szCs w:val="28"/>
        </w:rPr>
        <w:t xml:space="preserve">народного депутата України </w:t>
      </w:r>
      <w:r w:rsidR="00516BE4">
        <w:rPr>
          <w:rStyle w:val="spelle"/>
          <w:rFonts w:cs="Times New Roman"/>
          <w:szCs w:val="28"/>
        </w:rPr>
        <w:t>Шахова С</w:t>
      </w:r>
      <w:r w:rsidRPr="00546DBE">
        <w:rPr>
          <w:rStyle w:val="spelle"/>
          <w:rFonts w:cs="Times New Roman"/>
          <w:szCs w:val="28"/>
        </w:rPr>
        <w:t xml:space="preserve">.В. </w:t>
      </w:r>
      <w:r w:rsidRPr="00546DBE">
        <w:rPr>
          <w:rFonts w:cs="Times New Roman"/>
          <w:szCs w:val="28"/>
        </w:rPr>
        <w:t xml:space="preserve"> </w:t>
      </w:r>
    </w:p>
    <w:p w:rsidR="00C52712" w:rsidRDefault="00C52712" w:rsidP="00C52712">
      <w:pPr>
        <w:pStyle w:val="a6"/>
        <w:jc w:val="center"/>
        <w:rPr>
          <w:b/>
        </w:rPr>
      </w:pPr>
      <w:r>
        <w:rPr>
          <w:b/>
        </w:rPr>
        <w:t xml:space="preserve">              </w:t>
      </w:r>
    </w:p>
    <w:p w:rsidR="00516BE4" w:rsidRDefault="00516BE4" w:rsidP="00C52712">
      <w:pPr>
        <w:pStyle w:val="a6"/>
        <w:jc w:val="center"/>
        <w:rPr>
          <w:b/>
        </w:rPr>
      </w:pPr>
    </w:p>
    <w:p w:rsidR="00C52712" w:rsidRPr="00546DBE" w:rsidRDefault="00C52712" w:rsidP="009C1BAD">
      <w:pPr>
        <w:pStyle w:val="a6"/>
        <w:ind w:left="0" w:firstLine="709"/>
        <w:rPr>
          <w:b/>
          <w:sz w:val="28"/>
          <w:szCs w:val="28"/>
        </w:rPr>
      </w:pPr>
      <w:r w:rsidRPr="00546DBE">
        <w:rPr>
          <w:b/>
          <w:sz w:val="28"/>
          <w:szCs w:val="28"/>
        </w:rPr>
        <w:t>Голова Комітету                                                                     О. БОНДАРЕНКО</w:t>
      </w:r>
    </w:p>
    <w:sectPr w:rsidR="00C52712" w:rsidRPr="00546DBE" w:rsidSect="0051772C">
      <w:headerReference w:type="default" r:id="rId7"/>
      <w:headerReference w:type="first" r:id="rId8"/>
      <w:pgSz w:w="11906" w:h="16838"/>
      <w:pgMar w:top="641" w:right="567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F2C" w:rsidRDefault="008B5F2C">
      <w:pPr>
        <w:spacing w:after="0" w:line="240" w:lineRule="auto"/>
      </w:pPr>
      <w:r>
        <w:separator/>
      </w:r>
    </w:p>
  </w:endnote>
  <w:endnote w:type="continuationSeparator" w:id="0">
    <w:p w:rsidR="008B5F2C" w:rsidRDefault="008B5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F2C" w:rsidRDefault="008B5F2C">
      <w:pPr>
        <w:spacing w:after="0" w:line="240" w:lineRule="auto"/>
      </w:pPr>
      <w:r>
        <w:separator/>
      </w:r>
    </w:p>
  </w:footnote>
  <w:footnote w:type="continuationSeparator" w:id="0">
    <w:p w:rsidR="008B5F2C" w:rsidRDefault="008B5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93" w:rsidRDefault="008B5F2C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BE4" w:rsidRDefault="00516BE4" w:rsidP="00516BE4">
    <w:pPr>
      <w:pStyle w:val="a3"/>
      <w:jc w:val="right"/>
    </w:pPr>
    <w:r>
      <w:rPr>
        <w:szCs w:val="28"/>
      </w:rPr>
      <w:t xml:space="preserve">До </w:t>
    </w:r>
    <w:r w:rsidRPr="00966C6F">
      <w:rPr>
        <w:szCs w:val="28"/>
      </w:rPr>
      <w:t xml:space="preserve">реєстр. </w:t>
    </w:r>
    <w:r w:rsidRPr="00966C6F">
      <w:rPr>
        <w:szCs w:val="28"/>
      </w:rPr>
      <w:t>№ 4</w:t>
    </w:r>
    <w:r w:rsidR="001E2F5A">
      <w:rPr>
        <w:szCs w:val="28"/>
      </w:rPr>
      <w:t>407</w:t>
    </w:r>
    <w:r w:rsidRPr="00966C6F">
      <w:rPr>
        <w:szCs w:val="28"/>
      </w:rPr>
      <w:t xml:space="preserve"> від </w:t>
    </w:r>
    <w:r w:rsidR="001E2F5A">
      <w:rPr>
        <w:szCs w:val="28"/>
      </w:rPr>
      <w:t>1</w:t>
    </w:r>
    <w:r w:rsidRPr="00966C6F">
      <w:rPr>
        <w:szCs w:val="28"/>
      </w:rPr>
      <w:t>9.1</w:t>
    </w:r>
    <w:r w:rsidR="001E2F5A">
      <w:rPr>
        <w:szCs w:val="28"/>
      </w:rPr>
      <w:t>1</w:t>
    </w:r>
    <w:r w:rsidRPr="00966C6F">
      <w:rPr>
        <w:szCs w:val="28"/>
      </w:rPr>
      <w:t>.2020</w:t>
    </w:r>
    <w:r w:rsidR="001E2F5A">
      <w:rPr>
        <w:szCs w:val="28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B8"/>
    <w:rsid w:val="000222C5"/>
    <w:rsid w:val="0007655A"/>
    <w:rsid w:val="000C4528"/>
    <w:rsid w:val="001007F2"/>
    <w:rsid w:val="00116FA9"/>
    <w:rsid w:val="001E2F5A"/>
    <w:rsid w:val="00252FC9"/>
    <w:rsid w:val="002B3830"/>
    <w:rsid w:val="002E1D37"/>
    <w:rsid w:val="00307C6F"/>
    <w:rsid w:val="004C15F7"/>
    <w:rsid w:val="00515722"/>
    <w:rsid w:val="00516BE4"/>
    <w:rsid w:val="005204CF"/>
    <w:rsid w:val="00546DBE"/>
    <w:rsid w:val="0057017A"/>
    <w:rsid w:val="00584309"/>
    <w:rsid w:val="005E6E1A"/>
    <w:rsid w:val="005E7B53"/>
    <w:rsid w:val="006D0BD4"/>
    <w:rsid w:val="006E698D"/>
    <w:rsid w:val="0078310D"/>
    <w:rsid w:val="00797404"/>
    <w:rsid w:val="007D3112"/>
    <w:rsid w:val="00873F1E"/>
    <w:rsid w:val="008B5F2C"/>
    <w:rsid w:val="008C0940"/>
    <w:rsid w:val="008E71CB"/>
    <w:rsid w:val="00946BC2"/>
    <w:rsid w:val="009C1BAD"/>
    <w:rsid w:val="00A56C84"/>
    <w:rsid w:val="00A663B8"/>
    <w:rsid w:val="00B020AE"/>
    <w:rsid w:val="00C52712"/>
    <w:rsid w:val="00C76E41"/>
    <w:rsid w:val="00CD4BA1"/>
    <w:rsid w:val="00D32DB3"/>
    <w:rsid w:val="00D91F6E"/>
    <w:rsid w:val="00E06FE1"/>
    <w:rsid w:val="00E7589F"/>
    <w:rsid w:val="00E876D1"/>
    <w:rsid w:val="00EF2D27"/>
    <w:rsid w:val="00F01019"/>
    <w:rsid w:val="00F25C2D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B23C"/>
  <w15:chartTrackingRefBased/>
  <w15:docId w15:val="{E0D790BF-2E89-4973-8175-7AAF6555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3B8"/>
    <w:rPr>
      <w:rFonts w:eastAsia="Times New Roman" w:cs="Calibri"/>
    </w:rPr>
  </w:style>
  <w:style w:type="paragraph" w:styleId="3">
    <w:name w:val="heading 3"/>
    <w:basedOn w:val="a"/>
    <w:link w:val="30"/>
    <w:uiPriority w:val="9"/>
    <w:qFormat/>
    <w:rsid w:val="00546DBE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3B8"/>
    <w:rPr>
      <w:rFonts w:eastAsia="Times New Roman" w:cs="Calibri"/>
    </w:rPr>
  </w:style>
  <w:style w:type="character" w:customStyle="1" w:styleId="rvts0">
    <w:name w:val="rvts0"/>
    <w:basedOn w:val="a0"/>
    <w:rsid w:val="00A663B8"/>
    <w:rPr>
      <w:rFonts w:cs="Times New Roman"/>
    </w:rPr>
  </w:style>
  <w:style w:type="table" w:styleId="a5">
    <w:name w:val="Table Grid"/>
    <w:basedOn w:val="a1"/>
    <w:uiPriority w:val="99"/>
    <w:rsid w:val="00A663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A663B8"/>
    <w:pPr>
      <w:spacing w:after="120" w:line="240" w:lineRule="auto"/>
      <w:ind w:left="283"/>
    </w:pPr>
    <w:rPr>
      <w:rFonts w:eastAsia="Calibri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A663B8"/>
    <w:rPr>
      <w:rFonts w:eastAsia="Calibri" w:cs="Times New Roman"/>
      <w:sz w:val="24"/>
      <w:szCs w:val="24"/>
      <w:lang w:eastAsia="ru-RU"/>
    </w:rPr>
  </w:style>
  <w:style w:type="character" w:customStyle="1" w:styleId="2">
    <w:name w:val="Основний текст (2)_"/>
    <w:link w:val="20"/>
    <w:rsid w:val="00A663B8"/>
    <w:rPr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A663B8"/>
    <w:pPr>
      <w:widowControl w:val="0"/>
      <w:shd w:val="clear" w:color="auto" w:fill="FFFFFF"/>
      <w:spacing w:after="600" w:line="0" w:lineRule="atLeast"/>
      <w:jc w:val="right"/>
    </w:pPr>
    <w:rPr>
      <w:rFonts w:eastAsiaTheme="minorHAnsi" w:cstheme="minorBidi"/>
      <w:szCs w:val="28"/>
    </w:rPr>
  </w:style>
  <w:style w:type="character" w:styleId="a8">
    <w:name w:val="page number"/>
    <w:unhideWhenUsed/>
    <w:rsid w:val="00A663B8"/>
    <w:rPr>
      <w:sz w:val="20"/>
    </w:rPr>
  </w:style>
  <w:style w:type="character" w:customStyle="1" w:styleId="FontStyle12">
    <w:name w:val="Font Style12"/>
    <w:uiPriority w:val="99"/>
    <w:rsid w:val="00A663B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A663B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07655A"/>
    <w:pPr>
      <w:widowControl w:val="0"/>
      <w:autoSpaceDE w:val="0"/>
      <w:autoSpaceDN w:val="0"/>
      <w:adjustRightInd w:val="0"/>
      <w:spacing w:after="0" w:line="317" w:lineRule="exact"/>
      <w:ind w:firstLine="826"/>
    </w:pPr>
    <w:rPr>
      <w:rFonts w:cs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07655A"/>
    <w:pPr>
      <w:spacing w:after="0" w:line="240" w:lineRule="auto"/>
    </w:pPr>
    <w:rPr>
      <w:rFonts w:eastAsia="Times New Roman" w:cs="Calibri"/>
    </w:rPr>
  </w:style>
  <w:style w:type="paragraph" w:styleId="aa">
    <w:name w:val="Balloon Text"/>
    <w:basedOn w:val="a"/>
    <w:link w:val="ab"/>
    <w:uiPriority w:val="99"/>
    <w:semiHidden/>
    <w:unhideWhenUsed/>
    <w:rsid w:val="00B0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020AE"/>
    <w:rPr>
      <w:rFonts w:ascii="Segoe UI" w:eastAsia="Times New Roman" w:hAnsi="Segoe UI" w:cs="Segoe UI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5701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57017A"/>
    <w:rPr>
      <w:rFonts w:eastAsia="Times New Roman" w:cs="Calibri"/>
    </w:rPr>
  </w:style>
  <w:style w:type="paragraph" w:styleId="ae">
    <w:name w:val="Body Text"/>
    <w:basedOn w:val="a"/>
    <w:link w:val="af"/>
    <w:rsid w:val="00C52712"/>
    <w:pPr>
      <w:spacing w:after="120" w:line="240" w:lineRule="auto"/>
      <w:ind w:firstLine="709"/>
      <w:jc w:val="both"/>
    </w:pPr>
    <w:rPr>
      <w:rFonts w:cs="Times New Roman"/>
      <w:szCs w:val="20"/>
      <w:lang w:eastAsia="ru-RU"/>
    </w:rPr>
  </w:style>
  <w:style w:type="character" w:customStyle="1" w:styleId="af">
    <w:name w:val="Основний текст Знак"/>
    <w:basedOn w:val="a0"/>
    <w:link w:val="ae"/>
    <w:rsid w:val="00C52712"/>
    <w:rPr>
      <w:rFonts w:eastAsia="Times New Roman" w:cs="Times New Roman"/>
      <w:szCs w:val="20"/>
      <w:lang w:eastAsia="ru-RU"/>
    </w:rPr>
  </w:style>
  <w:style w:type="paragraph" w:customStyle="1" w:styleId="af0">
    <w:name w:val="Íîðìàëüíèé òåêñò"/>
    <w:basedOn w:val="a"/>
    <w:uiPriority w:val="99"/>
    <w:rsid w:val="00C52712"/>
    <w:pPr>
      <w:suppressAutoHyphens/>
      <w:spacing w:before="120" w:after="200" w:line="276" w:lineRule="auto"/>
      <w:ind w:firstLine="567"/>
      <w:jc w:val="both"/>
    </w:pPr>
    <w:rPr>
      <w:rFonts w:ascii="Antiqua" w:hAnsi="Antiqua" w:cs="Antiqua"/>
      <w:kern w:val="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6DBE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spelle">
    <w:name w:val="spelle"/>
    <w:basedOn w:val="a0"/>
    <w:rsid w:val="00546DBE"/>
  </w:style>
  <w:style w:type="character" w:customStyle="1" w:styleId="grame">
    <w:name w:val="grame"/>
    <w:basedOn w:val="a0"/>
    <w:rsid w:val="00546DBE"/>
  </w:style>
  <w:style w:type="character" w:customStyle="1" w:styleId="rvts23">
    <w:name w:val="rvts23"/>
    <w:rsid w:val="00546DBE"/>
  </w:style>
  <w:style w:type="paragraph" w:styleId="HTML">
    <w:name w:val="HTML Preformatted"/>
    <w:aliases w:val="Знак2"/>
    <w:basedOn w:val="a"/>
    <w:link w:val="HTML0"/>
    <w:uiPriority w:val="99"/>
    <w:rsid w:val="00546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rsid w:val="00546DBE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1">
    <w:name w:val="Звичайний1"/>
    <w:uiPriority w:val="99"/>
    <w:rsid w:val="00546DBE"/>
    <w:pPr>
      <w:spacing w:after="0" w:line="276" w:lineRule="auto"/>
    </w:pPr>
    <w:rPr>
      <w:rFonts w:ascii="Arial" w:eastAsia="Calibri" w:hAnsi="Arial" w:cs="Arial"/>
      <w:color w:val="000000"/>
      <w:sz w:val="22"/>
      <w:lang w:val="ru-RU" w:eastAsia="ru-RU"/>
    </w:rPr>
  </w:style>
  <w:style w:type="paragraph" w:customStyle="1" w:styleId="21">
    <w:name w:val="Без інтервалів2"/>
    <w:rsid w:val="00516BE4"/>
    <w:pPr>
      <w:spacing w:after="0" w:line="240" w:lineRule="auto"/>
    </w:pPr>
    <w:rPr>
      <w:rFonts w:eastAsia="Times New Roman" w:cs="Times New Roman"/>
      <w:sz w:val="22"/>
    </w:rPr>
  </w:style>
  <w:style w:type="paragraph" w:customStyle="1" w:styleId="HTML1">
    <w:name w:val="Стандартный HTML"/>
    <w:basedOn w:val="a"/>
    <w:rsid w:val="001E2F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color w:val="000000"/>
      <w:sz w:val="14"/>
      <w:szCs w:val="14"/>
      <w:lang w:val="ru-RU" w:eastAsia="zh-CN"/>
    </w:rPr>
  </w:style>
  <w:style w:type="character" w:customStyle="1" w:styleId="rvts82">
    <w:name w:val="rvts82"/>
    <w:basedOn w:val="a0"/>
    <w:rsid w:val="001E2F5A"/>
    <w:rPr>
      <w:rFonts w:cs="Times New Roman"/>
    </w:rPr>
  </w:style>
  <w:style w:type="character" w:customStyle="1" w:styleId="WW8Num6z1">
    <w:name w:val="WW8Num6z1"/>
    <w:rsid w:val="001E2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5785</Words>
  <Characters>3299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Олександр Іванович Лопушенко</cp:lastModifiedBy>
  <cp:revision>6</cp:revision>
  <cp:lastPrinted>2020-11-19T10:25:00Z</cp:lastPrinted>
  <dcterms:created xsi:type="dcterms:W3CDTF">2021-01-22T07:04:00Z</dcterms:created>
  <dcterms:modified xsi:type="dcterms:W3CDTF">2021-01-22T08:45:00Z</dcterms:modified>
</cp:coreProperties>
</file>