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2C4315" w14:textId="38347C29" w:rsidR="00BC10B4" w:rsidRDefault="00BC10B4">
      <w:pPr>
        <w:jc w:val="center"/>
        <w:rPr>
          <w:b/>
          <w:color w:val="000000" w:themeColor="text1"/>
          <w:lang w:val="en-US"/>
        </w:rPr>
      </w:pPr>
    </w:p>
    <w:p w14:paraId="508BF048" w14:textId="12A73A9B" w:rsidR="0067076D" w:rsidRDefault="0067076D">
      <w:pPr>
        <w:jc w:val="center"/>
        <w:rPr>
          <w:b/>
          <w:color w:val="000000" w:themeColor="text1"/>
          <w:lang w:val="en-US"/>
        </w:rPr>
      </w:pPr>
    </w:p>
    <w:p w14:paraId="34800747" w14:textId="77777777" w:rsidR="0067076D" w:rsidRPr="006E734B" w:rsidRDefault="0067076D">
      <w:pPr>
        <w:jc w:val="center"/>
        <w:rPr>
          <w:b/>
          <w:color w:val="000000" w:themeColor="text1"/>
          <w:lang w:val="en-US"/>
        </w:rPr>
      </w:pPr>
    </w:p>
    <w:p w14:paraId="7A1BCD21" w14:textId="77777777" w:rsidR="00A70CEB" w:rsidRPr="00F31C64" w:rsidRDefault="00A70CEB">
      <w:pPr>
        <w:jc w:val="center"/>
        <w:rPr>
          <w:b/>
          <w:szCs w:val="28"/>
          <w:lang w:val="ru-RU"/>
        </w:rPr>
      </w:pPr>
    </w:p>
    <w:p w14:paraId="059530B0" w14:textId="5A6A8321" w:rsidR="00BC10B4" w:rsidRPr="00F31C64" w:rsidRDefault="007E50B5">
      <w:pPr>
        <w:pStyle w:val="af0"/>
        <w:tabs>
          <w:tab w:val="clear" w:pos="4819"/>
          <w:tab w:val="clear" w:pos="9639"/>
        </w:tabs>
        <w:ind w:right="-42"/>
        <w:jc w:val="center"/>
        <w:rPr>
          <w:b/>
          <w:bCs/>
          <w:szCs w:val="28"/>
        </w:rPr>
      </w:pPr>
      <w:r w:rsidRPr="00F31C64">
        <w:rPr>
          <w:b/>
          <w:bCs/>
          <w:szCs w:val="28"/>
        </w:rPr>
        <w:t>ВИСНОВОК</w:t>
      </w:r>
    </w:p>
    <w:p w14:paraId="47797673" w14:textId="34E44455" w:rsidR="00BC10B4" w:rsidRPr="00F31C64" w:rsidRDefault="007E50B5" w:rsidP="008A64C1">
      <w:pPr>
        <w:widowControl w:val="0"/>
        <w:ind w:right="-1"/>
        <w:jc w:val="center"/>
        <w:rPr>
          <w:szCs w:val="28"/>
        </w:rPr>
      </w:pPr>
      <w:r w:rsidRPr="00F31C64">
        <w:rPr>
          <w:b/>
          <w:bCs/>
          <w:szCs w:val="28"/>
        </w:rPr>
        <w:t>на проект Закону України</w:t>
      </w:r>
      <w:r w:rsidR="008A64C1" w:rsidRPr="00F31C64">
        <w:rPr>
          <w:b/>
          <w:bCs/>
          <w:szCs w:val="28"/>
        </w:rPr>
        <w:t xml:space="preserve"> </w:t>
      </w:r>
      <w:r w:rsidRPr="00F31C64">
        <w:rPr>
          <w:b/>
          <w:bCs/>
          <w:szCs w:val="28"/>
        </w:rPr>
        <w:t>«</w:t>
      </w:r>
      <w:r w:rsidR="008A64C1" w:rsidRPr="00F31C64">
        <w:rPr>
          <w:b/>
          <w:szCs w:val="28"/>
        </w:rPr>
        <w:t>Про поштовий зв</w:t>
      </w:r>
      <w:r w:rsidR="008A64C1" w:rsidRPr="00F31C64">
        <w:rPr>
          <w:b/>
          <w:szCs w:val="28"/>
          <w:lang w:val="ru-RU"/>
        </w:rPr>
        <w:t>’</w:t>
      </w:r>
      <w:r w:rsidR="008A64C1" w:rsidRPr="00F31C64">
        <w:rPr>
          <w:b/>
          <w:szCs w:val="28"/>
        </w:rPr>
        <w:t>язок</w:t>
      </w:r>
      <w:r w:rsidRPr="00F31C64">
        <w:rPr>
          <w:b/>
          <w:szCs w:val="28"/>
        </w:rPr>
        <w:t>»</w:t>
      </w:r>
    </w:p>
    <w:p w14:paraId="19C2018E" w14:textId="77777777" w:rsidR="00BC10B4" w:rsidRPr="00F31C64" w:rsidRDefault="00BC10B4">
      <w:pPr>
        <w:pStyle w:val="4"/>
        <w:keepNext w:val="0"/>
        <w:keepLines w:val="0"/>
        <w:widowControl w:val="0"/>
        <w:numPr>
          <w:ilvl w:val="3"/>
          <w:numId w:val="2"/>
        </w:numPr>
        <w:suppressAutoHyphens w:val="0"/>
        <w:overflowPunct w:val="0"/>
        <w:spacing w:before="0" w:after="0" w:line="240" w:lineRule="auto"/>
        <w:ind w:firstLine="680"/>
        <w:jc w:val="both"/>
        <w:rPr>
          <w:b w:val="0"/>
          <w:sz w:val="28"/>
          <w:szCs w:val="28"/>
        </w:rPr>
      </w:pPr>
    </w:p>
    <w:p w14:paraId="3C32766D" w14:textId="372F8203" w:rsidR="006A3E2D" w:rsidRPr="00F31C64" w:rsidRDefault="00B404A2" w:rsidP="006A3E2D">
      <w:pPr>
        <w:ind w:firstLine="709"/>
        <w:jc w:val="both"/>
        <w:rPr>
          <w:rStyle w:val="st1"/>
          <w:bCs/>
          <w:szCs w:val="28"/>
        </w:rPr>
      </w:pPr>
      <w:r w:rsidRPr="00F42DA8">
        <w:rPr>
          <w:rStyle w:val="st1"/>
          <w:bCs/>
          <w:szCs w:val="28"/>
        </w:rPr>
        <w:t xml:space="preserve">Поданий проект Закону є альтернативним до </w:t>
      </w:r>
      <w:r w:rsidR="009D566C" w:rsidRPr="00F42DA8">
        <w:rPr>
          <w:rStyle w:val="st1"/>
          <w:bCs/>
          <w:szCs w:val="28"/>
        </w:rPr>
        <w:t>законопроекту</w:t>
      </w:r>
      <w:r w:rsidRPr="00F42DA8">
        <w:rPr>
          <w:rStyle w:val="st1"/>
          <w:bCs/>
          <w:szCs w:val="28"/>
        </w:rPr>
        <w:t xml:space="preserve"> </w:t>
      </w:r>
      <w:r w:rsidR="00F31C64" w:rsidRPr="00F42DA8">
        <w:rPr>
          <w:rStyle w:val="st1"/>
          <w:bCs/>
          <w:szCs w:val="28"/>
        </w:rPr>
        <w:br/>
        <w:t xml:space="preserve">реєстр. </w:t>
      </w:r>
      <w:r w:rsidRPr="00F42DA8">
        <w:rPr>
          <w:rStyle w:val="st1"/>
          <w:bCs/>
          <w:szCs w:val="28"/>
        </w:rPr>
        <w:t xml:space="preserve">№ 4353 від 10.11.2020 </w:t>
      </w:r>
      <w:r w:rsidR="009D566C" w:rsidRPr="00F42DA8">
        <w:rPr>
          <w:rStyle w:val="st1"/>
          <w:bCs/>
          <w:szCs w:val="28"/>
          <w:lang w:val="ru-RU"/>
        </w:rPr>
        <w:t>(</w:t>
      </w:r>
      <w:r w:rsidR="009D566C" w:rsidRPr="00F42DA8">
        <w:rPr>
          <w:rStyle w:val="st1"/>
          <w:bCs/>
          <w:szCs w:val="28"/>
        </w:rPr>
        <w:t>далі – проект № 4353</w:t>
      </w:r>
      <w:r w:rsidR="009D566C" w:rsidRPr="00F42DA8">
        <w:rPr>
          <w:rStyle w:val="st1"/>
          <w:bCs/>
          <w:szCs w:val="28"/>
          <w:lang w:val="ru-RU"/>
        </w:rPr>
        <w:t>)</w:t>
      </w:r>
      <w:r w:rsidR="00D106B0" w:rsidRPr="00F42DA8">
        <w:rPr>
          <w:rStyle w:val="st1"/>
          <w:bCs/>
          <w:szCs w:val="28"/>
        </w:rPr>
        <w:t xml:space="preserve"> </w:t>
      </w:r>
      <w:r w:rsidR="00B55981" w:rsidRPr="00F42DA8">
        <w:rPr>
          <w:rStyle w:val="st1"/>
          <w:bCs/>
          <w:szCs w:val="28"/>
        </w:rPr>
        <w:t>та також</w:t>
      </w:r>
      <w:r w:rsidRPr="00F42DA8">
        <w:rPr>
          <w:rStyle w:val="st1"/>
          <w:bCs/>
          <w:szCs w:val="28"/>
        </w:rPr>
        <w:t xml:space="preserve"> спрямований на адаптацію до національного законодавства у сфері поштового зв’язку положень </w:t>
      </w:r>
      <w:r w:rsidR="006A3E2D" w:rsidRPr="00F42DA8">
        <w:rPr>
          <w:rStyle w:val="st1"/>
          <w:bCs/>
          <w:szCs w:val="28"/>
        </w:rPr>
        <w:t>Директиви</w:t>
      </w:r>
      <w:r w:rsidR="006A3E2D" w:rsidRPr="00F31C64">
        <w:rPr>
          <w:rStyle w:val="st1"/>
          <w:bCs/>
          <w:szCs w:val="28"/>
        </w:rPr>
        <w:t xml:space="preserve"> Європейського Парламенту та Ради 97/67/ЄС від 15.12.1997 про спільні правила розвитку внутрішнього ринку поштових послуг Співтовариства та покращення якості обслуговування, доповненої Директивою Європейського Парламенту та Ради 2002/39/ЄC від 10.06.2002, Регламентом (ЄC) Європейського Парламенту та Ради 1882/2003 від 29.09.2003, Директивою Європейського Парламенту та Ради 2008/6/ЄС від 20.02.2008 (далі – Директива).</w:t>
      </w:r>
    </w:p>
    <w:p w14:paraId="284E14BE" w14:textId="70C0D40D" w:rsidR="002E10DF" w:rsidRPr="00B81EF8" w:rsidRDefault="006A3E2D" w:rsidP="006A3E2D">
      <w:pPr>
        <w:ind w:firstLine="709"/>
        <w:jc w:val="both"/>
        <w:rPr>
          <w:rStyle w:val="st1"/>
          <w:bCs/>
          <w:szCs w:val="28"/>
        </w:rPr>
      </w:pPr>
      <w:r w:rsidRPr="00F31C64">
        <w:rPr>
          <w:rStyle w:val="st1"/>
          <w:bCs/>
          <w:szCs w:val="28"/>
        </w:rPr>
        <w:t xml:space="preserve">Законопроект на момент підготовки висновку включений до Плану законопроектної </w:t>
      </w:r>
      <w:r w:rsidRPr="00B81EF8">
        <w:rPr>
          <w:rStyle w:val="st1"/>
          <w:bCs/>
          <w:szCs w:val="28"/>
        </w:rPr>
        <w:t>роботи Верховної Ради України на 2021 рік, затвердженого постановою Верховної Ради України від 02.02.2021 № 1165-ІХ (п. 154).</w:t>
      </w:r>
    </w:p>
    <w:p w14:paraId="567E7F42" w14:textId="77777777" w:rsidR="002E10DF" w:rsidRPr="00B81EF8" w:rsidRDefault="002E10DF" w:rsidP="002E10DF">
      <w:pPr>
        <w:ind w:firstLine="709"/>
        <w:jc w:val="both"/>
        <w:rPr>
          <w:szCs w:val="28"/>
          <w:shd w:val="clear" w:color="auto" w:fill="FFFFFF"/>
        </w:rPr>
      </w:pPr>
      <w:r w:rsidRPr="00B81EF8">
        <w:rPr>
          <w:szCs w:val="28"/>
          <w:shd w:val="clear" w:color="auto" w:fill="FFFFFF"/>
        </w:rPr>
        <w:t>Головне управління, розглянувши</w:t>
      </w:r>
      <w:r w:rsidRPr="00B81EF8">
        <w:rPr>
          <w:szCs w:val="28"/>
        </w:rPr>
        <w:t xml:space="preserve"> законопроект,</w:t>
      </w:r>
      <w:r w:rsidRPr="00B81EF8">
        <w:rPr>
          <w:szCs w:val="28"/>
          <w:shd w:val="clear" w:color="auto" w:fill="FFFFFF"/>
        </w:rPr>
        <w:t xml:space="preserve"> вважає за необхідне висловити щодо нього наступні зауваження.</w:t>
      </w:r>
    </w:p>
    <w:p w14:paraId="0CD121AF" w14:textId="16F14850" w:rsidR="005B5264" w:rsidRPr="00B81EF8" w:rsidRDefault="00B55981" w:rsidP="00BD57FD">
      <w:pPr>
        <w:ind w:firstLine="709"/>
        <w:jc w:val="both"/>
        <w:rPr>
          <w:rStyle w:val="st1"/>
          <w:bCs/>
          <w:szCs w:val="28"/>
        </w:rPr>
      </w:pPr>
      <w:r w:rsidRPr="00B81EF8">
        <w:rPr>
          <w:rStyle w:val="st1"/>
          <w:b/>
          <w:szCs w:val="28"/>
        </w:rPr>
        <w:t>1.</w:t>
      </w:r>
      <w:r w:rsidRPr="00B81EF8">
        <w:rPr>
          <w:rStyle w:val="st1"/>
          <w:bCs/>
          <w:szCs w:val="28"/>
        </w:rPr>
        <w:t xml:space="preserve"> </w:t>
      </w:r>
      <w:r w:rsidR="0002022B" w:rsidRPr="00B81EF8">
        <w:rPr>
          <w:rStyle w:val="st1"/>
          <w:bCs/>
          <w:szCs w:val="28"/>
        </w:rPr>
        <w:t>Редакція проекту дублює</w:t>
      </w:r>
      <w:r w:rsidR="005B5264" w:rsidRPr="00B81EF8">
        <w:rPr>
          <w:rStyle w:val="st1"/>
          <w:bCs/>
          <w:szCs w:val="28"/>
        </w:rPr>
        <w:t xml:space="preserve"> редакцію проекту № 4353</w:t>
      </w:r>
      <w:r w:rsidR="0002022B" w:rsidRPr="00B81EF8">
        <w:rPr>
          <w:rStyle w:val="st1"/>
          <w:bCs/>
          <w:szCs w:val="28"/>
        </w:rPr>
        <w:t xml:space="preserve"> за винятком </w:t>
      </w:r>
      <w:r w:rsidR="00CD211F" w:rsidRPr="00B81EF8">
        <w:rPr>
          <w:rStyle w:val="st1"/>
          <w:bCs/>
          <w:szCs w:val="28"/>
        </w:rPr>
        <w:t xml:space="preserve">деяких </w:t>
      </w:r>
      <w:r w:rsidR="00AC45D7" w:rsidRPr="00B81EF8">
        <w:rPr>
          <w:rStyle w:val="st1"/>
          <w:bCs/>
          <w:szCs w:val="28"/>
        </w:rPr>
        <w:t xml:space="preserve">положень, що стосуються кур’єрських послуг, </w:t>
      </w:r>
      <w:r w:rsidR="006F5454" w:rsidRPr="00B81EF8">
        <w:rPr>
          <w:rStyle w:val="st1"/>
          <w:bCs/>
          <w:szCs w:val="28"/>
        </w:rPr>
        <w:t>окремих поштових засобів (</w:t>
      </w:r>
      <w:r w:rsidR="00AC45D7" w:rsidRPr="00B81EF8">
        <w:rPr>
          <w:rStyle w:val="st1"/>
          <w:bCs/>
          <w:szCs w:val="28"/>
        </w:rPr>
        <w:t>поштомат</w:t>
      </w:r>
      <w:r w:rsidR="00CD211F" w:rsidRPr="00B81EF8">
        <w:rPr>
          <w:rStyle w:val="st1"/>
          <w:bCs/>
          <w:szCs w:val="28"/>
        </w:rPr>
        <w:t>ів</w:t>
      </w:r>
      <w:r w:rsidR="006F5454" w:rsidRPr="00B81EF8">
        <w:rPr>
          <w:rStyle w:val="st1"/>
          <w:bCs/>
          <w:szCs w:val="28"/>
        </w:rPr>
        <w:t>)</w:t>
      </w:r>
      <w:r w:rsidR="00AC45D7" w:rsidRPr="00B81EF8">
        <w:rPr>
          <w:rStyle w:val="st1"/>
          <w:bCs/>
          <w:szCs w:val="28"/>
        </w:rPr>
        <w:t xml:space="preserve"> та призначеного оператора поштового зв’язку.</w:t>
      </w:r>
    </w:p>
    <w:p w14:paraId="3D7D19B6" w14:textId="416FF2C3" w:rsidR="00011B26" w:rsidRPr="00B81EF8" w:rsidRDefault="00B55981" w:rsidP="00BD57FD">
      <w:pPr>
        <w:ind w:firstLine="709"/>
        <w:jc w:val="both"/>
        <w:rPr>
          <w:rFonts w:eastAsia="Calibri"/>
          <w:szCs w:val="28"/>
        </w:rPr>
      </w:pPr>
      <w:r w:rsidRPr="00B81EF8">
        <w:rPr>
          <w:rStyle w:val="st1"/>
          <w:bCs/>
          <w:szCs w:val="28"/>
        </w:rPr>
        <w:t xml:space="preserve">1.1. </w:t>
      </w:r>
      <w:r w:rsidR="009D566C" w:rsidRPr="00B81EF8">
        <w:rPr>
          <w:rStyle w:val="st1"/>
          <w:bCs/>
          <w:szCs w:val="28"/>
        </w:rPr>
        <w:t>У</w:t>
      </w:r>
      <w:r w:rsidR="001B6093" w:rsidRPr="00B81EF8">
        <w:rPr>
          <w:rStyle w:val="st1"/>
          <w:bCs/>
          <w:szCs w:val="28"/>
        </w:rPr>
        <w:t xml:space="preserve"> порівнянні з проектом № 4353, у поданій редакції відсутні положення, </w:t>
      </w:r>
      <w:r w:rsidR="006C59AE" w:rsidRPr="00B81EF8">
        <w:rPr>
          <w:rStyle w:val="st1"/>
          <w:bCs/>
          <w:szCs w:val="28"/>
        </w:rPr>
        <w:t>що</w:t>
      </w:r>
      <w:r w:rsidR="001B6093" w:rsidRPr="00B81EF8">
        <w:rPr>
          <w:rStyle w:val="st1"/>
          <w:bCs/>
          <w:szCs w:val="28"/>
        </w:rPr>
        <w:t xml:space="preserve"> стосуються кур’єрських послуг.</w:t>
      </w:r>
      <w:r w:rsidR="006C59AE" w:rsidRPr="00B81EF8">
        <w:rPr>
          <w:rStyle w:val="st1"/>
          <w:bCs/>
          <w:szCs w:val="28"/>
        </w:rPr>
        <w:t xml:space="preserve"> У</w:t>
      </w:r>
      <w:r w:rsidR="001B6093" w:rsidRPr="00B81EF8">
        <w:rPr>
          <w:rStyle w:val="st1"/>
          <w:bCs/>
          <w:szCs w:val="28"/>
        </w:rPr>
        <w:t xml:space="preserve"> п. 1 пояснювальної записки до законопроекту зазначається, що «</w:t>
      </w:r>
      <w:r w:rsidR="001B6093" w:rsidRPr="00B81EF8">
        <w:rPr>
          <w:rFonts w:eastAsia="Calibri"/>
          <w:szCs w:val="28"/>
        </w:rPr>
        <w:t>Директива регулює виключно надання універсальних поштових послуг, а в іншому – передбачає принцип лібералізації ринку поштових послуг, до яких не відносить кур’єрську доставку».</w:t>
      </w:r>
    </w:p>
    <w:p w14:paraId="7AF152F9" w14:textId="2AA0EDEE" w:rsidR="001B6093" w:rsidRPr="00F42DA8" w:rsidRDefault="00AD13E2" w:rsidP="00E97AD1">
      <w:pPr>
        <w:ind w:firstLine="709"/>
        <w:jc w:val="both"/>
        <w:rPr>
          <w:rFonts w:eastAsia="Calibri"/>
          <w:szCs w:val="28"/>
        </w:rPr>
      </w:pPr>
      <w:r w:rsidRPr="00B81EF8">
        <w:rPr>
          <w:rFonts w:eastAsia="Calibri"/>
          <w:szCs w:val="28"/>
        </w:rPr>
        <w:t xml:space="preserve">На </w:t>
      </w:r>
      <w:r w:rsidR="00CD211F" w:rsidRPr="00B81EF8">
        <w:rPr>
          <w:rFonts w:eastAsia="Calibri"/>
          <w:szCs w:val="28"/>
        </w:rPr>
        <w:t xml:space="preserve">нашу </w:t>
      </w:r>
      <w:r w:rsidRPr="00B81EF8">
        <w:rPr>
          <w:rFonts w:eastAsia="Calibri"/>
          <w:szCs w:val="28"/>
        </w:rPr>
        <w:t>думку</w:t>
      </w:r>
      <w:r w:rsidRPr="00F42DA8">
        <w:rPr>
          <w:rFonts w:eastAsia="Calibri"/>
          <w:szCs w:val="28"/>
        </w:rPr>
        <w:t>, такий підхід вбачається сумнівним</w:t>
      </w:r>
      <w:r w:rsidR="009D566C" w:rsidRPr="00F42DA8">
        <w:rPr>
          <w:rFonts w:eastAsia="Calibri"/>
          <w:szCs w:val="28"/>
        </w:rPr>
        <w:t xml:space="preserve">. Адже </w:t>
      </w:r>
      <w:r w:rsidRPr="00F42DA8">
        <w:rPr>
          <w:rFonts w:eastAsia="Calibri"/>
          <w:szCs w:val="28"/>
        </w:rPr>
        <w:t>кур’єрські послуги (послуги експ</w:t>
      </w:r>
      <w:r w:rsidR="00B81EF8" w:rsidRPr="00F42DA8">
        <w:rPr>
          <w:rFonts w:eastAsia="Calibri"/>
          <w:szCs w:val="28"/>
        </w:rPr>
        <w:t>ре</w:t>
      </w:r>
      <w:r w:rsidRPr="00F42DA8">
        <w:rPr>
          <w:rFonts w:eastAsia="Calibri"/>
          <w:szCs w:val="28"/>
        </w:rPr>
        <w:t>с-доставки) є одним з підсекторів послуг, що стосуються обробки поштових відправлень як внутрішнього, так і зовнішнього призначення.</w:t>
      </w:r>
    </w:p>
    <w:p w14:paraId="597BF8FB" w14:textId="7EC10A89" w:rsidR="00011B26" w:rsidRPr="00B81EF8" w:rsidRDefault="00706103" w:rsidP="00706103">
      <w:pPr>
        <w:ind w:firstLine="709"/>
        <w:jc w:val="both"/>
        <w:rPr>
          <w:rStyle w:val="st1"/>
          <w:bCs/>
          <w:szCs w:val="28"/>
        </w:rPr>
      </w:pPr>
      <w:r w:rsidRPr="00F42DA8">
        <w:rPr>
          <w:rStyle w:val="st1"/>
          <w:bCs/>
          <w:szCs w:val="28"/>
        </w:rPr>
        <w:t xml:space="preserve">1.2. </w:t>
      </w:r>
      <w:r w:rsidR="00E97AD1" w:rsidRPr="00F42DA8">
        <w:rPr>
          <w:rStyle w:val="st1"/>
          <w:bCs/>
          <w:szCs w:val="28"/>
        </w:rPr>
        <w:t>У</w:t>
      </w:r>
      <w:r w:rsidRPr="00F42DA8">
        <w:rPr>
          <w:rStyle w:val="st1"/>
          <w:bCs/>
          <w:szCs w:val="28"/>
        </w:rPr>
        <w:t xml:space="preserve"> </w:t>
      </w:r>
      <w:r w:rsidR="009D566C" w:rsidRPr="00F42DA8">
        <w:rPr>
          <w:rStyle w:val="st1"/>
          <w:bCs/>
          <w:szCs w:val="28"/>
        </w:rPr>
        <w:t>поданій законодавчій пропозиції</w:t>
      </w:r>
      <w:r w:rsidRPr="00F42DA8">
        <w:rPr>
          <w:rStyle w:val="st1"/>
          <w:bCs/>
          <w:szCs w:val="28"/>
        </w:rPr>
        <w:t>, на відміну в</w:t>
      </w:r>
      <w:r w:rsidR="009D566C" w:rsidRPr="00F42DA8">
        <w:rPr>
          <w:rStyle w:val="st1"/>
          <w:bCs/>
          <w:szCs w:val="28"/>
        </w:rPr>
        <w:t xml:space="preserve">ід </w:t>
      </w:r>
      <w:r w:rsidRPr="00F42DA8">
        <w:rPr>
          <w:rStyle w:val="st1"/>
          <w:bCs/>
          <w:szCs w:val="28"/>
        </w:rPr>
        <w:t>проекту</w:t>
      </w:r>
      <w:r w:rsidR="00B81EF8" w:rsidRPr="00F42DA8">
        <w:rPr>
          <w:rStyle w:val="st1"/>
          <w:bCs/>
          <w:szCs w:val="28"/>
        </w:rPr>
        <w:t xml:space="preserve"> </w:t>
      </w:r>
      <w:r w:rsidR="00B81EF8" w:rsidRPr="00F42DA8">
        <w:rPr>
          <w:rStyle w:val="st1"/>
          <w:bCs/>
          <w:szCs w:val="28"/>
        </w:rPr>
        <w:br/>
      </w:r>
      <w:r w:rsidRPr="00F42DA8">
        <w:rPr>
          <w:rStyle w:val="st1"/>
          <w:bCs/>
          <w:szCs w:val="28"/>
        </w:rPr>
        <w:t>№ 4353, пропонується виключити в ч. 1</w:t>
      </w:r>
      <w:r w:rsidRPr="00B81EF8">
        <w:rPr>
          <w:rStyle w:val="st1"/>
          <w:bCs/>
          <w:szCs w:val="28"/>
        </w:rPr>
        <w:t xml:space="preserve"> ст. 26 «поштомати» з переліку засобів поштового зв’язку, що пропону</w:t>
      </w:r>
      <w:r w:rsidR="009D566C" w:rsidRPr="00B81EF8">
        <w:rPr>
          <w:rStyle w:val="st1"/>
          <w:bCs/>
          <w:szCs w:val="28"/>
        </w:rPr>
        <w:t>валось</w:t>
      </w:r>
      <w:r w:rsidRPr="00B81EF8">
        <w:rPr>
          <w:rStyle w:val="st1"/>
          <w:bCs/>
          <w:szCs w:val="28"/>
        </w:rPr>
        <w:t xml:space="preserve"> виготовляти відповідно до вимог нормативно-правових актів.</w:t>
      </w:r>
    </w:p>
    <w:p w14:paraId="04CE877F" w14:textId="2C90C87D" w:rsidR="005B5264" w:rsidRPr="00B81EF8" w:rsidRDefault="00CD211F" w:rsidP="00706103">
      <w:pPr>
        <w:ind w:firstLine="709"/>
        <w:jc w:val="both"/>
        <w:rPr>
          <w:rStyle w:val="st1"/>
          <w:bCs/>
          <w:szCs w:val="28"/>
        </w:rPr>
      </w:pPr>
      <w:r w:rsidRPr="00B81EF8">
        <w:rPr>
          <w:rStyle w:val="st1"/>
          <w:bCs/>
          <w:szCs w:val="28"/>
        </w:rPr>
        <w:t>У</w:t>
      </w:r>
      <w:r w:rsidR="00011B26" w:rsidRPr="00B81EF8">
        <w:rPr>
          <w:rStyle w:val="st1"/>
          <w:bCs/>
          <w:szCs w:val="28"/>
        </w:rPr>
        <w:t xml:space="preserve"> п. 3 пояснювальної записки зазначено, що «</w:t>
      </w:r>
      <w:r w:rsidR="00011B26" w:rsidRPr="00B81EF8">
        <w:rPr>
          <w:rFonts w:eastAsia="Calibri"/>
          <w:szCs w:val="28"/>
        </w:rPr>
        <w:t>встановлення на законодавчому рівні вимог до виготовлення поштоматів є недоцільним, оскільки по-перше, поштові оператори України вже використовують поштомати, які є різними за технічними характеристиками та програмним забезпеченням, по-друге, на рівні правових актів потрібно передбачати правила доступу та використання засобів поштового зв’язку, а не вимоги до їх виготовлення, що є цілком технічним та комерційним питанням</w:t>
      </w:r>
      <w:r w:rsidR="00011B26" w:rsidRPr="00B81EF8">
        <w:rPr>
          <w:rStyle w:val="st1"/>
          <w:bCs/>
          <w:szCs w:val="28"/>
        </w:rPr>
        <w:t>».</w:t>
      </w:r>
    </w:p>
    <w:p w14:paraId="5CA0524B" w14:textId="17C22865" w:rsidR="00011B26" w:rsidRPr="00B81EF8" w:rsidRDefault="00011B26" w:rsidP="00706103">
      <w:pPr>
        <w:ind w:firstLine="709"/>
        <w:jc w:val="both"/>
        <w:rPr>
          <w:rStyle w:val="st1"/>
          <w:bCs/>
          <w:szCs w:val="28"/>
        </w:rPr>
      </w:pPr>
      <w:r w:rsidRPr="00B81EF8">
        <w:rPr>
          <w:rStyle w:val="st1"/>
          <w:bCs/>
          <w:szCs w:val="28"/>
        </w:rPr>
        <w:lastRenderedPageBreak/>
        <w:t>Головне управління, частково поділяючи аргументацію авторів проекту в контексті вже впровадженої в Україні розгалуженої мережі пошт</w:t>
      </w:r>
      <w:r w:rsidR="005F432F" w:rsidRPr="00B81EF8">
        <w:rPr>
          <w:rStyle w:val="st1"/>
          <w:bCs/>
          <w:szCs w:val="28"/>
        </w:rPr>
        <w:t>о</w:t>
      </w:r>
      <w:r w:rsidRPr="00B81EF8">
        <w:rPr>
          <w:rStyle w:val="st1"/>
          <w:bCs/>
          <w:szCs w:val="28"/>
        </w:rPr>
        <w:t xml:space="preserve">матів, </w:t>
      </w:r>
      <w:r w:rsidR="00E97AD1" w:rsidRPr="00B81EF8">
        <w:rPr>
          <w:rStyle w:val="st1"/>
          <w:bCs/>
          <w:szCs w:val="28"/>
        </w:rPr>
        <w:t>у</w:t>
      </w:r>
      <w:r w:rsidRPr="00B81EF8">
        <w:rPr>
          <w:rStyle w:val="st1"/>
          <w:bCs/>
          <w:szCs w:val="28"/>
        </w:rPr>
        <w:t xml:space="preserve"> той же час наголошує на доцільності </w:t>
      </w:r>
      <w:r w:rsidR="004E74E4" w:rsidRPr="00B81EF8">
        <w:rPr>
          <w:rStyle w:val="st1"/>
          <w:bCs/>
          <w:szCs w:val="28"/>
        </w:rPr>
        <w:t>первинного варіанту переліку із відсилання</w:t>
      </w:r>
      <w:r w:rsidR="00E97AD1" w:rsidRPr="00B81EF8">
        <w:rPr>
          <w:rStyle w:val="st1"/>
          <w:bCs/>
          <w:szCs w:val="28"/>
        </w:rPr>
        <w:t>м</w:t>
      </w:r>
      <w:r w:rsidR="004E74E4" w:rsidRPr="00B81EF8">
        <w:rPr>
          <w:rStyle w:val="st1"/>
          <w:bCs/>
          <w:szCs w:val="28"/>
        </w:rPr>
        <w:t xml:space="preserve"> </w:t>
      </w:r>
      <w:r w:rsidR="00FA5466" w:rsidRPr="00B81EF8">
        <w:rPr>
          <w:rStyle w:val="st1"/>
          <w:bCs/>
          <w:szCs w:val="28"/>
        </w:rPr>
        <w:t>до</w:t>
      </w:r>
      <w:r w:rsidR="004E74E4" w:rsidRPr="00B81EF8">
        <w:rPr>
          <w:rStyle w:val="st1"/>
          <w:bCs/>
          <w:szCs w:val="28"/>
        </w:rPr>
        <w:t xml:space="preserve"> Закон</w:t>
      </w:r>
      <w:r w:rsidR="00FA5466" w:rsidRPr="00B81EF8">
        <w:rPr>
          <w:rStyle w:val="st1"/>
          <w:bCs/>
          <w:szCs w:val="28"/>
        </w:rPr>
        <w:t>у</w:t>
      </w:r>
      <w:r w:rsidR="004E74E4" w:rsidRPr="00B81EF8">
        <w:rPr>
          <w:rStyle w:val="st1"/>
          <w:bCs/>
          <w:szCs w:val="28"/>
        </w:rPr>
        <w:t xml:space="preserve"> України «Про стандартизацію».</w:t>
      </w:r>
    </w:p>
    <w:p w14:paraId="0E0E5863" w14:textId="4EBE38F5" w:rsidR="004E74E4" w:rsidRPr="00B81EF8" w:rsidRDefault="004E74E4" w:rsidP="00706103">
      <w:pPr>
        <w:ind w:firstLine="709"/>
        <w:jc w:val="both"/>
        <w:rPr>
          <w:rStyle w:val="st1"/>
          <w:bCs/>
          <w:szCs w:val="28"/>
        </w:rPr>
      </w:pPr>
      <w:r w:rsidRPr="00B81EF8">
        <w:rPr>
          <w:rStyle w:val="st1"/>
          <w:bCs/>
          <w:szCs w:val="28"/>
        </w:rPr>
        <w:t>1.3.</w:t>
      </w:r>
      <w:r w:rsidR="00FA5466" w:rsidRPr="00B81EF8">
        <w:rPr>
          <w:rStyle w:val="st1"/>
          <w:bCs/>
          <w:szCs w:val="28"/>
        </w:rPr>
        <w:t xml:space="preserve"> </w:t>
      </w:r>
      <w:r w:rsidR="00CD211F" w:rsidRPr="00B81EF8">
        <w:rPr>
          <w:rStyle w:val="st1"/>
          <w:bCs/>
          <w:szCs w:val="28"/>
        </w:rPr>
        <w:t>У</w:t>
      </w:r>
      <w:r w:rsidR="00FA5466" w:rsidRPr="00B81EF8">
        <w:rPr>
          <w:rStyle w:val="st1"/>
          <w:bCs/>
          <w:szCs w:val="28"/>
        </w:rPr>
        <w:t xml:space="preserve"> законопроекті, </w:t>
      </w:r>
      <w:r w:rsidR="00C43920" w:rsidRPr="00B81EF8">
        <w:rPr>
          <w:rStyle w:val="st1"/>
          <w:bCs/>
          <w:szCs w:val="28"/>
        </w:rPr>
        <w:t>на відміну від</w:t>
      </w:r>
      <w:r w:rsidR="00FA5466" w:rsidRPr="00B81EF8">
        <w:rPr>
          <w:rStyle w:val="st1"/>
          <w:bCs/>
          <w:szCs w:val="28"/>
        </w:rPr>
        <w:t xml:space="preserve"> проект</w:t>
      </w:r>
      <w:r w:rsidR="00C43920" w:rsidRPr="00B81EF8">
        <w:rPr>
          <w:rStyle w:val="st1"/>
          <w:bCs/>
          <w:szCs w:val="28"/>
        </w:rPr>
        <w:t>у</w:t>
      </w:r>
      <w:r w:rsidR="00FA5466" w:rsidRPr="00B81EF8">
        <w:rPr>
          <w:rStyle w:val="st1"/>
          <w:bCs/>
          <w:szCs w:val="28"/>
        </w:rPr>
        <w:t xml:space="preserve"> № 4353, закладений підхід </w:t>
      </w:r>
      <w:r w:rsidR="009F40DC" w:rsidRPr="00B81EF8">
        <w:rPr>
          <w:rStyle w:val="st1"/>
          <w:bCs/>
          <w:szCs w:val="28"/>
        </w:rPr>
        <w:t>який має на меті</w:t>
      </w:r>
      <w:r w:rsidR="00FA5466" w:rsidRPr="00B81EF8">
        <w:rPr>
          <w:rStyle w:val="st1"/>
          <w:bCs/>
          <w:szCs w:val="28"/>
        </w:rPr>
        <w:t xml:space="preserve"> унеможли</w:t>
      </w:r>
      <w:r w:rsidR="009F40DC" w:rsidRPr="00B81EF8">
        <w:rPr>
          <w:rStyle w:val="st1"/>
          <w:bCs/>
          <w:szCs w:val="28"/>
        </w:rPr>
        <w:t>вити</w:t>
      </w:r>
      <w:r w:rsidR="00FA5466" w:rsidRPr="00B81EF8">
        <w:rPr>
          <w:rStyle w:val="st1"/>
          <w:bCs/>
          <w:szCs w:val="28"/>
        </w:rPr>
        <w:t xml:space="preserve"> монопол</w:t>
      </w:r>
      <w:r w:rsidR="007F6719" w:rsidRPr="00B81EF8">
        <w:rPr>
          <w:rStyle w:val="st1"/>
          <w:bCs/>
          <w:szCs w:val="28"/>
        </w:rPr>
        <w:t>ізаці</w:t>
      </w:r>
      <w:r w:rsidR="009F40DC" w:rsidRPr="00B81EF8">
        <w:rPr>
          <w:rStyle w:val="st1"/>
          <w:bCs/>
          <w:szCs w:val="28"/>
        </w:rPr>
        <w:t>ю</w:t>
      </w:r>
      <w:r w:rsidR="00FA5466" w:rsidRPr="00B81EF8">
        <w:rPr>
          <w:rStyle w:val="st1"/>
          <w:bCs/>
          <w:szCs w:val="28"/>
        </w:rPr>
        <w:t xml:space="preserve"> </w:t>
      </w:r>
      <w:r w:rsidR="007F6719" w:rsidRPr="00B81EF8">
        <w:rPr>
          <w:rStyle w:val="st1"/>
          <w:bCs/>
          <w:szCs w:val="28"/>
        </w:rPr>
        <w:t>окремих послуг поштового зв’язку</w:t>
      </w:r>
      <w:r w:rsidR="00FA5466" w:rsidRPr="00B81EF8">
        <w:rPr>
          <w:rStyle w:val="st1"/>
          <w:bCs/>
          <w:szCs w:val="28"/>
        </w:rPr>
        <w:t xml:space="preserve"> призначен</w:t>
      </w:r>
      <w:r w:rsidR="007F6719" w:rsidRPr="00B81EF8">
        <w:rPr>
          <w:rStyle w:val="st1"/>
          <w:bCs/>
          <w:szCs w:val="28"/>
        </w:rPr>
        <w:t>им</w:t>
      </w:r>
      <w:r w:rsidR="00FA5466" w:rsidRPr="00B81EF8">
        <w:rPr>
          <w:rStyle w:val="st1"/>
          <w:bCs/>
          <w:szCs w:val="28"/>
        </w:rPr>
        <w:t xml:space="preserve"> оператор</w:t>
      </w:r>
      <w:r w:rsidR="007F6719" w:rsidRPr="00B81EF8">
        <w:rPr>
          <w:rStyle w:val="st1"/>
          <w:bCs/>
          <w:szCs w:val="28"/>
        </w:rPr>
        <w:t>ом, зокрема</w:t>
      </w:r>
      <w:r w:rsidR="00E97AD1" w:rsidRPr="00B81EF8">
        <w:rPr>
          <w:rStyle w:val="st1"/>
          <w:bCs/>
          <w:szCs w:val="28"/>
        </w:rPr>
        <w:t>,</w:t>
      </w:r>
      <w:r w:rsidR="007F6719" w:rsidRPr="00B81EF8">
        <w:rPr>
          <w:rStyle w:val="st1"/>
          <w:bCs/>
          <w:szCs w:val="28"/>
        </w:rPr>
        <w:t xml:space="preserve"> послуг</w:t>
      </w:r>
      <w:r w:rsidR="00FA5466" w:rsidRPr="00B81EF8">
        <w:rPr>
          <w:rStyle w:val="st1"/>
          <w:bCs/>
          <w:szCs w:val="28"/>
        </w:rPr>
        <w:t xml:space="preserve"> міжнародних поштових відправлень</w:t>
      </w:r>
      <w:r w:rsidR="00C705E3" w:rsidRPr="00B81EF8">
        <w:rPr>
          <w:rStyle w:val="st1"/>
          <w:bCs/>
          <w:szCs w:val="28"/>
        </w:rPr>
        <w:t>.</w:t>
      </w:r>
    </w:p>
    <w:p w14:paraId="51FAFD98" w14:textId="6E373851" w:rsidR="00FA5466" w:rsidRPr="00B81EF8" w:rsidRDefault="00CD211F" w:rsidP="00706103">
      <w:pPr>
        <w:ind w:firstLine="709"/>
        <w:jc w:val="both"/>
        <w:rPr>
          <w:rStyle w:val="st1"/>
          <w:bCs/>
          <w:szCs w:val="28"/>
        </w:rPr>
      </w:pPr>
      <w:r w:rsidRPr="00B81EF8">
        <w:rPr>
          <w:rStyle w:val="st1"/>
          <w:bCs/>
          <w:szCs w:val="28"/>
        </w:rPr>
        <w:t>У</w:t>
      </w:r>
      <w:r w:rsidR="00C705E3" w:rsidRPr="00B81EF8">
        <w:rPr>
          <w:rStyle w:val="st1"/>
          <w:bCs/>
          <w:szCs w:val="28"/>
        </w:rPr>
        <w:t xml:space="preserve"> пояснювальній записці, посилаючись на те, що «</w:t>
      </w:r>
      <w:r w:rsidR="00C705E3" w:rsidRPr="00B81EF8">
        <w:rPr>
          <w:rFonts w:eastAsia="Calibri"/>
          <w:szCs w:val="28"/>
        </w:rPr>
        <w:t>законопроектом руйнується будь-яка конкуренція на ринку надання послуг пересилання міжнародних поштових відправлень»</w:t>
      </w:r>
      <w:r w:rsidRPr="00B81EF8">
        <w:rPr>
          <w:rFonts w:eastAsia="Calibri"/>
          <w:szCs w:val="28"/>
        </w:rPr>
        <w:t>,</w:t>
      </w:r>
      <w:r w:rsidR="004F529C" w:rsidRPr="00B81EF8">
        <w:rPr>
          <w:rFonts w:eastAsia="Calibri"/>
          <w:szCs w:val="28"/>
        </w:rPr>
        <w:t xml:space="preserve"> пропонується забезпечити </w:t>
      </w:r>
      <w:r w:rsidR="004F529C" w:rsidRPr="00B81EF8">
        <w:rPr>
          <w:rFonts w:eastAsia="Times New Roman"/>
          <w:szCs w:val="28"/>
          <w:lang w:eastAsia="uk-UA"/>
        </w:rPr>
        <w:t>всіх операторів правом здійснювати будь-яку поштову діяльність, окрім тої, яка віднесена до виключної компетенції національного оператора (абз. 5 п. 3).</w:t>
      </w:r>
      <w:r w:rsidRPr="00B81EF8">
        <w:rPr>
          <w:rFonts w:eastAsia="Times New Roman"/>
          <w:szCs w:val="28"/>
          <w:lang w:eastAsia="uk-UA"/>
        </w:rPr>
        <w:t xml:space="preserve"> </w:t>
      </w:r>
      <w:r w:rsidR="004F529C" w:rsidRPr="00B81EF8">
        <w:rPr>
          <w:rFonts w:eastAsia="Times New Roman"/>
          <w:szCs w:val="28"/>
          <w:lang w:eastAsia="uk-UA"/>
        </w:rPr>
        <w:t>При цьому</w:t>
      </w:r>
      <w:r w:rsidR="00FA5466" w:rsidRPr="00B81EF8">
        <w:rPr>
          <w:rStyle w:val="st1"/>
          <w:bCs/>
          <w:szCs w:val="28"/>
        </w:rPr>
        <w:t>, в запропонованій редакції ч. 1 ст. 17 пропонується передбачити трирічний термін</w:t>
      </w:r>
      <w:r w:rsidR="00C705E3" w:rsidRPr="00B81EF8">
        <w:rPr>
          <w:rStyle w:val="st1"/>
          <w:bCs/>
          <w:szCs w:val="28"/>
        </w:rPr>
        <w:t xml:space="preserve"> призначення оператора універсально</w:t>
      </w:r>
      <w:r w:rsidR="00FF3F42" w:rsidRPr="00B81EF8">
        <w:rPr>
          <w:rStyle w:val="st1"/>
          <w:bCs/>
          <w:szCs w:val="28"/>
        </w:rPr>
        <w:t>ї</w:t>
      </w:r>
      <w:r w:rsidR="00C705E3" w:rsidRPr="00B81EF8">
        <w:rPr>
          <w:rStyle w:val="st1"/>
          <w:bCs/>
          <w:szCs w:val="28"/>
        </w:rPr>
        <w:t xml:space="preserve"> послуги.</w:t>
      </w:r>
    </w:p>
    <w:p w14:paraId="063FE2CA" w14:textId="7AD48A31" w:rsidR="00E7387C" w:rsidRPr="00B81EF8" w:rsidRDefault="007F6719" w:rsidP="00E7387C">
      <w:pPr>
        <w:ind w:firstLine="709"/>
        <w:jc w:val="both"/>
        <w:rPr>
          <w:rStyle w:val="st1"/>
          <w:szCs w:val="28"/>
        </w:rPr>
      </w:pPr>
      <w:r w:rsidRPr="00B81EF8">
        <w:rPr>
          <w:rStyle w:val="st1"/>
          <w:bCs/>
          <w:szCs w:val="28"/>
        </w:rPr>
        <w:t>Головне управління підтримує</w:t>
      </w:r>
      <w:r w:rsidR="00E7387C" w:rsidRPr="00B81EF8">
        <w:rPr>
          <w:rStyle w:val="st1"/>
          <w:bCs/>
          <w:szCs w:val="28"/>
        </w:rPr>
        <w:t xml:space="preserve"> ініціативу запобігання проявам</w:t>
      </w:r>
      <w:r w:rsidR="00CD211F" w:rsidRPr="00B81EF8">
        <w:rPr>
          <w:rStyle w:val="st1"/>
          <w:bCs/>
          <w:szCs w:val="28"/>
        </w:rPr>
        <w:t xml:space="preserve"> </w:t>
      </w:r>
      <w:r w:rsidR="00E7387C" w:rsidRPr="00B81EF8">
        <w:rPr>
          <w:rStyle w:val="st1"/>
          <w:bCs/>
          <w:szCs w:val="28"/>
        </w:rPr>
        <w:t xml:space="preserve">монополізації на ринку послуг поштового зв’язку та звертає увагу на </w:t>
      </w:r>
      <w:r w:rsidR="00E7387C" w:rsidRPr="00B81EF8">
        <w:rPr>
          <w:rStyle w:val="st1"/>
          <w:szCs w:val="28"/>
        </w:rPr>
        <w:t>Рішення Суду Європейського Союзу у справі C-162/06 від 15.11.2007 (International Mail Spain SL проти Державної поштової Адміністрації)</w:t>
      </w:r>
      <w:r w:rsidR="00E7387C" w:rsidRPr="00B81EF8">
        <w:rPr>
          <w:rStyle w:val="af7"/>
          <w:szCs w:val="28"/>
        </w:rPr>
        <w:footnoteReference w:id="1"/>
      </w:r>
      <w:r w:rsidR="00E7387C" w:rsidRPr="00B81EF8">
        <w:rPr>
          <w:rStyle w:val="st1"/>
          <w:szCs w:val="28"/>
        </w:rPr>
        <w:t>, згідно з яким резервування міжнародної пошти за одним постачальником (наприклад – оператором універсальної послуги) доцільне лише у випадку, якщо за відсутності такого резервування під загрозою опиниться сталість надання універсальної послуги та фінансова безпека такого оператора або ж таке резервування є єдиною гарантією надання послуги міжнародних відправлень за економічно прийнятними умовами (п.п. 41, 50 Рішення).</w:t>
      </w:r>
    </w:p>
    <w:p w14:paraId="1B648F2C" w14:textId="44356D49" w:rsidR="009F40DC" w:rsidRPr="00B81EF8" w:rsidRDefault="00E7387C" w:rsidP="00E7387C">
      <w:pPr>
        <w:ind w:firstLine="709"/>
        <w:jc w:val="both"/>
        <w:rPr>
          <w:rStyle w:val="st1"/>
          <w:szCs w:val="28"/>
        </w:rPr>
      </w:pPr>
      <w:r w:rsidRPr="00B81EF8">
        <w:rPr>
          <w:rStyle w:val="st1"/>
          <w:szCs w:val="28"/>
        </w:rPr>
        <w:t xml:space="preserve">Що ж стосується новели проекту відносно трирічного терміну призначення оператора універсальної послуги, </w:t>
      </w:r>
      <w:r w:rsidR="009F40DC" w:rsidRPr="00B81EF8">
        <w:rPr>
          <w:rStyle w:val="st1"/>
          <w:szCs w:val="28"/>
        </w:rPr>
        <w:t xml:space="preserve">Головне управління вбачає потребу у більш виваженому підході. Адже ні проект, ні супровідні документи не містять належної аргументації на користь запропонованого строку. Натомість, в Директиві механізм стимулювання таких операторів закладений в ч. 2 ст. 4 та полягає у забезпеченні </w:t>
      </w:r>
      <w:r w:rsidR="009F40DC" w:rsidRPr="00B81EF8">
        <w:rPr>
          <w:rStyle w:val="st1"/>
          <w:i/>
          <w:iCs/>
          <w:szCs w:val="28"/>
        </w:rPr>
        <w:t>достатньої тривалості</w:t>
      </w:r>
      <w:r w:rsidR="009F40DC" w:rsidRPr="00B81EF8">
        <w:rPr>
          <w:rStyle w:val="st1"/>
          <w:szCs w:val="28"/>
        </w:rPr>
        <w:t xml:space="preserve"> </w:t>
      </w:r>
      <w:r w:rsidR="009F40DC" w:rsidRPr="00B81EF8">
        <w:rPr>
          <w:rStyle w:val="st1"/>
          <w:i/>
          <w:iCs/>
          <w:szCs w:val="28"/>
        </w:rPr>
        <w:t>призначення</w:t>
      </w:r>
      <w:r w:rsidR="009F40DC" w:rsidRPr="00B81EF8">
        <w:rPr>
          <w:rStyle w:val="st1"/>
          <w:szCs w:val="28"/>
        </w:rPr>
        <w:t xml:space="preserve"> для рентабельності інвестицій.</w:t>
      </w:r>
    </w:p>
    <w:p w14:paraId="2589DF17" w14:textId="62ECF061" w:rsidR="00EA4783" w:rsidRPr="00B81EF8" w:rsidRDefault="0083303E" w:rsidP="00E7387C">
      <w:pPr>
        <w:ind w:firstLine="709"/>
        <w:jc w:val="both"/>
        <w:rPr>
          <w:rStyle w:val="st1"/>
          <w:szCs w:val="28"/>
        </w:rPr>
      </w:pPr>
      <w:r w:rsidRPr="00B81EF8">
        <w:rPr>
          <w:rStyle w:val="st1"/>
          <w:b/>
          <w:bCs/>
          <w:szCs w:val="28"/>
        </w:rPr>
        <w:t>2.</w:t>
      </w:r>
      <w:r w:rsidRPr="00B81EF8">
        <w:rPr>
          <w:rStyle w:val="st1"/>
          <w:szCs w:val="28"/>
        </w:rPr>
        <w:t xml:space="preserve"> Щодо решти положень проекту, з огляду на їх </w:t>
      </w:r>
      <w:r w:rsidR="00FF3F42" w:rsidRPr="00B81EF8">
        <w:rPr>
          <w:rStyle w:val="st1"/>
          <w:szCs w:val="28"/>
        </w:rPr>
        <w:t>тотожність</w:t>
      </w:r>
      <w:r w:rsidRPr="00B81EF8">
        <w:rPr>
          <w:rStyle w:val="st1"/>
          <w:szCs w:val="28"/>
        </w:rPr>
        <w:t xml:space="preserve"> редакції проекту № 4353, Головне управління вбачає за доцільне </w:t>
      </w:r>
      <w:r w:rsidR="00FF47D8" w:rsidRPr="00B81EF8">
        <w:rPr>
          <w:rStyle w:val="st1"/>
          <w:szCs w:val="28"/>
        </w:rPr>
        <w:t>повторно навести</w:t>
      </w:r>
      <w:r w:rsidRPr="00B81EF8">
        <w:rPr>
          <w:rStyle w:val="st1"/>
          <w:szCs w:val="28"/>
        </w:rPr>
        <w:t xml:space="preserve"> зауваження і пропозиції</w:t>
      </w:r>
      <w:r w:rsidR="00FF47D8" w:rsidRPr="00B81EF8">
        <w:rPr>
          <w:rStyle w:val="st1"/>
          <w:szCs w:val="28"/>
        </w:rPr>
        <w:t>,</w:t>
      </w:r>
      <w:r w:rsidRPr="00B81EF8">
        <w:rPr>
          <w:rStyle w:val="st1"/>
          <w:szCs w:val="28"/>
        </w:rPr>
        <w:t xml:space="preserve"> висловлені</w:t>
      </w:r>
      <w:r w:rsidR="00FF47D8" w:rsidRPr="00B81EF8">
        <w:rPr>
          <w:rStyle w:val="st1"/>
          <w:szCs w:val="28"/>
        </w:rPr>
        <w:t xml:space="preserve"> у своєму висновку</w:t>
      </w:r>
      <w:r w:rsidRPr="00B81EF8">
        <w:rPr>
          <w:rStyle w:val="st1"/>
          <w:szCs w:val="28"/>
        </w:rPr>
        <w:t xml:space="preserve"> до проекту </w:t>
      </w:r>
      <w:r w:rsidR="00B81EF8">
        <w:rPr>
          <w:rStyle w:val="st1"/>
          <w:szCs w:val="28"/>
        </w:rPr>
        <w:br/>
      </w:r>
      <w:r w:rsidRPr="00B81EF8">
        <w:rPr>
          <w:rStyle w:val="st1"/>
          <w:szCs w:val="28"/>
        </w:rPr>
        <w:t>№ 4353</w:t>
      </w:r>
      <w:r w:rsidR="00EA4783" w:rsidRPr="00B81EF8">
        <w:rPr>
          <w:rStyle w:val="st1"/>
          <w:szCs w:val="28"/>
        </w:rPr>
        <w:t>.</w:t>
      </w:r>
    </w:p>
    <w:p w14:paraId="03A02FA3" w14:textId="16D40D7F" w:rsidR="00E97AD1" w:rsidRPr="00F31C64" w:rsidRDefault="00E97AD1" w:rsidP="00E97AD1">
      <w:pPr>
        <w:numPr>
          <w:ilvl w:val="0"/>
          <w:numId w:val="7"/>
        </w:numPr>
        <w:suppressAutoHyphens w:val="0"/>
        <w:ind w:firstLine="709"/>
        <w:contextualSpacing/>
        <w:jc w:val="both"/>
        <w:rPr>
          <w:rFonts w:eastAsia="Calibri"/>
          <w:szCs w:val="28"/>
        </w:rPr>
      </w:pPr>
      <w:r w:rsidRPr="00B81EF8">
        <w:rPr>
          <w:rFonts w:eastAsia="Calibri"/>
          <w:szCs w:val="28"/>
        </w:rPr>
        <w:t xml:space="preserve">Враховуючи те, що Директивою унормовуються здебільшого </w:t>
      </w:r>
      <w:r w:rsidRPr="00B81EF8">
        <w:rPr>
          <w:rFonts w:eastAsia="Calibri"/>
          <w:i/>
          <w:iCs/>
          <w:szCs w:val="28"/>
        </w:rPr>
        <w:t>засади</w:t>
      </w:r>
      <w:r w:rsidRPr="00B81EF8">
        <w:rPr>
          <w:rFonts w:eastAsia="Calibri"/>
          <w:i/>
          <w:iCs/>
          <w:szCs w:val="28"/>
          <w:u w:val="single"/>
        </w:rPr>
        <w:t xml:space="preserve"> </w:t>
      </w:r>
      <w:r w:rsidRPr="00B81EF8">
        <w:rPr>
          <w:rFonts w:eastAsia="Calibri"/>
          <w:szCs w:val="28"/>
        </w:rPr>
        <w:t>відносин у секторі поштових послуг, деталізоване р</w:t>
      </w:r>
      <w:r w:rsidRPr="00F31C64">
        <w:rPr>
          <w:rFonts w:eastAsia="Calibri"/>
          <w:szCs w:val="28"/>
        </w:rPr>
        <w:t>егулювання сфери поштового зв’язку із врахуванням особливостей національної правової системи мало б відображатись у відповідному законі України.</w:t>
      </w:r>
    </w:p>
    <w:p w14:paraId="33502EE5" w14:textId="4BCB83B5" w:rsidR="00E97AD1" w:rsidRPr="00F42DA8" w:rsidRDefault="00E97AD1" w:rsidP="00E97AD1">
      <w:pPr>
        <w:numPr>
          <w:ilvl w:val="0"/>
          <w:numId w:val="7"/>
        </w:numPr>
        <w:suppressAutoHyphens w:val="0"/>
        <w:ind w:firstLine="709"/>
        <w:contextualSpacing/>
        <w:jc w:val="both"/>
        <w:rPr>
          <w:rFonts w:ascii="Calibri" w:eastAsia="Calibri" w:hAnsi="Calibri" w:cs="Calibri"/>
          <w:bCs/>
          <w:szCs w:val="28"/>
        </w:rPr>
      </w:pPr>
      <w:r w:rsidRPr="00F31C64">
        <w:rPr>
          <w:rFonts w:eastAsia="Calibri"/>
          <w:bCs/>
          <w:szCs w:val="28"/>
        </w:rPr>
        <w:t xml:space="preserve">Саме такий підхід узгоджувався б як із принципом субсидіарності, на якому наголошується у п. 10 преамбули Директиви (на рівні Співтовариства </w:t>
      </w:r>
      <w:r w:rsidRPr="00F31C64">
        <w:rPr>
          <w:rFonts w:eastAsia="Calibri"/>
          <w:bCs/>
          <w:szCs w:val="28"/>
        </w:rPr>
        <w:lastRenderedPageBreak/>
        <w:t>регламентуються загальні принципи, в той час як деталізовані процедури регламентуватимуться державами-членами на національних рівнях), так і з приписами п. «</w:t>
      </w:r>
      <w:r w:rsidRPr="00F31C64">
        <w:rPr>
          <w:rFonts w:eastAsia="Calibri"/>
          <w:bCs/>
          <w:szCs w:val="28"/>
          <w:lang w:val="en-US"/>
        </w:rPr>
        <w:t>b</w:t>
      </w:r>
      <w:r w:rsidRPr="00F31C64">
        <w:rPr>
          <w:rFonts w:eastAsia="Calibri"/>
          <w:bCs/>
          <w:szCs w:val="28"/>
        </w:rPr>
        <w:t xml:space="preserve">» ч. 2 ст. 2 Додатку </w:t>
      </w:r>
      <w:r w:rsidRPr="00F31C64">
        <w:rPr>
          <w:rFonts w:eastAsia="Calibri"/>
          <w:bCs/>
          <w:szCs w:val="28"/>
          <w:lang w:val="en-US"/>
        </w:rPr>
        <w:t>XVII</w:t>
      </w:r>
      <w:r w:rsidRPr="00F31C64">
        <w:rPr>
          <w:rFonts w:eastAsia="Calibri"/>
          <w:bCs/>
          <w:szCs w:val="28"/>
        </w:rPr>
        <w:t xml:space="preserve"> «Нормативно-</w:t>
      </w:r>
      <w:r w:rsidRPr="00F42DA8">
        <w:rPr>
          <w:rFonts w:eastAsia="Calibri"/>
          <w:bCs/>
          <w:szCs w:val="28"/>
        </w:rPr>
        <w:t xml:space="preserve">правове наближення»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(ратифіковано із заявою Законом України </w:t>
      </w:r>
      <w:r w:rsidR="00B81EF8" w:rsidRPr="00F42DA8">
        <w:rPr>
          <w:rFonts w:eastAsia="Calibri"/>
          <w:bCs/>
          <w:szCs w:val="28"/>
        </w:rPr>
        <w:t xml:space="preserve">від </w:t>
      </w:r>
      <w:r w:rsidR="00F42DA8" w:rsidRPr="00F42DA8">
        <w:rPr>
          <w:rFonts w:eastAsia="Calibri"/>
          <w:bCs/>
          <w:szCs w:val="28"/>
        </w:rPr>
        <w:t xml:space="preserve">16.09.2014 </w:t>
      </w:r>
      <w:r w:rsidR="00F42DA8" w:rsidRPr="00F42DA8">
        <w:rPr>
          <w:rFonts w:eastAsia="Calibri"/>
          <w:bCs/>
          <w:szCs w:val="28"/>
        </w:rPr>
        <w:br/>
      </w:r>
      <w:r w:rsidRPr="00F42DA8">
        <w:rPr>
          <w:rFonts w:eastAsia="Calibri"/>
          <w:bCs/>
          <w:szCs w:val="28"/>
        </w:rPr>
        <w:t xml:space="preserve">№ 1678-VII) (далі – Угода про асоціацію), згідно з якими положення відповідних Директив ЄС мають стати частиною національного законодавства України </w:t>
      </w:r>
      <w:r w:rsidRPr="00F42DA8">
        <w:rPr>
          <w:rFonts w:eastAsia="Calibri"/>
          <w:bCs/>
          <w:i/>
          <w:iCs/>
          <w:szCs w:val="28"/>
        </w:rPr>
        <w:t>у формі та у спосіб, визначені компетентними органами України</w:t>
      </w:r>
      <w:r w:rsidRPr="00F42DA8">
        <w:rPr>
          <w:rFonts w:eastAsia="Calibri"/>
          <w:bCs/>
          <w:szCs w:val="28"/>
        </w:rPr>
        <w:t>.</w:t>
      </w:r>
    </w:p>
    <w:p w14:paraId="2623E740" w14:textId="59889AB5" w:rsidR="00E97AD1" w:rsidRPr="00F31C64" w:rsidRDefault="00E97AD1" w:rsidP="00E97AD1">
      <w:pPr>
        <w:numPr>
          <w:ilvl w:val="0"/>
          <w:numId w:val="7"/>
        </w:numPr>
        <w:suppressAutoHyphens w:val="0"/>
        <w:ind w:firstLine="709"/>
        <w:contextualSpacing/>
        <w:jc w:val="both"/>
        <w:rPr>
          <w:rFonts w:ascii="Calibri" w:eastAsia="Calibri" w:hAnsi="Calibri" w:cs="Calibri"/>
          <w:szCs w:val="28"/>
        </w:rPr>
      </w:pPr>
      <w:r w:rsidRPr="00F42DA8">
        <w:rPr>
          <w:rFonts w:eastAsia="Calibri"/>
          <w:bCs/>
          <w:szCs w:val="28"/>
        </w:rPr>
        <w:t>Натомість, у проекті зазначена деталізація відсутня, а значній частині  положень притаманний декларативний характер, що в результаті матиме певні ознаки формального дотримання зобов’язань, передбачених в підрозділі 4 «Поштові та кур’єрські послуги» ч. 5 гл</w:t>
      </w:r>
      <w:r w:rsidR="00B81EF8" w:rsidRPr="00F42DA8">
        <w:rPr>
          <w:rFonts w:eastAsia="Calibri"/>
          <w:bCs/>
          <w:szCs w:val="28"/>
        </w:rPr>
        <w:t>ави</w:t>
      </w:r>
      <w:r w:rsidRPr="00F42DA8">
        <w:rPr>
          <w:rFonts w:eastAsia="Calibri"/>
          <w:bCs/>
          <w:szCs w:val="28"/>
        </w:rPr>
        <w:t xml:space="preserve"> 6</w:t>
      </w:r>
      <w:r w:rsidRPr="00F31C64">
        <w:rPr>
          <w:rFonts w:eastAsia="Calibri"/>
          <w:bCs/>
          <w:szCs w:val="28"/>
        </w:rPr>
        <w:t xml:space="preserve"> розділу </w:t>
      </w:r>
      <w:r w:rsidRPr="00F31C64">
        <w:rPr>
          <w:rFonts w:eastAsia="Calibri"/>
          <w:bCs/>
          <w:szCs w:val="28"/>
          <w:lang w:val="en-US"/>
        </w:rPr>
        <w:t>IV</w:t>
      </w:r>
      <w:r w:rsidRPr="00F31C64">
        <w:rPr>
          <w:rFonts w:eastAsia="Calibri"/>
          <w:bCs/>
          <w:szCs w:val="28"/>
        </w:rPr>
        <w:t xml:space="preserve"> (ст.ст. 109-114) Угоди про асоціацію</w:t>
      </w:r>
      <w:r w:rsidRPr="00F31C64">
        <w:rPr>
          <w:rFonts w:eastAsia="Calibri"/>
          <w:szCs w:val="28"/>
        </w:rPr>
        <w:t>.</w:t>
      </w:r>
    </w:p>
    <w:p w14:paraId="4A6B56D8" w14:textId="21F0E8BE" w:rsidR="00E97AD1" w:rsidRPr="00F31C64" w:rsidRDefault="00E97AD1" w:rsidP="00E97AD1">
      <w:pPr>
        <w:numPr>
          <w:ilvl w:val="0"/>
          <w:numId w:val="7"/>
        </w:numPr>
        <w:suppressAutoHyphens w:val="0"/>
        <w:ind w:firstLine="709"/>
        <w:contextualSpacing/>
        <w:jc w:val="both"/>
        <w:rPr>
          <w:rFonts w:ascii="Calibri" w:eastAsia="Calibri" w:hAnsi="Calibri" w:cs="Calibri"/>
          <w:szCs w:val="28"/>
        </w:rPr>
      </w:pPr>
      <w:r w:rsidRPr="00F31C64">
        <w:rPr>
          <w:rFonts w:eastAsia="Calibri"/>
          <w:b/>
          <w:bCs/>
          <w:szCs w:val="28"/>
          <w:lang w:val="ru-RU"/>
        </w:rPr>
        <w:t>3</w:t>
      </w:r>
      <w:r w:rsidRPr="00F31C64">
        <w:rPr>
          <w:rFonts w:eastAsia="Calibri"/>
          <w:b/>
          <w:bCs/>
          <w:szCs w:val="28"/>
        </w:rPr>
        <w:t>.</w:t>
      </w:r>
      <w:r w:rsidRPr="00F31C64">
        <w:rPr>
          <w:rFonts w:eastAsia="Calibri"/>
          <w:bCs/>
          <w:szCs w:val="28"/>
        </w:rPr>
        <w:t xml:space="preserve"> Викликає зауваження запропонований в ст. 1 понятійно-категорійний апарат проекту.</w:t>
      </w:r>
    </w:p>
    <w:p w14:paraId="12EF7915" w14:textId="748FA4FE" w:rsidR="00E97AD1" w:rsidRPr="00F42DA8" w:rsidRDefault="00E97AD1" w:rsidP="00E97AD1">
      <w:pPr>
        <w:numPr>
          <w:ilvl w:val="0"/>
          <w:numId w:val="7"/>
        </w:numPr>
        <w:suppressAutoHyphens w:val="0"/>
        <w:ind w:firstLine="709"/>
        <w:jc w:val="both"/>
        <w:rPr>
          <w:rFonts w:eastAsia="Calibri"/>
          <w:bCs/>
          <w:szCs w:val="28"/>
        </w:rPr>
      </w:pPr>
      <w:r w:rsidRPr="00F31C64">
        <w:rPr>
          <w:rFonts w:eastAsia="Calibri"/>
          <w:bCs/>
          <w:szCs w:val="28"/>
          <w:lang w:val="ru-RU"/>
        </w:rPr>
        <w:t>3</w:t>
      </w:r>
      <w:r w:rsidRPr="00F31C64">
        <w:rPr>
          <w:rFonts w:eastAsia="Calibri"/>
          <w:bCs/>
          <w:szCs w:val="28"/>
        </w:rPr>
        <w:t xml:space="preserve">.1. У визначенні «послуги поштового зв’язку» (абз. 29 ч. 1) до такої діяльності пропонується віднести серед іншого «виконання поштових переказів» із подальшим врегулюванням зазначених відносин у проекті. З цього приводу звертаємо увагу на те, </w:t>
      </w:r>
      <w:r w:rsidRPr="00F42DA8">
        <w:rPr>
          <w:rFonts w:eastAsia="Calibri"/>
          <w:bCs/>
          <w:szCs w:val="28"/>
        </w:rPr>
        <w:t>що згідно із Рішенням Суду Європейського Союзу у справі C</w:t>
      </w:r>
      <w:r w:rsidRPr="00F42DA8">
        <w:rPr>
          <w:rFonts w:eastAsia="Calibri"/>
          <w:bCs/>
          <w:szCs w:val="28"/>
        </w:rPr>
        <w:noBreakHyphen/>
        <w:t>185/14 від 22.10.2015 («EasyPay» AD та «Finance Engineering» AD проти Ради Міністрів Республіки Болгарія та Національного інституту соціального забезпечення) «послуги з переказу грошей, зокрема – виплати через поштову мережу фізичним та юридичним особам за дорученням третьої сторони не відносяться до сфери регулювання Директиви» (п. 32 рішення)</w:t>
      </w:r>
      <w:r w:rsidRPr="00F42DA8">
        <w:rPr>
          <w:rFonts w:eastAsia="Calibri"/>
          <w:bCs/>
          <w:szCs w:val="28"/>
          <w:vertAlign w:val="superscript"/>
        </w:rPr>
        <w:footnoteReference w:id="2"/>
      </w:r>
      <w:r w:rsidRPr="00F42DA8">
        <w:rPr>
          <w:rFonts w:eastAsia="Calibri"/>
          <w:bCs/>
          <w:szCs w:val="28"/>
        </w:rPr>
        <w:t>. Аналогічні зауваження стосуються й ч. 4 ст. 15 проекту.</w:t>
      </w:r>
    </w:p>
    <w:p w14:paraId="0804E197" w14:textId="26FC284A" w:rsidR="00E97AD1" w:rsidRPr="00F31C64" w:rsidRDefault="00E97AD1" w:rsidP="00E97AD1">
      <w:pPr>
        <w:suppressAutoHyphens w:val="0"/>
        <w:ind w:firstLine="709"/>
        <w:jc w:val="both"/>
        <w:rPr>
          <w:rFonts w:eastAsia="Calibri"/>
          <w:szCs w:val="28"/>
        </w:rPr>
      </w:pPr>
      <w:r w:rsidRPr="00F42DA8">
        <w:rPr>
          <w:rFonts w:eastAsia="Calibri"/>
          <w:szCs w:val="28"/>
          <w:lang w:val="ru-RU"/>
        </w:rPr>
        <w:t>3</w:t>
      </w:r>
      <w:r w:rsidRPr="00F42DA8">
        <w:rPr>
          <w:rFonts w:eastAsia="Calibri"/>
          <w:szCs w:val="28"/>
        </w:rPr>
        <w:t>.2. Деякі терміни потребують корегування, зокрема</w:t>
      </w:r>
      <w:r w:rsidR="00B81EF8" w:rsidRPr="00F42DA8">
        <w:rPr>
          <w:rFonts w:eastAsia="Calibri"/>
          <w:szCs w:val="28"/>
        </w:rPr>
        <w:t>,</w:t>
      </w:r>
      <w:r w:rsidRPr="00F42DA8">
        <w:rPr>
          <w:rFonts w:eastAsia="Calibri"/>
          <w:szCs w:val="28"/>
        </w:rPr>
        <w:t xml:space="preserve"> це стосується запропонованого у ст. 1 законопроекту терміну «відправлення </w:t>
      </w:r>
      <w:r w:rsidR="00B81EF8" w:rsidRPr="00F42DA8">
        <w:rPr>
          <w:rFonts w:eastAsia="Calibri"/>
          <w:szCs w:val="28"/>
        </w:rPr>
        <w:t xml:space="preserve">для сліпих». </w:t>
      </w:r>
      <w:r w:rsidRPr="00F42DA8">
        <w:rPr>
          <w:rFonts w:eastAsia="Calibri"/>
          <w:szCs w:val="28"/>
        </w:rPr>
        <w:t>У чинному законодавстві України змінено підхід до термінології, пов’язаної із</w:t>
      </w:r>
      <w:r w:rsidRPr="00F31C64">
        <w:rPr>
          <w:rFonts w:eastAsia="Calibri"/>
          <w:szCs w:val="28"/>
        </w:rPr>
        <w:t xml:space="preserve"> питаннями статусу осіб з інвалідністю, дітей з інвалідністю. Більш прийнятими і коректними є словосполучення «особи з інвалідністю, які мають порушення зору», «особи з порушеннями зору», що вже має застосування у законах України «Про соціальні послуги» (ст.</w:t>
      </w:r>
      <w:r w:rsidR="00B81EF8">
        <w:rPr>
          <w:rFonts w:eastAsia="Calibri"/>
          <w:szCs w:val="28"/>
        </w:rPr>
        <w:t xml:space="preserve"> </w:t>
      </w:r>
      <w:r w:rsidRPr="00F31C64">
        <w:rPr>
          <w:rFonts w:eastAsia="Calibri"/>
          <w:szCs w:val="28"/>
        </w:rPr>
        <w:t>16), «Про освіту» (ст.</w:t>
      </w:r>
      <w:r w:rsidR="00B81EF8">
        <w:rPr>
          <w:rFonts w:eastAsia="Calibri"/>
          <w:szCs w:val="28"/>
        </w:rPr>
        <w:t xml:space="preserve"> </w:t>
      </w:r>
      <w:r w:rsidRPr="00F31C64">
        <w:rPr>
          <w:rFonts w:eastAsia="Calibri"/>
          <w:szCs w:val="28"/>
        </w:rPr>
        <w:t>13)  та ін.</w:t>
      </w:r>
    </w:p>
    <w:p w14:paraId="3E4F11DB" w14:textId="4652A37A" w:rsidR="00E97AD1" w:rsidRPr="00F31C64" w:rsidRDefault="00E97AD1" w:rsidP="00E97AD1">
      <w:pPr>
        <w:numPr>
          <w:ilvl w:val="0"/>
          <w:numId w:val="7"/>
        </w:numPr>
        <w:suppressAutoHyphens w:val="0"/>
        <w:ind w:firstLine="709"/>
        <w:jc w:val="both"/>
        <w:rPr>
          <w:rFonts w:eastAsia="Calibri"/>
          <w:bCs/>
          <w:szCs w:val="28"/>
        </w:rPr>
      </w:pPr>
      <w:r w:rsidRPr="00F31C64">
        <w:rPr>
          <w:rFonts w:eastAsia="Calibri"/>
          <w:bCs/>
          <w:szCs w:val="28"/>
          <w:lang w:val="ru-RU"/>
        </w:rPr>
        <w:t>3</w:t>
      </w:r>
      <w:r w:rsidRPr="00F31C64">
        <w:rPr>
          <w:rFonts w:eastAsia="Calibri"/>
          <w:bCs/>
          <w:szCs w:val="28"/>
        </w:rPr>
        <w:t>.3. У проекті простежується неузгодженість дефініцій із понятійно-категорійним апаратом Директиви (ст. 2), що може ускладнити подальше уніфіковане правозастосування.</w:t>
      </w:r>
    </w:p>
    <w:p w14:paraId="7A6CDAA4" w14:textId="17F1A094" w:rsidR="00E97AD1" w:rsidRPr="00F31C64" w:rsidRDefault="00E97AD1" w:rsidP="00E97AD1">
      <w:pPr>
        <w:numPr>
          <w:ilvl w:val="0"/>
          <w:numId w:val="7"/>
        </w:numPr>
        <w:suppressAutoHyphens w:val="0"/>
        <w:ind w:firstLine="709"/>
        <w:jc w:val="both"/>
        <w:rPr>
          <w:rFonts w:eastAsia="Calibri"/>
          <w:bCs/>
          <w:szCs w:val="28"/>
        </w:rPr>
      </w:pPr>
      <w:r w:rsidRPr="00F31C64">
        <w:rPr>
          <w:rFonts w:eastAsia="Calibri"/>
          <w:bCs/>
          <w:szCs w:val="28"/>
        </w:rPr>
        <w:t>На відміну від відокремлених в Директиві процесів «виймання»</w:t>
      </w:r>
      <w:r w:rsidR="006E5697">
        <w:rPr>
          <w:rFonts w:eastAsia="Calibri"/>
          <w:bCs/>
          <w:szCs w:val="28"/>
        </w:rPr>
        <w:t xml:space="preserve">                              </w:t>
      </w:r>
      <w:r w:rsidRPr="00F31C64">
        <w:rPr>
          <w:rFonts w:eastAsia="Calibri"/>
          <w:bCs/>
          <w:szCs w:val="28"/>
        </w:rPr>
        <w:t xml:space="preserve"> (п. 4 </w:t>
      </w:r>
      <w:bookmarkStart w:id="0" w:name="_GoBack"/>
      <w:bookmarkEnd w:id="0"/>
      <w:r w:rsidRPr="00F31C64">
        <w:rPr>
          <w:rFonts w:eastAsia="Calibri"/>
          <w:bCs/>
          <w:szCs w:val="28"/>
        </w:rPr>
        <w:t>ст. 2) та «видачі» (п. 5 ст. 2) відправлень, у проекті запропоноване єдине визначення «пересилання поштових відправлень» (абз. 26 ч.</w:t>
      </w:r>
      <w:r w:rsidR="002D1736">
        <w:rPr>
          <w:rFonts w:eastAsia="Calibri"/>
          <w:bCs/>
          <w:szCs w:val="28"/>
        </w:rPr>
        <w:t xml:space="preserve"> </w:t>
      </w:r>
      <w:r w:rsidRPr="00F31C64">
        <w:rPr>
          <w:rFonts w:eastAsia="Calibri"/>
          <w:bCs/>
          <w:szCs w:val="28"/>
        </w:rPr>
        <w:t>1).</w:t>
      </w:r>
    </w:p>
    <w:p w14:paraId="3D0CCED9" w14:textId="74E8F848" w:rsidR="00E97AD1" w:rsidRPr="00F42DA8" w:rsidRDefault="00E97AD1" w:rsidP="00E97AD1">
      <w:pPr>
        <w:numPr>
          <w:ilvl w:val="0"/>
          <w:numId w:val="7"/>
        </w:numPr>
        <w:suppressAutoHyphens w:val="0"/>
        <w:ind w:firstLine="709"/>
        <w:jc w:val="both"/>
        <w:rPr>
          <w:rFonts w:eastAsia="Calibri"/>
          <w:bCs/>
          <w:szCs w:val="28"/>
        </w:rPr>
      </w:pPr>
      <w:r w:rsidRPr="00F31C64">
        <w:rPr>
          <w:rFonts w:eastAsia="Calibri"/>
          <w:bCs/>
          <w:szCs w:val="28"/>
        </w:rPr>
        <w:t xml:space="preserve">Аналогом зазначеної в Директиві «одиниці кореспонденції» (п. 7 ст. 2) в законопроекті виступає «письмова кореспонденція» (абз. 27 ч. 1). Проте, якщо у Директиві до такої категорії не включаються «книги, каталоги, газети та </w:t>
      </w:r>
      <w:r w:rsidRPr="00F31C64">
        <w:rPr>
          <w:rFonts w:eastAsia="Calibri"/>
          <w:bCs/>
          <w:szCs w:val="28"/>
        </w:rPr>
        <w:lastRenderedPageBreak/>
        <w:t xml:space="preserve">періодичні </w:t>
      </w:r>
      <w:r w:rsidRPr="00F42DA8">
        <w:rPr>
          <w:rFonts w:eastAsia="Calibri"/>
          <w:bCs/>
          <w:szCs w:val="28"/>
        </w:rPr>
        <w:t>видання», то у проекті під зазначене визначення підпадатимуть «мішки «М»</w:t>
      </w:r>
      <w:r w:rsidR="00B81EF8" w:rsidRPr="00F42DA8">
        <w:rPr>
          <w:rFonts w:eastAsia="Calibri"/>
          <w:bCs/>
          <w:szCs w:val="28"/>
        </w:rPr>
        <w:t>»</w:t>
      </w:r>
      <w:r w:rsidRPr="00F42DA8">
        <w:rPr>
          <w:rFonts w:eastAsia="Calibri"/>
          <w:bCs/>
          <w:szCs w:val="28"/>
        </w:rPr>
        <w:t xml:space="preserve"> та «відправлення для сліпих».</w:t>
      </w:r>
    </w:p>
    <w:p w14:paraId="2F682BAE" w14:textId="1354CEED" w:rsidR="00E97AD1" w:rsidRPr="00F42DA8" w:rsidRDefault="00E97AD1" w:rsidP="00E97AD1">
      <w:pPr>
        <w:numPr>
          <w:ilvl w:val="0"/>
          <w:numId w:val="7"/>
        </w:numPr>
        <w:suppressAutoHyphens w:val="0"/>
        <w:ind w:firstLine="709"/>
        <w:jc w:val="both"/>
        <w:rPr>
          <w:rFonts w:eastAsia="Calibri"/>
          <w:bCs/>
          <w:szCs w:val="28"/>
        </w:rPr>
      </w:pPr>
      <w:r w:rsidRPr="00F42DA8">
        <w:rPr>
          <w:rFonts w:eastAsia="Calibri"/>
          <w:bCs/>
          <w:szCs w:val="28"/>
        </w:rPr>
        <w:t xml:space="preserve">Простежується </w:t>
      </w:r>
      <w:r w:rsidRPr="00F42DA8">
        <w:rPr>
          <w:rFonts w:eastAsia="Calibri"/>
          <w:bCs/>
          <w:i/>
          <w:iCs/>
          <w:szCs w:val="28"/>
        </w:rPr>
        <w:t>невідповідність</w:t>
      </w:r>
      <w:r w:rsidRPr="00F42DA8">
        <w:rPr>
          <w:rFonts w:eastAsia="Calibri"/>
          <w:bCs/>
          <w:szCs w:val="28"/>
        </w:rPr>
        <w:t xml:space="preserve"> у підходах до визначення вагових характеристик окремих поштових послуг. Зокрема, в ст. 3 Директиви, якою закріплюються гарантії надання універсальної послуги, в ч. 4 унормовано вагові критерії послуг «поштових відправлень» (до 2 кг) та «посилок» </w:t>
      </w:r>
      <w:r w:rsidR="00B81EF8" w:rsidRPr="00F42DA8">
        <w:rPr>
          <w:rFonts w:eastAsia="Calibri"/>
          <w:bCs/>
          <w:szCs w:val="28"/>
        </w:rPr>
        <w:br/>
      </w:r>
      <w:r w:rsidRPr="00F42DA8">
        <w:rPr>
          <w:rFonts w:eastAsia="Calibri"/>
          <w:bCs/>
          <w:szCs w:val="28"/>
        </w:rPr>
        <w:t>(до 10 кг). При цьому, Директивою передбачена можливість корегування ваги посилок на національному рівні в бік збільшення «до 20 кг» (п. 5 ст. 3). У той же час, визначені в проекті «поштові відправлення» (абз. 37 ч. 1) включатимуть відправлення «</w:t>
      </w:r>
      <w:r w:rsidRPr="00F42DA8">
        <w:rPr>
          <w:rFonts w:eastAsia="Calibri"/>
          <w:bCs/>
          <w:szCs w:val="28"/>
          <w:lang w:val="en-US"/>
        </w:rPr>
        <w:t>EMS</w:t>
      </w:r>
      <w:r w:rsidRPr="00F42DA8">
        <w:rPr>
          <w:rFonts w:eastAsia="Calibri"/>
          <w:bCs/>
          <w:szCs w:val="28"/>
        </w:rPr>
        <w:t>» (абз. 9 ч. 1) вагою до 30 кг., в той час як вагою у 2 кг згідно з проектом (абз. 10 ч. 1) важитимуть «дрібні пакети», які, в свою чергу, віднесен</w:t>
      </w:r>
      <w:r w:rsidR="00B81EF8" w:rsidRPr="00F42DA8">
        <w:rPr>
          <w:rFonts w:eastAsia="Calibri"/>
          <w:bCs/>
          <w:szCs w:val="28"/>
        </w:rPr>
        <w:t>і</w:t>
      </w:r>
      <w:r w:rsidRPr="00F42DA8">
        <w:rPr>
          <w:rFonts w:eastAsia="Calibri"/>
          <w:bCs/>
          <w:szCs w:val="28"/>
        </w:rPr>
        <w:t xml:space="preserve"> до «письмової кореспонденції» (абз. 27 ч. 1).</w:t>
      </w:r>
    </w:p>
    <w:p w14:paraId="4A608BAD" w14:textId="16E05556" w:rsidR="00E97AD1" w:rsidRPr="00F42DA8" w:rsidRDefault="00E97AD1" w:rsidP="00E97AD1">
      <w:pPr>
        <w:ind w:firstLine="709"/>
        <w:jc w:val="both"/>
        <w:rPr>
          <w:rFonts w:eastAsia="Calibri"/>
          <w:bCs/>
          <w:szCs w:val="28"/>
        </w:rPr>
      </w:pPr>
      <w:r w:rsidRPr="00F42DA8">
        <w:rPr>
          <w:rFonts w:eastAsia="Calibri"/>
          <w:bCs/>
          <w:szCs w:val="28"/>
          <w:lang w:val="ru-RU"/>
        </w:rPr>
        <w:t>3</w:t>
      </w:r>
      <w:r w:rsidRPr="00F42DA8">
        <w:rPr>
          <w:rFonts w:eastAsia="Calibri"/>
          <w:bCs/>
          <w:szCs w:val="28"/>
        </w:rPr>
        <w:t>.4. Положенням законопроекту бракує уніфікованого вживання термінології. Так, в абз. 35 ч. 1 ст. 1 наводиться визначення терміну «поштова мережа», натомість</w:t>
      </w:r>
      <w:r w:rsidR="00B81EF8" w:rsidRPr="00F42DA8">
        <w:rPr>
          <w:rFonts w:eastAsia="Calibri"/>
          <w:bCs/>
          <w:szCs w:val="28"/>
        </w:rPr>
        <w:t>,</w:t>
      </w:r>
      <w:r w:rsidRPr="00F42DA8">
        <w:rPr>
          <w:rFonts w:eastAsia="Calibri"/>
          <w:bCs/>
          <w:szCs w:val="28"/>
        </w:rPr>
        <w:t xml:space="preserve"> у тексті законопроекту використовується термін «мережа поштового зв’язку» (ст. ст. 17, 19, 24, 27).</w:t>
      </w:r>
    </w:p>
    <w:p w14:paraId="74DB410A" w14:textId="7F88800F" w:rsidR="00E97AD1" w:rsidRPr="00F42DA8" w:rsidRDefault="00E97AD1" w:rsidP="00E97AD1">
      <w:pPr>
        <w:ind w:firstLine="709"/>
        <w:jc w:val="both"/>
        <w:rPr>
          <w:rFonts w:eastAsia="Calibri"/>
          <w:bCs/>
          <w:szCs w:val="28"/>
        </w:rPr>
      </w:pPr>
      <w:r w:rsidRPr="00F42DA8">
        <w:rPr>
          <w:rFonts w:eastAsia="Calibri"/>
          <w:bCs/>
          <w:szCs w:val="28"/>
        </w:rPr>
        <w:t xml:space="preserve">Аналогічне за змістом зауваження відноситься до використання у ст. 23 терміну «абонентські скриньки». При цьому, </w:t>
      </w:r>
      <w:r w:rsidR="00B81EF8" w:rsidRPr="00F42DA8">
        <w:rPr>
          <w:rFonts w:eastAsia="Calibri"/>
          <w:bCs/>
          <w:szCs w:val="28"/>
        </w:rPr>
        <w:t>в</w:t>
      </w:r>
      <w:r w:rsidRPr="00F42DA8">
        <w:rPr>
          <w:rFonts w:eastAsia="Calibri"/>
          <w:bCs/>
          <w:szCs w:val="28"/>
        </w:rPr>
        <w:t xml:space="preserve"> абз. 3 ч. 1 ст. 1 наводиться визначення терміну «абонентська поштова скринька».</w:t>
      </w:r>
    </w:p>
    <w:p w14:paraId="1A5B0AA1" w14:textId="3F74D126" w:rsidR="00E97AD1" w:rsidRPr="00F31C64" w:rsidRDefault="00E97AD1" w:rsidP="00E97AD1">
      <w:pPr>
        <w:numPr>
          <w:ilvl w:val="0"/>
          <w:numId w:val="7"/>
        </w:numPr>
        <w:suppressAutoHyphens w:val="0"/>
        <w:ind w:firstLine="709"/>
        <w:jc w:val="both"/>
        <w:rPr>
          <w:rFonts w:eastAsia="Calibri"/>
          <w:bCs/>
          <w:szCs w:val="28"/>
        </w:rPr>
      </w:pPr>
      <w:r w:rsidRPr="00F42DA8">
        <w:rPr>
          <w:rFonts w:eastAsia="Calibri"/>
          <w:b/>
          <w:bCs/>
          <w:szCs w:val="28"/>
          <w:lang w:val="ru-RU"/>
        </w:rPr>
        <w:t>4</w:t>
      </w:r>
      <w:r w:rsidR="00B81EF8" w:rsidRPr="00F42DA8">
        <w:rPr>
          <w:rFonts w:eastAsia="Calibri"/>
          <w:b/>
          <w:bCs/>
          <w:szCs w:val="28"/>
        </w:rPr>
        <w:t xml:space="preserve">. </w:t>
      </w:r>
      <w:r w:rsidRPr="00F42DA8">
        <w:rPr>
          <w:rFonts w:eastAsia="Calibri"/>
          <w:bCs/>
          <w:szCs w:val="28"/>
        </w:rPr>
        <w:t>Сумнівн</w:t>
      </w:r>
      <w:r w:rsidR="00B81EF8" w:rsidRPr="00F42DA8">
        <w:rPr>
          <w:rFonts w:eastAsia="Calibri"/>
          <w:bCs/>
          <w:szCs w:val="28"/>
        </w:rPr>
        <w:t>ою</w:t>
      </w:r>
      <w:r w:rsidRPr="00F42DA8">
        <w:rPr>
          <w:rFonts w:eastAsia="Calibri"/>
          <w:bCs/>
          <w:szCs w:val="28"/>
        </w:rPr>
        <w:t xml:space="preserve"> вбачається пропозиція в абз. 11 ч. 1 ст. 1 проекту визначити графічну інформацію, що наноситься на відправлення письмової кореспонденції «електронним знаком». Не заперечуючи машиночитаного характеру такого графічного зображення, його</w:t>
      </w:r>
      <w:r w:rsidRPr="00F31C64">
        <w:rPr>
          <w:rFonts w:eastAsia="Calibri"/>
          <w:bCs/>
          <w:szCs w:val="28"/>
        </w:rPr>
        <w:t xml:space="preserve"> природа навряд чи дає можливість віднести його до категорії електронних засобів.</w:t>
      </w:r>
    </w:p>
    <w:p w14:paraId="31B38ED7" w14:textId="1EA1F9C6" w:rsidR="00E97AD1" w:rsidRPr="00F31C64" w:rsidRDefault="00E97AD1" w:rsidP="00E97AD1">
      <w:pPr>
        <w:ind w:firstLine="709"/>
        <w:jc w:val="both"/>
        <w:rPr>
          <w:rFonts w:eastAsia="Calibri"/>
          <w:b/>
          <w:bCs/>
          <w:szCs w:val="28"/>
        </w:rPr>
      </w:pPr>
      <w:r w:rsidRPr="00F31C64">
        <w:rPr>
          <w:rFonts w:eastAsia="Calibri"/>
          <w:b/>
          <w:bCs/>
          <w:szCs w:val="28"/>
          <w:lang w:val="ru-RU"/>
        </w:rPr>
        <w:t>5</w:t>
      </w:r>
      <w:r w:rsidRPr="00F31C64">
        <w:rPr>
          <w:rFonts w:eastAsia="Calibri"/>
          <w:b/>
          <w:bCs/>
          <w:szCs w:val="28"/>
        </w:rPr>
        <w:t xml:space="preserve">. </w:t>
      </w:r>
      <w:r w:rsidRPr="00F31C64">
        <w:rPr>
          <w:rFonts w:eastAsia="Calibri"/>
          <w:bCs/>
          <w:szCs w:val="28"/>
        </w:rPr>
        <w:t xml:space="preserve">У законопроекті присутні положення, які характеризуються недостатньою правовою визначеністю, а, отже, не відповідають конституційному принципу верховенства права (у частині забезпечення правової визначеності, ясності і недвозначності норм, як складових цього принципу). Зокрема, застосування у визначенні поняття «адресна поштова розсилка» (абз. 6 ч. 1 ст. 1 проекту) виразів на кшталт «яке пересилається </w:t>
      </w:r>
      <w:r w:rsidRPr="00F31C64">
        <w:rPr>
          <w:rFonts w:eastAsia="Calibri"/>
          <w:bCs/>
          <w:i/>
          <w:iCs/>
          <w:szCs w:val="28"/>
        </w:rPr>
        <w:t>певній кількості</w:t>
      </w:r>
      <w:r w:rsidRPr="00F31C64">
        <w:rPr>
          <w:rFonts w:eastAsia="Calibri"/>
          <w:bCs/>
          <w:szCs w:val="28"/>
        </w:rPr>
        <w:t xml:space="preserve"> адресатів», на нашу думку, не відповідає принципу правової визначеності, та має бути деталізовано. </w:t>
      </w:r>
      <w:r w:rsidRPr="00F31C64">
        <w:rPr>
          <w:rFonts w:eastAsia="Calibri"/>
          <w:szCs w:val="28"/>
        </w:rPr>
        <w:t xml:space="preserve">Разом з тим, відповідно до правової позиції Конституційного Суду України принцип правової визначеності вимагає чіткості, </w:t>
      </w:r>
      <w:r w:rsidRPr="00F31C64">
        <w:rPr>
          <w:rFonts w:eastAsia="Calibri"/>
          <w:i/>
          <w:szCs w:val="28"/>
        </w:rPr>
        <w:t>зрозумілості й однозначності</w:t>
      </w:r>
      <w:r w:rsidRPr="00F31C64">
        <w:rPr>
          <w:rFonts w:eastAsia="Calibri"/>
          <w:szCs w:val="28"/>
        </w:rPr>
        <w:t xml:space="preserve"> правових норм, зокрема, їх </w:t>
      </w:r>
      <w:r w:rsidRPr="00F31C64">
        <w:rPr>
          <w:rFonts w:eastAsia="Calibri"/>
          <w:i/>
          <w:szCs w:val="28"/>
        </w:rPr>
        <w:t>передбачуваності</w:t>
      </w:r>
      <w:r w:rsidRPr="00F31C64">
        <w:rPr>
          <w:rFonts w:eastAsia="Calibri"/>
          <w:szCs w:val="28"/>
        </w:rPr>
        <w:t xml:space="preserve"> (прогнозованості) та стабільності (абз. 6 п. 2.1 мотивувальної частини Рішення Великої палати Конституційного Суду України від 20.12.2017 № 2-р/2017).</w:t>
      </w:r>
    </w:p>
    <w:p w14:paraId="507BAB77" w14:textId="232F775D" w:rsidR="00E97AD1" w:rsidRPr="00F31C64" w:rsidRDefault="00E97AD1" w:rsidP="00E97AD1">
      <w:pPr>
        <w:numPr>
          <w:ilvl w:val="0"/>
          <w:numId w:val="7"/>
        </w:numPr>
        <w:suppressAutoHyphens w:val="0"/>
        <w:ind w:firstLine="709"/>
        <w:contextualSpacing/>
        <w:jc w:val="both"/>
        <w:rPr>
          <w:rFonts w:eastAsia="Calibri"/>
          <w:szCs w:val="28"/>
        </w:rPr>
      </w:pPr>
      <w:r w:rsidRPr="00F31C64">
        <w:rPr>
          <w:rFonts w:eastAsia="Calibri"/>
          <w:b/>
          <w:szCs w:val="28"/>
          <w:lang w:val="ru-RU"/>
        </w:rPr>
        <w:t>6</w:t>
      </w:r>
      <w:r w:rsidRPr="00F31C64">
        <w:rPr>
          <w:rFonts w:eastAsia="Calibri"/>
          <w:b/>
          <w:szCs w:val="28"/>
        </w:rPr>
        <w:t>.</w:t>
      </w:r>
      <w:r w:rsidRPr="00F31C64">
        <w:rPr>
          <w:rFonts w:eastAsia="Calibri"/>
          <w:szCs w:val="28"/>
        </w:rPr>
        <w:t xml:space="preserve"> Викликає зауваження запропоноване формулювання основних засад у сфері надання послуг поштового зв’язку (ст. 3 проекту). На нашу думку, запропонований зміст цієї статті свідчить не про «засади діяльності», а про «принципи державної політики» у відповідній сфері.</w:t>
      </w:r>
    </w:p>
    <w:p w14:paraId="336DDA82" w14:textId="69DDD0D7" w:rsidR="00E97AD1" w:rsidRPr="00F42DA8" w:rsidRDefault="00E97AD1" w:rsidP="00E97AD1">
      <w:pPr>
        <w:numPr>
          <w:ilvl w:val="0"/>
          <w:numId w:val="7"/>
        </w:numPr>
        <w:suppressAutoHyphens w:val="0"/>
        <w:ind w:firstLine="709"/>
        <w:contextualSpacing/>
        <w:jc w:val="both"/>
        <w:rPr>
          <w:rFonts w:eastAsia="Calibri"/>
          <w:szCs w:val="28"/>
        </w:rPr>
      </w:pPr>
      <w:r w:rsidRPr="00F31C64">
        <w:rPr>
          <w:rFonts w:eastAsia="Calibri"/>
          <w:b/>
          <w:szCs w:val="28"/>
          <w:lang w:val="ru-RU"/>
        </w:rPr>
        <w:t>7</w:t>
      </w:r>
      <w:r w:rsidRPr="00F31C64">
        <w:rPr>
          <w:rFonts w:eastAsia="Calibri"/>
          <w:b/>
          <w:szCs w:val="28"/>
        </w:rPr>
        <w:t>.</w:t>
      </w:r>
      <w:r w:rsidRPr="00F31C64">
        <w:rPr>
          <w:rFonts w:eastAsia="Calibri"/>
          <w:szCs w:val="28"/>
        </w:rPr>
        <w:t xml:space="preserve"> Відповідно до положень ст. 5 проекту «у сфері надання послуг поштового зв’язку застосовується єдиний обліково-звітний час, що діє в Україні». В цьому конте</w:t>
      </w:r>
      <w:r w:rsidRPr="00F42DA8">
        <w:rPr>
          <w:rFonts w:eastAsia="Calibri"/>
          <w:szCs w:val="28"/>
        </w:rPr>
        <w:t xml:space="preserve">ксті слід зазначити, що згідно </w:t>
      </w:r>
      <w:r w:rsidR="00B81EF8" w:rsidRPr="00F42DA8">
        <w:rPr>
          <w:rFonts w:eastAsia="Calibri"/>
          <w:szCs w:val="28"/>
        </w:rPr>
        <w:t xml:space="preserve">зі </w:t>
      </w:r>
      <w:r w:rsidRPr="00F42DA8">
        <w:rPr>
          <w:rFonts w:eastAsia="Calibri"/>
          <w:szCs w:val="28"/>
        </w:rPr>
        <w:t>ст</w:t>
      </w:r>
      <w:r w:rsidR="00B81EF8" w:rsidRPr="00F42DA8">
        <w:rPr>
          <w:rFonts w:eastAsia="Calibri"/>
          <w:szCs w:val="28"/>
        </w:rPr>
        <w:t xml:space="preserve">. 8 Закону України </w:t>
      </w:r>
      <w:r w:rsidRPr="00F42DA8">
        <w:rPr>
          <w:rFonts w:eastAsia="Calibri"/>
          <w:szCs w:val="28"/>
        </w:rPr>
        <w:t xml:space="preserve">«Про телекомунікації» мова йде про «єдиний обліково-звітний час – київський», </w:t>
      </w:r>
      <w:r w:rsidRPr="00F42DA8">
        <w:rPr>
          <w:rFonts w:eastAsia="Calibri"/>
          <w:szCs w:val="28"/>
        </w:rPr>
        <w:lastRenderedPageBreak/>
        <w:t>що доцільно узгодити, адже поштові послуги, як і телекомунікації, належать до загальної галузі зв’язку.</w:t>
      </w:r>
    </w:p>
    <w:p w14:paraId="186484BF" w14:textId="4AC32C9B" w:rsidR="00E97AD1" w:rsidRPr="00F42DA8" w:rsidRDefault="00E97AD1" w:rsidP="00E97AD1">
      <w:pPr>
        <w:numPr>
          <w:ilvl w:val="0"/>
          <w:numId w:val="7"/>
        </w:numPr>
        <w:suppressAutoHyphens w:val="0"/>
        <w:ind w:firstLine="709"/>
        <w:contextualSpacing/>
        <w:jc w:val="both"/>
        <w:rPr>
          <w:rFonts w:eastAsia="Calibri"/>
          <w:szCs w:val="28"/>
        </w:rPr>
      </w:pPr>
      <w:r w:rsidRPr="00F42DA8">
        <w:rPr>
          <w:rFonts w:eastAsia="Calibri"/>
          <w:b/>
          <w:szCs w:val="28"/>
          <w:lang w:val="ru-RU"/>
        </w:rPr>
        <w:t>8</w:t>
      </w:r>
      <w:r w:rsidRPr="00F42DA8">
        <w:rPr>
          <w:rFonts w:eastAsia="Calibri"/>
          <w:b/>
          <w:szCs w:val="28"/>
        </w:rPr>
        <w:t>.</w:t>
      </w:r>
      <w:r w:rsidRPr="00F42DA8">
        <w:rPr>
          <w:rFonts w:eastAsia="Calibri"/>
          <w:szCs w:val="28"/>
        </w:rPr>
        <w:t xml:space="preserve"> Потребують доопрацювання положення ст. 8 проекту Закону.</w:t>
      </w:r>
    </w:p>
    <w:p w14:paraId="63454CDB" w14:textId="7DA1BBF1" w:rsidR="00E97AD1" w:rsidRPr="00F31C64" w:rsidRDefault="00E97AD1" w:rsidP="00E97AD1">
      <w:pPr>
        <w:numPr>
          <w:ilvl w:val="0"/>
          <w:numId w:val="7"/>
        </w:numPr>
        <w:suppressAutoHyphens w:val="0"/>
        <w:ind w:firstLine="709"/>
        <w:contextualSpacing/>
        <w:jc w:val="both"/>
        <w:rPr>
          <w:rFonts w:eastAsia="Calibri"/>
          <w:szCs w:val="28"/>
        </w:rPr>
      </w:pPr>
      <w:r w:rsidRPr="00F42DA8">
        <w:rPr>
          <w:rFonts w:eastAsia="Calibri"/>
          <w:szCs w:val="28"/>
          <w:lang w:val="ru-RU"/>
        </w:rPr>
        <w:t>8</w:t>
      </w:r>
      <w:r w:rsidRPr="00F42DA8">
        <w:rPr>
          <w:rFonts w:eastAsia="Calibri"/>
          <w:szCs w:val="28"/>
        </w:rPr>
        <w:t>.1. Згідно із запропонованою редакцією ч. 2 ст. 8 проекту, передбачається можливість визначення єдиного оператора міжнародних реєстрованих відправлень та єдиного оператора універсальної послуги. На нашу думку</w:t>
      </w:r>
      <w:r w:rsidR="00B81EF8" w:rsidRPr="00F42DA8">
        <w:rPr>
          <w:rFonts w:eastAsia="Calibri"/>
          <w:szCs w:val="28"/>
        </w:rPr>
        <w:t>,</w:t>
      </w:r>
      <w:r w:rsidRPr="00F42DA8">
        <w:rPr>
          <w:rFonts w:eastAsia="Calibri"/>
          <w:szCs w:val="28"/>
        </w:rPr>
        <w:t xml:space="preserve"> такі новели потребують додаткового обґрунтування. Принагідно звертаємо увагу на Рішення Суду Європейського Союзу у справі C-162/06 від 15.11.2007 (International Mail Spain SL проти Державної поштової Адміністрації)</w:t>
      </w:r>
      <w:r w:rsidRPr="00F42DA8">
        <w:rPr>
          <w:rFonts w:eastAsia="Calibri"/>
          <w:szCs w:val="28"/>
          <w:vertAlign w:val="superscript"/>
        </w:rPr>
        <w:footnoteReference w:id="3"/>
      </w:r>
      <w:r w:rsidRPr="00F42DA8">
        <w:rPr>
          <w:rFonts w:eastAsia="Calibri"/>
          <w:szCs w:val="28"/>
        </w:rPr>
        <w:t>, згідно з яким резервування міжнародної пошти за одним постачальником (наприклад – оператором у</w:t>
      </w:r>
      <w:r w:rsidRPr="00F31C64">
        <w:rPr>
          <w:rFonts w:eastAsia="Calibri"/>
          <w:szCs w:val="28"/>
        </w:rPr>
        <w:t xml:space="preserve">ніверсальної послуги) доцільне лише у випадку, якщо за відсутності такого резервування під загрозою опиниться сталість надання універсальної послуги та фінансова безпека такого оператора або ж таке резервування є єдиною гарантією надання послуги міжнародних відправлень за економічно прийнятними умовами (п.п. 41, 50 Рішення). </w:t>
      </w:r>
    </w:p>
    <w:p w14:paraId="74A2539C" w14:textId="5BC40B8E" w:rsidR="00E97AD1" w:rsidRPr="00F31C64" w:rsidRDefault="00E97AD1" w:rsidP="00E97AD1">
      <w:pPr>
        <w:numPr>
          <w:ilvl w:val="0"/>
          <w:numId w:val="7"/>
        </w:numPr>
        <w:suppressAutoHyphens w:val="0"/>
        <w:ind w:firstLine="709"/>
        <w:contextualSpacing/>
        <w:jc w:val="both"/>
        <w:rPr>
          <w:rFonts w:eastAsia="Calibri"/>
          <w:szCs w:val="28"/>
        </w:rPr>
      </w:pPr>
      <w:r w:rsidRPr="00F31C64">
        <w:rPr>
          <w:rFonts w:eastAsia="Calibri"/>
          <w:szCs w:val="28"/>
        </w:rPr>
        <w:t xml:space="preserve">8.2. Вбачається сумнівною пропозиція у п. 7 ч. 2 ст. 8 щодо віднесення до </w:t>
      </w:r>
      <w:r w:rsidRPr="00F42DA8">
        <w:rPr>
          <w:rFonts w:eastAsia="Calibri"/>
          <w:szCs w:val="28"/>
        </w:rPr>
        <w:t xml:space="preserve">повноважень центрального органу виконавчої влади, що забезпечує формування та реалізацію державної політики у сфері надання послуг поштового </w:t>
      </w:r>
      <w:r w:rsidR="00B81EF8" w:rsidRPr="00F42DA8">
        <w:rPr>
          <w:rFonts w:eastAsia="Calibri"/>
          <w:szCs w:val="28"/>
        </w:rPr>
        <w:t xml:space="preserve">зв’язку, </w:t>
      </w:r>
      <w:r w:rsidRPr="00F42DA8">
        <w:rPr>
          <w:rFonts w:eastAsia="Calibri"/>
          <w:szCs w:val="28"/>
        </w:rPr>
        <w:t>здійснення державного регулювання і нагляду (контролю)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щодо операторів поштового зв’язку (в частині здійснення ними поштового переказу).</w:t>
      </w:r>
      <w:r w:rsidRPr="00F42DA8">
        <w:rPr>
          <w:rFonts w:eastAsia="Calibri"/>
          <w:b/>
          <w:bCs/>
          <w:szCs w:val="28"/>
        </w:rPr>
        <w:t xml:space="preserve"> </w:t>
      </w:r>
      <w:r w:rsidRPr="00F42DA8">
        <w:rPr>
          <w:rFonts w:eastAsia="Calibri"/>
          <w:bCs/>
          <w:szCs w:val="28"/>
        </w:rPr>
        <w:t>Адже згідно із приписами п. 1 ч. 1 ст. 18 Закону України «Про запобігання та протидію легалізації (відмиванню) доходів, одержаних злочинним шляхом, фінансуванню</w:t>
      </w:r>
      <w:r w:rsidRPr="00F31C64">
        <w:rPr>
          <w:rFonts w:eastAsia="Calibri"/>
          <w:bCs/>
          <w:szCs w:val="28"/>
        </w:rPr>
        <w:t xml:space="preserve"> тероризму та фінансуванню розповсюдження зброї масового знищення» державне регулювання і нагляд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щодо операторів поштового зв’язку здійснюються Національним банком України.</w:t>
      </w:r>
    </w:p>
    <w:p w14:paraId="126E70A6" w14:textId="32A5B6D0" w:rsidR="00E97AD1" w:rsidRPr="00F31C64" w:rsidRDefault="00E97AD1" w:rsidP="00E97AD1">
      <w:pPr>
        <w:numPr>
          <w:ilvl w:val="0"/>
          <w:numId w:val="7"/>
        </w:numPr>
        <w:suppressAutoHyphens w:val="0"/>
        <w:ind w:firstLine="709"/>
        <w:contextualSpacing/>
        <w:jc w:val="both"/>
        <w:rPr>
          <w:rFonts w:eastAsia="Calibri"/>
          <w:szCs w:val="28"/>
        </w:rPr>
      </w:pPr>
      <w:r w:rsidRPr="00F31C64">
        <w:rPr>
          <w:rFonts w:eastAsia="Calibri"/>
          <w:szCs w:val="28"/>
          <w:lang w:val="ru-RU"/>
        </w:rPr>
        <w:t>8</w:t>
      </w:r>
      <w:r w:rsidRPr="00F31C64">
        <w:rPr>
          <w:rFonts w:eastAsia="Calibri"/>
          <w:szCs w:val="28"/>
        </w:rPr>
        <w:t xml:space="preserve">.3. У п.п. 2 та 7 ч. 5 ст. 8 проекту йдеться про забезпечення національним регулятором «здійснення в </w:t>
      </w:r>
      <w:r w:rsidRPr="00F42DA8">
        <w:rPr>
          <w:rFonts w:eastAsia="Calibri"/>
          <w:szCs w:val="28"/>
        </w:rPr>
        <w:t>установленому ним порядку моніторингу якості універсальних послуг поштового зв'язку та оприлюднення його результатів» та «державного нагляду (контролю) за додержанням призначеним оператором поштового зв’язку установлених показників якості універсальних послуг поштового зв`язку», що</w:t>
      </w:r>
      <w:r w:rsidR="00354FAA" w:rsidRPr="00F42DA8">
        <w:rPr>
          <w:rFonts w:eastAsia="Calibri"/>
          <w:szCs w:val="28"/>
        </w:rPr>
        <w:t>,</w:t>
      </w:r>
      <w:r w:rsidRPr="00F42DA8">
        <w:rPr>
          <w:rFonts w:eastAsia="Calibri"/>
          <w:szCs w:val="28"/>
        </w:rPr>
        <w:t xml:space="preserve"> на нашу думку</w:t>
      </w:r>
      <w:r w:rsidR="00354FAA" w:rsidRPr="00F42DA8">
        <w:rPr>
          <w:rFonts w:eastAsia="Calibri"/>
          <w:szCs w:val="28"/>
        </w:rPr>
        <w:t>,</w:t>
      </w:r>
      <w:r w:rsidRPr="00F42DA8">
        <w:rPr>
          <w:rFonts w:eastAsia="Calibri"/>
          <w:szCs w:val="28"/>
        </w:rPr>
        <w:t xml:space="preserve"> </w:t>
      </w:r>
      <w:r w:rsidR="00354FAA" w:rsidRPr="00F42DA8">
        <w:rPr>
          <w:rFonts w:eastAsia="Calibri"/>
          <w:szCs w:val="28"/>
        </w:rPr>
        <w:t>збігається</w:t>
      </w:r>
      <w:r w:rsidRPr="00F42DA8">
        <w:rPr>
          <w:rFonts w:eastAsia="Calibri"/>
          <w:szCs w:val="28"/>
        </w:rPr>
        <w:t xml:space="preserve"> за</w:t>
      </w:r>
      <w:r w:rsidRPr="00F31C64">
        <w:rPr>
          <w:rFonts w:eastAsia="Calibri"/>
          <w:szCs w:val="28"/>
        </w:rPr>
        <w:t xml:space="preserve"> суттю, та потребує відповідного корегування.  </w:t>
      </w:r>
    </w:p>
    <w:p w14:paraId="31E45637" w14:textId="4DF0CC58" w:rsidR="00E97AD1" w:rsidRPr="00F31C64" w:rsidRDefault="00E97AD1" w:rsidP="00E97AD1">
      <w:pPr>
        <w:numPr>
          <w:ilvl w:val="0"/>
          <w:numId w:val="7"/>
        </w:numPr>
        <w:suppressAutoHyphens w:val="0"/>
        <w:ind w:firstLine="709"/>
        <w:contextualSpacing/>
        <w:jc w:val="both"/>
        <w:rPr>
          <w:rFonts w:eastAsia="Calibri"/>
          <w:szCs w:val="28"/>
        </w:rPr>
      </w:pPr>
      <w:r w:rsidRPr="00F31C64">
        <w:rPr>
          <w:rFonts w:eastAsia="Calibri"/>
          <w:szCs w:val="28"/>
        </w:rPr>
        <w:t xml:space="preserve">8.4. Згідно із п.п. 15-17 ч. 5 ст. 8  національний регулятор: забезпечує сумісність інформаційної системи (мережі) про заходи державного нагляду (контролю) у сфері надання послуг поштового зв’язку з інтегрованою (автоматизованою) системою державного (контролю); затверджує форму </w:t>
      </w:r>
      <w:r w:rsidRPr="00F31C64">
        <w:rPr>
          <w:rFonts w:eastAsia="Calibri"/>
          <w:szCs w:val="28"/>
        </w:rPr>
        <w:lastRenderedPageBreak/>
        <w:t>повідомлення про проведення планового заходу державного нагляду (контролю) у сфері надання універсальних послуг поштового зв’язку.</w:t>
      </w:r>
    </w:p>
    <w:p w14:paraId="1FCC4184" w14:textId="77777777" w:rsidR="00E97AD1" w:rsidRPr="00F42DA8" w:rsidRDefault="00E97AD1" w:rsidP="00E97AD1">
      <w:pPr>
        <w:numPr>
          <w:ilvl w:val="0"/>
          <w:numId w:val="7"/>
        </w:numPr>
        <w:suppressAutoHyphens w:val="0"/>
        <w:ind w:firstLine="709"/>
        <w:contextualSpacing/>
        <w:jc w:val="both"/>
        <w:rPr>
          <w:rFonts w:eastAsia="Calibri"/>
          <w:szCs w:val="28"/>
        </w:rPr>
      </w:pPr>
      <w:r w:rsidRPr="00F31C64">
        <w:rPr>
          <w:rFonts w:eastAsia="Calibri"/>
          <w:szCs w:val="28"/>
        </w:rPr>
        <w:t xml:space="preserve">Виходячи з того, що інтегрована автоматизована система державного нагляду є єдиною автоматизованою системою збирання, накопичення та систематизації інформації про заходи державного контролю, інтероперабельність цих систем мала б досягатись за рахунок приписів щодо </w:t>
      </w:r>
      <w:r w:rsidRPr="00F42DA8">
        <w:rPr>
          <w:rFonts w:eastAsia="Calibri"/>
          <w:szCs w:val="28"/>
        </w:rPr>
        <w:t>обов’язковості машиночитаного формату даних в такій інформаційній системі, що доцільно зазначити.</w:t>
      </w:r>
    </w:p>
    <w:p w14:paraId="79FA2E01" w14:textId="1A630AAE" w:rsidR="00E97AD1" w:rsidRPr="00F31C64" w:rsidRDefault="00E97AD1" w:rsidP="00E97AD1">
      <w:pPr>
        <w:numPr>
          <w:ilvl w:val="0"/>
          <w:numId w:val="7"/>
        </w:numPr>
        <w:suppressAutoHyphens w:val="0"/>
        <w:ind w:firstLine="709"/>
        <w:contextualSpacing/>
        <w:jc w:val="both"/>
        <w:rPr>
          <w:rFonts w:eastAsia="Calibri"/>
          <w:szCs w:val="28"/>
        </w:rPr>
      </w:pPr>
      <w:r w:rsidRPr="00F42DA8">
        <w:rPr>
          <w:rFonts w:eastAsia="Calibri"/>
          <w:b/>
          <w:szCs w:val="28"/>
          <w:lang w:val="ru-RU"/>
        </w:rPr>
        <w:t>9</w:t>
      </w:r>
      <w:r w:rsidRPr="00F42DA8">
        <w:rPr>
          <w:rFonts w:eastAsia="Calibri"/>
          <w:b/>
          <w:szCs w:val="28"/>
        </w:rPr>
        <w:t>.</w:t>
      </w:r>
      <w:r w:rsidRPr="00F42DA8">
        <w:rPr>
          <w:rFonts w:eastAsia="Calibri"/>
          <w:szCs w:val="28"/>
        </w:rPr>
        <w:t xml:space="preserve"> У ч. 6 ст. 9 проекту йдеться про застосування національним регулятором адміністративних стягнень (приписів або розпоряджень). Враховуючи, що у ч. 2 ст. 9 проекту зазначено, що державний нагляд здійсню</w:t>
      </w:r>
      <w:r w:rsidR="00354FAA" w:rsidRPr="00F42DA8">
        <w:rPr>
          <w:rFonts w:eastAsia="Calibri"/>
          <w:szCs w:val="28"/>
        </w:rPr>
        <w:t>є</w:t>
      </w:r>
      <w:r w:rsidRPr="00F42DA8">
        <w:rPr>
          <w:rFonts w:eastAsia="Calibri"/>
          <w:szCs w:val="28"/>
        </w:rPr>
        <w:t>ться національним регулятором, в тому числі, відповідно до Закону України «Про основні засади державного нагляду (контролю) у сфері господарської діяльності</w:t>
      </w:r>
      <w:r w:rsidRPr="00F31C64">
        <w:rPr>
          <w:rFonts w:eastAsia="Calibri"/>
          <w:szCs w:val="28"/>
        </w:rPr>
        <w:t xml:space="preserve">», мова мала б йти не про «адміністративні стягнення», а про </w:t>
      </w:r>
      <w:r w:rsidRPr="00F31C64">
        <w:rPr>
          <w:rFonts w:eastAsia="Calibri"/>
          <w:bCs/>
          <w:szCs w:val="28"/>
        </w:rPr>
        <w:t>відповідні</w:t>
      </w:r>
      <w:r w:rsidRPr="00F31C64">
        <w:rPr>
          <w:rFonts w:eastAsia="Calibri"/>
          <w:b/>
          <w:bCs/>
          <w:szCs w:val="28"/>
        </w:rPr>
        <w:t xml:space="preserve"> </w:t>
      </w:r>
      <w:r w:rsidRPr="00F31C64">
        <w:rPr>
          <w:rFonts w:eastAsia="Calibri"/>
          <w:szCs w:val="28"/>
        </w:rPr>
        <w:t>«санкції».</w:t>
      </w:r>
    </w:p>
    <w:p w14:paraId="0DC3E064" w14:textId="77777777" w:rsidR="00E97AD1" w:rsidRPr="00F42DA8" w:rsidRDefault="00E97AD1" w:rsidP="00E97AD1">
      <w:pPr>
        <w:tabs>
          <w:tab w:val="left" w:pos="0"/>
        </w:tabs>
        <w:ind w:right="-2" w:firstLine="709"/>
        <w:jc w:val="both"/>
        <w:rPr>
          <w:rFonts w:eastAsia="Calibri"/>
          <w:bCs/>
          <w:szCs w:val="28"/>
        </w:rPr>
      </w:pPr>
      <w:r w:rsidRPr="00F31C64">
        <w:rPr>
          <w:rFonts w:eastAsia="Calibri"/>
          <w:szCs w:val="28"/>
        </w:rPr>
        <w:t>Крім того, звертаємо увагу на те, що у ст. 2 Закону України «Про основні засади державного нагляду (контролю) у сфері господарської діяльності» відсутні положення про особливості його дії на відносини у сфері надання універсальних послуг поштового зв’язку, а зміни до згаданого Закону не передбачені у розділі ІІ «Прикінцеві та перехідні положення»</w:t>
      </w:r>
      <w:r w:rsidRPr="00F31C64">
        <w:rPr>
          <w:rFonts w:eastAsia="Calibri"/>
          <w:bCs/>
          <w:szCs w:val="28"/>
        </w:rPr>
        <w:t xml:space="preserve"> проекту. Разом з тим, значна частина особливостей </w:t>
      </w:r>
      <w:r w:rsidRPr="00F31C64">
        <w:rPr>
          <w:rFonts w:eastAsia="Calibri"/>
          <w:szCs w:val="28"/>
        </w:rPr>
        <w:t>державного нагляду (контролю) у сфері</w:t>
      </w:r>
      <w:r w:rsidRPr="00F31C64">
        <w:rPr>
          <w:rFonts w:eastAsia="Calibri"/>
          <w:bCs/>
          <w:szCs w:val="28"/>
        </w:rPr>
        <w:t xml:space="preserve"> </w:t>
      </w:r>
      <w:r w:rsidRPr="00F31C64">
        <w:rPr>
          <w:rFonts w:eastAsia="Calibri"/>
          <w:szCs w:val="28"/>
        </w:rPr>
        <w:t xml:space="preserve">надання універсальних послуг поштового зв’язку у ст. 9 проекту безпосередньо </w:t>
      </w:r>
      <w:r w:rsidRPr="00F42DA8">
        <w:rPr>
          <w:rFonts w:eastAsia="Calibri"/>
          <w:szCs w:val="28"/>
        </w:rPr>
        <w:t>пов’язана з Законом України «Про основні засади державного нагляду (контролю) у сфері господарської діяльності».</w:t>
      </w:r>
      <w:r w:rsidRPr="00F42DA8">
        <w:rPr>
          <w:rFonts w:eastAsia="Calibri"/>
          <w:bCs/>
          <w:szCs w:val="28"/>
        </w:rPr>
        <w:t xml:space="preserve"> </w:t>
      </w:r>
    </w:p>
    <w:p w14:paraId="1BAF9FE4" w14:textId="7C53203B" w:rsidR="00E97AD1" w:rsidRPr="00F42DA8" w:rsidRDefault="00E97AD1" w:rsidP="00E97AD1">
      <w:pPr>
        <w:numPr>
          <w:ilvl w:val="0"/>
          <w:numId w:val="7"/>
        </w:numPr>
        <w:suppressAutoHyphens w:val="0"/>
        <w:ind w:firstLine="709"/>
        <w:contextualSpacing/>
        <w:jc w:val="both"/>
        <w:rPr>
          <w:rFonts w:eastAsia="Calibri"/>
          <w:szCs w:val="28"/>
        </w:rPr>
      </w:pPr>
      <w:r w:rsidRPr="00F42DA8">
        <w:rPr>
          <w:rFonts w:eastAsia="Calibri"/>
          <w:b/>
          <w:szCs w:val="28"/>
        </w:rPr>
        <w:t>1</w:t>
      </w:r>
      <w:r w:rsidR="00563849" w:rsidRPr="00F42DA8">
        <w:rPr>
          <w:rFonts w:eastAsia="Calibri"/>
          <w:b/>
          <w:szCs w:val="28"/>
          <w:lang w:val="ru-RU"/>
        </w:rPr>
        <w:t>0</w:t>
      </w:r>
      <w:r w:rsidRPr="00F42DA8">
        <w:rPr>
          <w:rFonts w:eastAsia="Calibri"/>
          <w:b/>
          <w:szCs w:val="28"/>
        </w:rPr>
        <w:t>.</w:t>
      </w:r>
      <w:r w:rsidRPr="00F42DA8">
        <w:rPr>
          <w:rFonts w:eastAsia="Calibri"/>
          <w:szCs w:val="28"/>
        </w:rPr>
        <w:t xml:space="preserve"> У ст. 12 проекту, яка присвячена питанням розвитку мереж і засобів поштового зв’язку, пропонується передбачити, що такий розвиток здійснюватиметься в тому числі й за рахунок «залучених або запозичених в установленому законодавством порядку коштів фізичних і юридичних осіб». Проте ні текст проекту</w:t>
      </w:r>
      <w:r w:rsidR="00354FAA" w:rsidRPr="00F42DA8">
        <w:rPr>
          <w:rFonts w:eastAsia="Calibri"/>
          <w:szCs w:val="28"/>
        </w:rPr>
        <w:t>,</w:t>
      </w:r>
      <w:r w:rsidRPr="00F42DA8">
        <w:rPr>
          <w:rFonts w:eastAsia="Calibri"/>
          <w:szCs w:val="28"/>
        </w:rPr>
        <w:t xml:space="preserve"> ні супровідні матеріали до нього не містять належного обґрунтування та деталізації такої пропозиції.</w:t>
      </w:r>
    </w:p>
    <w:p w14:paraId="3B95A08E" w14:textId="6B2B2942" w:rsidR="00E97AD1" w:rsidRPr="00F31C64" w:rsidRDefault="00E97AD1" w:rsidP="00E97AD1">
      <w:pPr>
        <w:numPr>
          <w:ilvl w:val="0"/>
          <w:numId w:val="7"/>
        </w:numPr>
        <w:suppressAutoHyphens w:val="0"/>
        <w:ind w:firstLine="709"/>
        <w:contextualSpacing/>
        <w:jc w:val="both"/>
        <w:rPr>
          <w:rFonts w:eastAsia="Calibri"/>
          <w:szCs w:val="28"/>
        </w:rPr>
      </w:pPr>
      <w:r w:rsidRPr="00F42DA8">
        <w:rPr>
          <w:rFonts w:eastAsia="Calibri"/>
          <w:b/>
          <w:szCs w:val="28"/>
        </w:rPr>
        <w:t>1</w:t>
      </w:r>
      <w:r w:rsidR="00563849" w:rsidRPr="00F42DA8">
        <w:rPr>
          <w:rFonts w:eastAsia="Calibri"/>
          <w:b/>
          <w:szCs w:val="28"/>
          <w:lang w:val="ru-RU"/>
        </w:rPr>
        <w:t>1</w:t>
      </w:r>
      <w:r w:rsidRPr="00F42DA8">
        <w:rPr>
          <w:rFonts w:eastAsia="Calibri"/>
          <w:b/>
          <w:szCs w:val="28"/>
        </w:rPr>
        <w:t>.</w:t>
      </w:r>
      <w:r w:rsidRPr="00F42DA8">
        <w:rPr>
          <w:rFonts w:eastAsia="Calibri"/>
          <w:szCs w:val="28"/>
        </w:rPr>
        <w:t xml:space="preserve"> У ст. 14 проекту, якою фактично унормовуються питання загального дозволу на провадження діяльності господарюючих суб’єктів у сфері поштових послуг, виклика</w:t>
      </w:r>
      <w:r w:rsidR="00354FAA" w:rsidRPr="00F42DA8">
        <w:rPr>
          <w:rFonts w:eastAsia="Calibri"/>
          <w:szCs w:val="28"/>
        </w:rPr>
        <w:t>є</w:t>
      </w:r>
      <w:r w:rsidRPr="00F42DA8">
        <w:rPr>
          <w:rFonts w:eastAsia="Calibri"/>
          <w:szCs w:val="28"/>
        </w:rPr>
        <w:t xml:space="preserve"> зауваження запропонована правова конструкція, за якою, у разі неотримання у встановлений</w:t>
      </w:r>
      <w:r w:rsidRPr="00F31C64">
        <w:rPr>
          <w:rFonts w:eastAsia="Calibri"/>
          <w:szCs w:val="28"/>
        </w:rPr>
        <w:t xml:space="preserve"> строк національним регулятором від оператора поштового зв’язку повідомлення про підтвердження відомостей про такого оператора, до реєстру операторів поштового зв’язку вноситься інформація про припинення здійснення господарської діяльності у сфері надання послуг поштового зв’язку таким оператором поштового зв’язку (ч. 6). На нашу думку, такі норми </w:t>
      </w:r>
      <w:r w:rsidRPr="00F31C64">
        <w:rPr>
          <w:rFonts w:eastAsia="Calibri"/>
          <w:i/>
          <w:iCs/>
          <w:szCs w:val="28"/>
        </w:rPr>
        <w:t>є непропорційними</w:t>
      </w:r>
      <w:r w:rsidRPr="00F31C64">
        <w:rPr>
          <w:rFonts w:eastAsia="Calibri"/>
          <w:szCs w:val="28"/>
        </w:rPr>
        <w:t>, та їм мало б передувати проведення відповідної перевірки. При цьому, в проекті відсутня регламентація порядку надсилання такого повідомлення. Аналогічні зауваження в повній мірі стосуються й положень ч. 1 ст. 30 проекту.</w:t>
      </w:r>
    </w:p>
    <w:p w14:paraId="763D404C" w14:textId="77777777" w:rsidR="00E97AD1" w:rsidRPr="00F31C64" w:rsidRDefault="00E97AD1" w:rsidP="00E97AD1">
      <w:pPr>
        <w:numPr>
          <w:ilvl w:val="0"/>
          <w:numId w:val="7"/>
        </w:numPr>
        <w:suppressAutoHyphens w:val="0"/>
        <w:ind w:firstLine="709"/>
        <w:contextualSpacing/>
        <w:jc w:val="both"/>
        <w:rPr>
          <w:rFonts w:eastAsia="Calibri"/>
          <w:szCs w:val="28"/>
        </w:rPr>
      </w:pPr>
      <w:r w:rsidRPr="00F31C64">
        <w:rPr>
          <w:rFonts w:eastAsia="Calibri"/>
          <w:szCs w:val="28"/>
        </w:rPr>
        <w:t xml:space="preserve">Принагідно звертаємо увагу на припис ч. 5 ст. 4 Закону України                         «Про основні засади державного нагляду (контролю) у сфері господарської діяльності», згідно із якими «надання послуг суб’єктами господарювання можуть бути зупинені повністю або частково </w:t>
      </w:r>
      <w:r w:rsidRPr="00F31C64">
        <w:rPr>
          <w:rFonts w:eastAsia="Calibri"/>
          <w:i/>
          <w:iCs/>
          <w:szCs w:val="28"/>
        </w:rPr>
        <w:t>виключно за рішенням суду</w:t>
      </w:r>
      <w:r w:rsidRPr="00F31C64">
        <w:rPr>
          <w:rFonts w:eastAsia="Calibri"/>
          <w:szCs w:val="28"/>
        </w:rPr>
        <w:t>».</w:t>
      </w:r>
    </w:p>
    <w:p w14:paraId="26D8A636" w14:textId="698E3258" w:rsidR="00E97AD1" w:rsidRPr="00F31C64" w:rsidRDefault="00E97AD1" w:rsidP="00E97AD1">
      <w:pPr>
        <w:numPr>
          <w:ilvl w:val="0"/>
          <w:numId w:val="7"/>
        </w:numPr>
        <w:suppressAutoHyphens w:val="0"/>
        <w:ind w:firstLine="709"/>
        <w:contextualSpacing/>
        <w:jc w:val="both"/>
        <w:rPr>
          <w:rFonts w:eastAsia="Calibri"/>
          <w:szCs w:val="28"/>
        </w:rPr>
      </w:pPr>
      <w:r w:rsidRPr="00F31C64">
        <w:rPr>
          <w:rFonts w:eastAsia="Calibri"/>
          <w:b/>
          <w:szCs w:val="28"/>
        </w:rPr>
        <w:lastRenderedPageBreak/>
        <w:t>1</w:t>
      </w:r>
      <w:r w:rsidR="00563849" w:rsidRPr="00F31C64">
        <w:rPr>
          <w:rFonts w:eastAsia="Calibri"/>
          <w:b/>
          <w:szCs w:val="28"/>
          <w:lang w:val="ru-RU"/>
        </w:rPr>
        <w:t>2</w:t>
      </w:r>
      <w:r w:rsidRPr="00F31C64">
        <w:rPr>
          <w:rFonts w:eastAsia="Calibri"/>
          <w:b/>
          <w:szCs w:val="28"/>
        </w:rPr>
        <w:t>.</w:t>
      </w:r>
      <w:r w:rsidRPr="00F31C64">
        <w:rPr>
          <w:rFonts w:eastAsia="Calibri"/>
          <w:szCs w:val="28"/>
        </w:rPr>
        <w:t xml:space="preserve"> Вбачається зайвим запропонований в ст. 17 проекту один з критеріїв, за яким визначатиметься призначений оператор поштового зв’язку, а саме – «здійснення обслуговування користувачів без будь-якої форми дискримінації, в тому числі без дискримінації, що є результатом політичних, релігійних або ідеологічних поглядів». Адже приписи ч. 1 ст. 24 Конституції України вже передбачають, що «не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мовними або іншими ознаками».</w:t>
      </w:r>
    </w:p>
    <w:p w14:paraId="606D302B" w14:textId="77777777" w:rsidR="00E97AD1" w:rsidRPr="00F31C64" w:rsidRDefault="00E97AD1" w:rsidP="00E97AD1">
      <w:pPr>
        <w:ind w:firstLine="708"/>
        <w:jc w:val="both"/>
        <w:rPr>
          <w:rFonts w:eastAsia="Calibri"/>
          <w:szCs w:val="28"/>
          <w:shd w:val="clear" w:color="auto" w:fill="FFFFFF"/>
        </w:rPr>
      </w:pPr>
      <w:r w:rsidRPr="00F31C64">
        <w:rPr>
          <w:rFonts w:eastAsia="Calibri"/>
          <w:szCs w:val="28"/>
        </w:rPr>
        <w:t xml:space="preserve">Також положення ч. 5 ст. 21 проекту відповідно до яких «оператор поштового зв’язку виділяє та створює робочі місця для працевлаштування осіб з інвалідністю у кількості, не меншій, ніж передбачено статтею 19 Закону України «Про основи соціальної захищеності осіб з інвалідністю в Україні» для виконання нормативу робочих місць, призначених для працевлаштування осіб з інвалідністю», на нашу думку, є зайвим, з огляду на те, що зазначений Закон поширює свою дію на </w:t>
      </w:r>
      <w:r w:rsidRPr="00F31C64">
        <w:rPr>
          <w:rFonts w:eastAsia="Calibri"/>
          <w:szCs w:val="28"/>
          <w:shd w:val="clear" w:color="auto" w:fill="FFFFFF"/>
        </w:rPr>
        <w:t>всі підприємства, установи, організації та фізичних осіб, які використовують найману працю, щодо обов’язку виділяти та створювати робочі місця для працевлаштування осіб з інвалідністю відповідно до встановлених нормативів.</w:t>
      </w:r>
    </w:p>
    <w:p w14:paraId="57DDD78F" w14:textId="3729B2F6" w:rsidR="00E97AD1" w:rsidRPr="00F42DA8" w:rsidRDefault="00354FAA" w:rsidP="00E97AD1">
      <w:pPr>
        <w:ind w:firstLine="708"/>
        <w:jc w:val="both"/>
        <w:rPr>
          <w:rFonts w:eastAsia="Calibri"/>
          <w:bCs/>
          <w:szCs w:val="28"/>
        </w:rPr>
      </w:pPr>
      <w:r>
        <w:rPr>
          <w:rFonts w:eastAsia="Calibri"/>
          <w:szCs w:val="28"/>
          <w:shd w:val="clear" w:color="auto" w:fill="FFFFFF"/>
        </w:rPr>
        <w:t xml:space="preserve">Крім того, </w:t>
      </w:r>
      <w:r w:rsidR="00E97AD1" w:rsidRPr="00F31C64">
        <w:rPr>
          <w:rFonts w:eastAsia="Calibri"/>
          <w:szCs w:val="28"/>
          <w:shd w:val="clear" w:color="auto" w:fill="FFFFFF"/>
        </w:rPr>
        <w:t>дублювання чинних положень законів допущено в</w:t>
      </w:r>
      <w:r w:rsidR="00E97AD1" w:rsidRPr="00F31C64">
        <w:rPr>
          <w:rFonts w:eastAsia="Calibri"/>
          <w:bCs/>
          <w:szCs w:val="28"/>
        </w:rPr>
        <w:t xml:space="preserve"> положеннях ст. 4 проекту (дублюють приписи ст. 35 «Державна мова у сфері телекомунікацій та </w:t>
      </w:r>
      <w:r w:rsidR="00E97AD1" w:rsidRPr="00F42DA8">
        <w:rPr>
          <w:rFonts w:eastAsia="Calibri"/>
          <w:bCs/>
          <w:szCs w:val="28"/>
        </w:rPr>
        <w:t xml:space="preserve">поштового зв’язку» Закону України «Про забезпечення функціонування української мови як державної»). </w:t>
      </w:r>
    </w:p>
    <w:p w14:paraId="74A35F0A" w14:textId="727BAB5B" w:rsidR="00E97AD1" w:rsidRPr="00F31C64" w:rsidRDefault="00E97AD1" w:rsidP="00E97AD1">
      <w:pPr>
        <w:ind w:firstLine="708"/>
        <w:jc w:val="both"/>
        <w:rPr>
          <w:rFonts w:eastAsia="Calibri"/>
          <w:szCs w:val="28"/>
        </w:rPr>
      </w:pPr>
      <w:r w:rsidRPr="00F42DA8">
        <w:rPr>
          <w:rFonts w:eastAsia="Calibri"/>
          <w:b/>
          <w:bCs/>
          <w:szCs w:val="28"/>
        </w:rPr>
        <w:t>1</w:t>
      </w:r>
      <w:r w:rsidR="00563849" w:rsidRPr="00F42DA8">
        <w:rPr>
          <w:rFonts w:eastAsia="Calibri"/>
          <w:b/>
          <w:bCs/>
          <w:szCs w:val="28"/>
        </w:rPr>
        <w:t>3</w:t>
      </w:r>
      <w:r w:rsidRPr="00F42DA8">
        <w:rPr>
          <w:rFonts w:eastAsia="Calibri"/>
          <w:b/>
          <w:bCs/>
          <w:szCs w:val="28"/>
        </w:rPr>
        <w:t xml:space="preserve">. </w:t>
      </w:r>
      <w:r w:rsidRPr="00F42DA8">
        <w:rPr>
          <w:rFonts w:eastAsia="Calibri"/>
          <w:szCs w:val="28"/>
        </w:rPr>
        <w:t>Передбачена у проекті модель регулювання діяльності персоналу, як і у чинному Законі</w:t>
      </w:r>
      <w:r w:rsidR="00354FAA" w:rsidRPr="00F42DA8">
        <w:rPr>
          <w:rFonts w:eastAsia="Calibri"/>
          <w:szCs w:val="28"/>
        </w:rPr>
        <w:t xml:space="preserve"> </w:t>
      </w:r>
      <w:r w:rsidR="00F42DA8" w:rsidRPr="00F42DA8">
        <w:rPr>
          <w:rFonts w:eastAsia="Calibri"/>
          <w:szCs w:val="28"/>
        </w:rPr>
        <w:t>України «Про поштовий зв'язок»</w:t>
      </w:r>
      <w:r w:rsidRPr="00F42DA8">
        <w:rPr>
          <w:rFonts w:eastAsia="Calibri"/>
          <w:szCs w:val="28"/>
        </w:rPr>
        <w:t>, не дає чіткого уявлення про правовий статус працівників, які забезпечують надання послуг поштового зв’язку – не вказано обсяг їх прав і обов’язків чи документ, який має визначати конкретну трудову функцію працівника, за виконання якої він нестиме відповідальність (трудовий договір, посадова інструкція). При цьому</w:t>
      </w:r>
      <w:r w:rsidR="00354FAA" w:rsidRPr="00F42DA8">
        <w:rPr>
          <w:rFonts w:eastAsia="Calibri"/>
          <w:szCs w:val="28"/>
        </w:rPr>
        <w:t>,</w:t>
      </w:r>
      <w:r w:rsidRPr="00F42DA8">
        <w:rPr>
          <w:rFonts w:eastAsia="Calibri"/>
          <w:szCs w:val="28"/>
        </w:rPr>
        <w:t xml:space="preserve"> у проекті пропонується виключити чинну норму, у якій вказано, що «трудові відносини персоналу оператора регулюються законодавством</w:t>
      </w:r>
      <w:r w:rsidRPr="00F31C64">
        <w:rPr>
          <w:rFonts w:eastAsia="Calibri"/>
          <w:szCs w:val="28"/>
        </w:rPr>
        <w:t xml:space="preserve"> України про працю та правилами внутрішнього трудового розпорядку».</w:t>
      </w:r>
    </w:p>
    <w:p w14:paraId="3A81F786" w14:textId="77777777" w:rsidR="00E97AD1" w:rsidRPr="00F31C64" w:rsidRDefault="00E97AD1" w:rsidP="00E97AD1">
      <w:pPr>
        <w:suppressAutoHyphens w:val="0"/>
        <w:ind w:firstLine="709"/>
        <w:jc w:val="both"/>
        <w:rPr>
          <w:rFonts w:eastAsia="Calibri"/>
          <w:szCs w:val="28"/>
        </w:rPr>
      </w:pPr>
      <w:r w:rsidRPr="00F31C64">
        <w:rPr>
          <w:rFonts w:eastAsia="Calibri"/>
          <w:szCs w:val="28"/>
        </w:rPr>
        <w:t>Зазначено лише, що «персонал оператора поштового зв’язку, який задіяний для обслуговування користувачів, зобов’язаний дотримуватись загальноприйнятих правил поведінки, культури спілкування та етики під час обслуговування користувачів. У разі звернення осіб з інвалідністю, пенсіонерів та осіб, які потребують сторонньої допомоги, надає допомогу під час їх обслуговування в об’єктах поштового зв’язку» та обов’язок оператора поштового зв’язку організовувати навчання персоналу, який задіяний до обслуговування користувачів, з урахуванням потреб осіб з інвалідністю (ст. 21 проекту).</w:t>
      </w:r>
    </w:p>
    <w:p w14:paraId="270190F2" w14:textId="0D69B17B" w:rsidR="00E97AD1" w:rsidRPr="00F42DA8" w:rsidRDefault="00E97AD1" w:rsidP="00E97AD1">
      <w:pPr>
        <w:numPr>
          <w:ilvl w:val="0"/>
          <w:numId w:val="7"/>
        </w:numPr>
        <w:suppressAutoHyphens w:val="0"/>
        <w:ind w:firstLine="709"/>
        <w:contextualSpacing/>
        <w:jc w:val="both"/>
        <w:rPr>
          <w:rFonts w:eastAsia="Calibri"/>
          <w:szCs w:val="28"/>
        </w:rPr>
      </w:pPr>
      <w:r w:rsidRPr="00F31C64">
        <w:rPr>
          <w:rFonts w:eastAsia="Calibri"/>
          <w:b/>
          <w:szCs w:val="28"/>
        </w:rPr>
        <w:t>1</w:t>
      </w:r>
      <w:r w:rsidR="00563849" w:rsidRPr="00F31C64">
        <w:rPr>
          <w:rFonts w:eastAsia="Calibri"/>
          <w:b/>
          <w:szCs w:val="28"/>
        </w:rPr>
        <w:t>4</w:t>
      </w:r>
      <w:r w:rsidRPr="00F31C64">
        <w:rPr>
          <w:rFonts w:eastAsia="Calibri"/>
          <w:b/>
          <w:szCs w:val="28"/>
        </w:rPr>
        <w:t>.</w:t>
      </w:r>
      <w:r w:rsidRPr="00F31C64">
        <w:rPr>
          <w:rFonts w:eastAsia="Calibri"/>
          <w:szCs w:val="28"/>
        </w:rPr>
        <w:t xml:space="preserve"> З метою узгодження положень ч. 3 ст. 25 проекту з термінологією чинного Закону України «Про автомобільний транспорт» доцільно замість терміну «транспортні засоби </w:t>
      </w:r>
      <w:r w:rsidRPr="00F31C64">
        <w:rPr>
          <w:rFonts w:eastAsia="Calibri"/>
          <w:i/>
          <w:szCs w:val="28"/>
        </w:rPr>
        <w:t>спеціального</w:t>
      </w:r>
      <w:r w:rsidRPr="00F31C64">
        <w:rPr>
          <w:rFonts w:eastAsia="Calibri"/>
          <w:szCs w:val="28"/>
        </w:rPr>
        <w:t xml:space="preserve"> призначення» вживати термін «транспорті </w:t>
      </w:r>
      <w:r w:rsidRPr="00F42DA8">
        <w:rPr>
          <w:rFonts w:eastAsia="Calibri"/>
          <w:szCs w:val="28"/>
        </w:rPr>
        <w:t xml:space="preserve">засоби </w:t>
      </w:r>
      <w:r w:rsidRPr="00F42DA8">
        <w:rPr>
          <w:rFonts w:eastAsia="Calibri"/>
          <w:i/>
          <w:szCs w:val="28"/>
        </w:rPr>
        <w:t>спеціалізованого</w:t>
      </w:r>
      <w:r w:rsidRPr="00F42DA8">
        <w:rPr>
          <w:rFonts w:eastAsia="Calibri"/>
          <w:szCs w:val="28"/>
        </w:rPr>
        <w:t xml:space="preserve"> призначення», </w:t>
      </w:r>
      <w:r w:rsidRPr="00F42DA8">
        <w:rPr>
          <w:rFonts w:eastAsia="Calibri"/>
          <w:bCs/>
          <w:szCs w:val="28"/>
        </w:rPr>
        <w:t xml:space="preserve">до яких, згідно із </w:t>
      </w:r>
      <w:r w:rsidRPr="00F42DA8">
        <w:rPr>
          <w:rFonts w:eastAsia="Calibri"/>
          <w:bCs/>
          <w:szCs w:val="28"/>
        </w:rPr>
        <w:lastRenderedPageBreak/>
        <w:t xml:space="preserve">визначенням </w:t>
      </w:r>
      <w:r w:rsidR="00354FAA" w:rsidRPr="00F42DA8">
        <w:rPr>
          <w:rFonts w:eastAsia="Calibri"/>
          <w:bCs/>
          <w:szCs w:val="28"/>
        </w:rPr>
        <w:t>у</w:t>
      </w:r>
      <w:r w:rsidRPr="00F42DA8">
        <w:rPr>
          <w:rFonts w:eastAsia="Calibri"/>
          <w:bCs/>
          <w:szCs w:val="28"/>
        </w:rPr>
        <w:t xml:space="preserve"> ст. 1 згаданого Закону, слід відносити транспортні засоби, які призначені для перевезення певних категорій пасажирів чи вантажів (автобус для перевезення дітей, осіб з інвалідністю, пасажирів певних професій, самоскид, цистерна, сідельний тягач, фургон, спеціалізований санітарний автомобіль екстреної медичної допомоги, автомобіль інкасації, ритуальний автомобіль тощо) та мають спеціальне обладнання (таксі, броньований, обладнаний спеціальними світловими і звуковими сигнальними пристроями тощо).</w:t>
      </w:r>
    </w:p>
    <w:p w14:paraId="02224F69" w14:textId="2ACA730F" w:rsidR="00E97AD1" w:rsidRPr="00F42DA8" w:rsidRDefault="00E97AD1" w:rsidP="00E97AD1">
      <w:pPr>
        <w:numPr>
          <w:ilvl w:val="0"/>
          <w:numId w:val="7"/>
        </w:numPr>
        <w:suppressAutoHyphens w:val="0"/>
        <w:ind w:firstLine="709"/>
        <w:contextualSpacing/>
        <w:jc w:val="both"/>
        <w:rPr>
          <w:rFonts w:eastAsia="Calibri"/>
          <w:szCs w:val="28"/>
        </w:rPr>
      </w:pPr>
      <w:r w:rsidRPr="00F42DA8">
        <w:rPr>
          <w:rFonts w:eastAsia="Calibri"/>
          <w:b/>
          <w:szCs w:val="28"/>
        </w:rPr>
        <w:t>1</w:t>
      </w:r>
      <w:r w:rsidR="00563849" w:rsidRPr="00F42DA8">
        <w:rPr>
          <w:rFonts w:eastAsia="Calibri"/>
          <w:b/>
          <w:szCs w:val="28"/>
          <w:lang w:val="ru-RU"/>
        </w:rPr>
        <w:t>5</w:t>
      </w:r>
      <w:r w:rsidRPr="00F42DA8">
        <w:rPr>
          <w:rFonts w:eastAsia="Calibri"/>
          <w:b/>
          <w:szCs w:val="28"/>
        </w:rPr>
        <w:t>.</w:t>
      </w:r>
      <w:r w:rsidRPr="00F42DA8">
        <w:rPr>
          <w:rFonts w:eastAsia="Calibri"/>
          <w:szCs w:val="28"/>
        </w:rPr>
        <w:t xml:space="preserve"> У прикінцевих положеннях проекту пропонується доручити центральному органу виконавчої влади, що забезпечує формування та реалізує державну політику у сфері надання послуг поштового зв’язку до дня введення в дію цього Закону забезпечити прийняття нормативно-правових актів, необхідних для реалізації цього Закону. Звертаємо увагу, що надання доручень центральним органам виконавчої влади не віднесено до повноважень Верховної Ради України, визначених </w:t>
      </w:r>
      <w:r w:rsidR="00354FAA" w:rsidRPr="00F42DA8">
        <w:rPr>
          <w:rFonts w:eastAsia="Calibri"/>
          <w:szCs w:val="28"/>
        </w:rPr>
        <w:t>у</w:t>
      </w:r>
      <w:r w:rsidRPr="00F42DA8">
        <w:rPr>
          <w:rFonts w:eastAsia="Calibri"/>
          <w:szCs w:val="28"/>
        </w:rPr>
        <w:t xml:space="preserve"> ст. 85 Конституції України.</w:t>
      </w:r>
    </w:p>
    <w:p w14:paraId="794D2B29" w14:textId="21C0700F" w:rsidR="00E97AD1" w:rsidRPr="00F31C64" w:rsidRDefault="00E97AD1" w:rsidP="00E97AD1">
      <w:pPr>
        <w:numPr>
          <w:ilvl w:val="0"/>
          <w:numId w:val="7"/>
        </w:numPr>
        <w:suppressAutoHyphens w:val="0"/>
        <w:ind w:firstLine="709"/>
        <w:contextualSpacing/>
        <w:jc w:val="both"/>
        <w:rPr>
          <w:rFonts w:eastAsia="Calibri"/>
          <w:bCs/>
          <w:szCs w:val="28"/>
        </w:rPr>
      </w:pPr>
      <w:r w:rsidRPr="00F42DA8">
        <w:rPr>
          <w:rFonts w:eastAsia="Calibri"/>
          <w:b/>
          <w:bCs/>
          <w:szCs w:val="28"/>
        </w:rPr>
        <w:t>1</w:t>
      </w:r>
      <w:r w:rsidR="00563849" w:rsidRPr="00F42DA8">
        <w:rPr>
          <w:rFonts w:eastAsia="Calibri"/>
          <w:b/>
          <w:bCs/>
          <w:szCs w:val="28"/>
        </w:rPr>
        <w:t>6</w:t>
      </w:r>
      <w:r w:rsidRPr="00F42DA8">
        <w:rPr>
          <w:rFonts w:eastAsia="Calibri"/>
          <w:b/>
          <w:bCs/>
          <w:szCs w:val="28"/>
        </w:rPr>
        <w:t>.</w:t>
      </w:r>
      <w:r w:rsidRPr="00F42DA8">
        <w:rPr>
          <w:rFonts w:eastAsia="Calibri"/>
          <w:bCs/>
          <w:szCs w:val="28"/>
        </w:rPr>
        <w:t xml:space="preserve"> Крім вищезазначеного</w:t>
      </w:r>
      <w:r w:rsidRPr="00F31C64">
        <w:rPr>
          <w:rFonts w:eastAsia="Calibri"/>
          <w:bCs/>
          <w:szCs w:val="28"/>
        </w:rPr>
        <w:t>, на нашу думку, в проекті Закону доцільно було б детальніше приділити також увагу питанням: деталізації повноважень національного регулятора щодо засобів забезпечення правил конкуренції в сфері послуг поштового зв’язку (в контексті аналізу ситуації на ринку поштових послуг, вимог щодо звітності операторів поштових послуг тощо); забезпечення користувачів та господарюючих суб’єктів ефективними механізмами подання та розгляду скарг; впровадження вичерпного переліку прав та обов’язків поштових операторів; механізмів фінансового забезпечення надання універсальної послуги на всій території України (зокрема – у віддалених районах з невеликою кількістю населення).</w:t>
      </w:r>
    </w:p>
    <w:p w14:paraId="10F05D55" w14:textId="45BEECC7" w:rsidR="00E97AD1" w:rsidRPr="00F31C64" w:rsidRDefault="00E97AD1" w:rsidP="00E97AD1">
      <w:pPr>
        <w:widowControl w:val="0"/>
        <w:suppressAutoHyphens w:val="0"/>
        <w:overflowPunct w:val="0"/>
        <w:ind w:right="-2" w:firstLine="709"/>
        <w:contextualSpacing/>
        <w:jc w:val="both"/>
        <w:rPr>
          <w:rFonts w:eastAsia="Calibri"/>
          <w:szCs w:val="28"/>
        </w:rPr>
      </w:pPr>
    </w:p>
    <w:p w14:paraId="488E7A44" w14:textId="77777777" w:rsidR="00E97AD1" w:rsidRPr="00F31C64" w:rsidRDefault="00E97AD1" w:rsidP="00E97AD1">
      <w:pPr>
        <w:widowControl w:val="0"/>
        <w:suppressAutoHyphens w:val="0"/>
        <w:overflowPunct w:val="0"/>
        <w:ind w:right="-2" w:firstLine="709"/>
        <w:contextualSpacing/>
        <w:jc w:val="both"/>
        <w:rPr>
          <w:rFonts w:eastAsia="Calibri"/>
          <w:szCs w:val="28"/>
        </w:rPr>
      </w:pPr>
    </w:p>
    <w:p w14:paraId="70392FFC" w14:textId="77777777" w:rsidR="00E97AD1" w:rsidRPr="00F31C64" w:rsidRDefault="00E97AD1" w:rsidP="00E97AD1">
      <w:pPr>
        <w:tabs>
          <w:tab w:val="left" w:pos="0"/>
        </w:tabs>
        <w:ind w:right="-2" w:firstLine="709"/>
        <w:jc w:val="both"/>
        <w:rPr>
          <w:rFonts w:eastAsia="Calibri"/>
          <w:szCs w:val="28"/>
        </w:rPr>
      </w:pPr>
      <w:r w:rsidRPr="00F31C64">
        <w:rPr>
          <w:rFonts w:eastAsia="Calibri"/>
          <w:szCs w:val="28"/>
        </w:rPr>
        <w:t>Керівник Головного управління                                              С. Тихонюк</w:t>
      </w:r>
      <w:bookmarkStart w:id="1" w:name="_GoBack1"/>
      <w:bookmarkEnd w:id="1"/>
    </w:p>
    <w:p w14:paraId="5CF2D9E5" w14:textId="77777777" w:rsidR="00E97AD1" w:rsidRDefault="00E97AD1" w:rsidP="00E97AD1">
      <w:pPr>
        <w:tabs>
          <w:tab w:val="left" w:pos="0"/>
        </w:tabs>
        <w:ind w:right="-2" w:firstLine="709"/>
        <w:jc w:val="both"/>
        <w:rPr>
          <w:rFonts w:eastAsia="Calibri"/>
          <w:szCs w:val="28"/>
        </w:rPr>
      </w:pPr>
    </w:p>
    <w:p w14:paraId="08650610" w14:textId="77777777" w:rsidR="00F31C64" w:rsidRPr="00F31C64" w:rsidRDefault="00F31C64" w:rsidP="00E97AD1">
      <w:pPr>
        <w:tabs>
          <w:tab w:val="left" w:pos="0"/>
        </w:tabs>
        <w:ind w:right="-2" w:firstLine="709"/>
        <w:jc w:val="both"/>
        <w:rPr>
          <w:rFonts w:eastAsia="Calibri"/>
          <w:szCs w:val="28"/>
        </w:rPr>
      </w:pPr>
    </w:p>
    <w:p w14:paraId="59123527" w14:textId="77777777" w:rsidR="00E97AD1" w:rsidRDefault="00E97AD1" w:rsidP="00E97AD1">
      <w:pPr>
        <w:tabs>
          <w:tab w:val="left" w:pos="0"/>
        </w:tabs>
        <w:ind w:right="-2" w:firstLine="709"/>
        <w:jc w:val="both"/>
        <w:rPr>
          <w:rFonts w:eastAsia="Calibri"/>
          <w:sz w:val="20"/>
          <w:szCs w:val="20"/>
          <w:lang w:val="ru-RU"/>
        </w:rPr>
      </w:pPr>
      <w:r w:rsidRPr="00E97AD1">
        <w:rPr>
          <w:rFonts w:eastAsia="Calibri"/>
          <w:color w:val="000000" w:themeColor="text1"/>
          <w:sz w:val="20"/>
          <w:szCs w:val="28"/>
        </w:rPr>
        <w:t xml:space="preserve">Вик.: О. Макаренко, В. Грицак, </w:t>
      </w:r>
      <w:r w:rsidRPr="00E97AD1">
        <w:rPr>
          <w:rFonts w:eastAsia="Calibri"/>
          <w:sz w:val="20"/>
          <w:szCs w:val="20"/>
        </w:rPr>
        <w:t>Л. Демчук</w:t>
      </w:r>
      <w:r w:rsidRPr="00E97AD1">
        <w:rPr>
          <w:rFonts w:eastAsia="Calibri"/>
          <w:sz w:val="20"/>
          <w:szCs w:val="20"/>
          <w:lang w:val="ru-RU"/>
        </w:rPr>
        <w:t xml:space="preserve">, </w:t>
      </w:r>
    </w:p>
    <w:p w14:paraId="0F88EF31" w14:textId="68A690E9" w:rsidR="00E97AD1" w:rsidRPr="002E10DF" w:rsidRDefault="00E97AD1" w:rsidP="00E97AD1">
      <w:pPr>
        <w:tabs>
          <w:tab w:val="left" w:pos="0"/>
        </w:tabs>
        <w:ind w:right="-2" w:firstLine="709"/>
        <w:jc w:val="both"/>
        <w:rPr>
          <w:rStyle w:val="st1"/>
          <w:szCs w:val="28"/>
        </w:rPr>
      </w:pPr>
      <w:r w:rsidRPr="00E97AD1">
        <w:rPr>
          <w:rFonts w:eastAsia="Calibri"/>
          <w:sz w:val="20"/>
          <w:szCs w:val="20"/>
        </w:rPr>
        <w:t xml:space="preserve">Т. Макійчук, </w:t>
      </w:r>
      <w:r w:rsidRPr="00E97AD1">
        <w:rPr>
          <w:rFonts w:eastAsia="Calibri"/>
          <w:color w:val="000000" w:themeColor="text1"/>
          <w:sz w:val="20"/>
          <w:szCs w:val="28"/>
        </w:rPr>
        <w:t>Е. Вальковський</w:t>
      </w:r>
    </w:p>
    <w:sectPr w:rsidR="00E97AD1" w:rsidRPr="002E10DF" w:rsidSect="00EA4783">
      <w:headerReference w:type="default" r:id="rId8"/>
      <w:headerReference w:type="first" r:id="rId9"/>
      <w:pgSz w:w="11906" w:h="16838"/>
      <w:pgMar w:top="1134" w:right="567" w:bottom="1134" w:left="1701" w:header="709" w:footer="0" w:gutter="0"/>
      <w:cols w:space="720"/>
      <w:formProt w:val="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D28466" w14:textId="77777777" w:rsidR="00465961" w:rsidRDefault="00465961">
      <w:r>
        <w:separator/>
      </w:r>
    </w:p>
  </w:endnote>
  <w:endnote w:type="continuationSeparator" w:id="0">
    <w:p w14:paraId="59C3BA44" w14:textId="77777777" w:rsidR="00465961" w:rsidRDefault="00465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B671B0" w14:textId="77777777" w:rsidR="00465961" w:rsidRDefault="00465961">
      <w:pPr>
        <w:rPr>
          <w:sz w:val="12"/>
        </w:rPr>
      </w:pPr>
      <w:r>
        <w:separator/>
      </w:r>
    </w:p>
  </w:footnote>
  <w:footnote w:type="continuationSeparator" w:id="0">
    <w:p w14:paraId="1AF15B7B" w14:textId="77777777" w:rsidR="00465961" w:rsidRDefault="00465961">
      <w:pPr>
        <w:rPr>
          <w:sz w:val="12"/>
        </w:rPr>
      </w:pPr>
      <w:r>
        <w:continuationSeparator/>
      </w:r>
    </w:p>
  </w:footnote>
  <w:footnote w:id="1">
    <w:p w14:paraId="0918450E" w14:textId="3A37A482" w:rsidR="00E7387C" w:rsidRDefault="00E7387C" w:rsidP="002E10DF">
      <w:pPr>
        <w:pStyle w:val="af3"/>
        <w:ind w:left="0" w:firstLine="709"/>
      </w:pPr>
      <w:r>
        <w:rPr>
          <w:rStyle w:val="af7"/>
        </w:rPr>
        <w:footnoteRef/>
      </w:r>
      <w:r>
        <w:t xml:space="preserve"> </w:t>
      </w:r>
      <w:r w:rsidR="00EA4783">
        <w:rPr>
          <w:lang w:val="en-US"/>
        </w:rPr>
        <w:t>URL</w:t>
      </w:r>
      <w:r w:rsidR="00EA4783" w:rsidRPr="00EA4783">
        <w:rPr>
          <w:lang w:val="en-US"/>
        </w:rPr>
        <w:t xml:space="preserve">: </w:t>
      </w:r>
      <w:r w:rsidRPr="0090680A">
        <w:t>http://curia.europa.eu/juris/showPdf.jsf?text=&amp;docid=69866&amp;pageIndex=0&amp;doclang=EN&amp;mode=lst&amp;dir=&amp;occ=first&amp;part=1&amp;cid=19176635</w:t>
      </w:r>
    </w:p>
  </w:footnote>
  <w:footnote w:id="2">
    <w:p w14:paraId="5DC99631" w14:textId="77777777" w:rsidR="00E97AD1" w:rsidRDefault="00E97AD1" w:rsidP="00E97AD1">
      <w:pPr>
        <w:pStyle w:val="af3"/>
        <w:ind w:left="0" w:firstLine="709"/>
      </w:pPr>
      <w:r>
        <w:rPr>
          <w:rStyle w:val="af7"/>
        </w:rPr>
        <w:footnoteRef/>
      </w:r>
      <w:r>
        <w:t xml:space="preserve"> </w:t>
      </w:r>
      <w:r>
        <w:rPr>
          <w:lang w:val="en-US"/>
        </w:rPr>
        <w:t>URL</w:t>
      </w:r>
      <w:r>
        <w:t>: http://curia.europa.eu/juris/document/document.jsf?text=&amp;docid=170311&amp;pageIndex=0&amp;doclang=en&amp;mode=lst&amp;dir=&amp;occ=first&amp;part=1&amp;cid=290318</w:t>
      </w:r>
    </w:p>
  </w:footnote>
  <w:footnote w:id="3">
    <w:p w14:paraId="1993CA64" w14:textId="77777777" w:rsidR="00E97AD1" w:rsidRDefault="00E97AD1" w:rsidP="00E97AD1">
      <w:pPr>
        <w:pStyle w:val="af3"/>
        <w:tabs>
          <w:tab w:val="left" w:pos="142"/>
        </w:tabs>
        <w:ind w:left="0" w:right="140" w:firstLine="709"/>
      </w:pPr>
      <w:r>
        <w:rPr>
          <w:rStyle w:val="af7"/>
        </w:rPr>
        <w:footnoteRef/>
      </w:r>
      <w:r>
        <w:t xml:space="preserve"> </w:t>
      </w:r>
      <w:r>
        <w:rPr>
          <w:lang w:val="en-US"/>
        </w:rPr>
        <w:t>URL</w:t>
      </w:r>
      <w:r>
        <w:t>: http://curia.europa.eu/juris/showPdf.jsf?text=&amp;docid=69866&amp;pageIndex=0&amp;doclang=EN&amp;mode=lst&amp;dir=&amp;occ=first&amp;part=1&amp;cid=19176635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8A3BC" w14:textId="1F9C95A5" w:rsidR="00BC10B4" w:rsidRDefault="007E50B5" w:rsidP="00B81EF8">
    <w:pPr>
      <w:pStyle w:val="af0"/>
      <w:jc w:val="center"/>
    </w:pPr>
    <w:r>
      <w:fldChar w:fldCharType="begin"/>
    </w:r>
    <w:r>
      <w:instrText>PAGE</w:instrText>
    </w:r>
    <w:r>
      <w:fldChar w:fldCharType="separate"/>
    </w:r>
    <w:r w:rsidR="00443492">
      <w:rPr>
        <w:noProof/>
      </w:rPr>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4F7047" w14:textId="7505AAB9" w:rsidR="00BC10B4" w:rsidRPr="00A413FE" w:rsidRDefault="007E50B5">
    <w:pPr>
      <w:pStyle w:val="af0"/>
      <w:tabs>
        <w:tab w:val="clear" w:pos="4819"/>
        <w:tab w:val="clear" w:pos="9639"/>
        <w:tab w:val="center" w:pos="4677"/>
        <w:tab w:val="right" w:pos="10179"/>
      </w:tabs>
      <w:ind w:right="-2"/>
      <w:jc w:val="right"/>
      <w:rPr>
        <w:sz w:val="20"/>
        <w:szCs w:val="20"/>
      </w:rPr>
    </w:pPr>
    <w:r w:rsidRPr="00A413FE">
      <w:rPr>
        <w:sz w:val="20"/>
        <w:szCs w:val="20"/>
      </w:rPr>
      <w:t xml:space="preserve">До реєстр. № </w:t>
    </w:r>
    <w:r w:rsidR="008A64C1">
      <w:rPr>
        <w:sz w:val="20"/>
        <w:szCs w:val="20"/>
      </w:rPr>
      <w:t>4353</w:t>
    </w:r>
    <w:r w:rsidR="008C07CB">
      <w:rPr>
        <w:sz w:val="20"/>
        <w:szCs w:val="20"/>
        <w:lang w:val="ru-RU"/>
      </w:rPr>
      <w:t>-1</w:t>
    </w:r>
    <w:r w:rsidRPr="00A413FE">
      <w:rPr>
        <w:sz w:val="20"/>
        <w:szCs w:val="20"/>
      </w:rPr>
      <w:t xml:space="preserve"> від </w:t>
    </w:r>
    <w:r w:rsidR="008C07CB">
      <w:rPr>
        <w:rFonts w:eastAsia="Times New Roman"/>
        <w:color w:val="000000"/>
        <w:sz w:val="20"/>
        <w:szCs w:val="20"/>
        <w:lang w:val="ru-RU" w:eastAsia="zh-CN"/>
      </w:rPr>
      <w:t>25</w:t>
    </w:r>
    <w:r w:rsidRPr="00A413FE">
      <w:rPr>
        <w:sz w:val="20"/>
        <w:szCs w:val="20"/>
      </w:rPr>
      <w:t>.</w:t>
    </w:r>
    <w:r w:rsidR="00BD56DA" w:rsidRPr="00A413FE">
      <w:rPr>
        <w:sz w:val="20"/>
        <w:szCs w:val="20"/>
      </w:rPr>
      <w:t>1</w:t>
    </w:r>
    <w:r w:rsidR="008A64C1">
      <w:rPr>
        <w:sz w:val="20"/>
        <w:szCs w:val="20"/>
      </w:rPr>
      <w:t>1</w:t>
    </w:r>
    <w:r w:rsidRPr="00A413FE">
      <w:rPr>
        <w:sz w:val="20"/>
        <w:szCs w:val="20"/>
      </w:rPr>
      <w:t>.2020</w:t>
    </w:r>
  </w:p>
  <w:p w14:paraId="2615C7A7" w14:textId="031C9B12" w:rsidR="00702F09" w:rsidRDefault="007E50B5" w:rsidP="00267681">
    <w:pPr>
      <w:pStyle w:val="af0"/>
      <w:jc w:val="right"/>
      <w:rPr>
        <w:sz w:val="20"/>
        <w:szCs w:val="20"/>
      </w:rPr>
    </w:pPr>
    <w:r w:rsidRPr="00A413FE">
      <w:rPr>
        <w:sz w:val="20"/>
        <w:szCs w:val="20"/>
      </w:rPr>
      <w:t>Н</w:t>
    </w:r>
    <w:r w:rsidR="00A70CEB" w:rsidRPr="00A413FE">
      <w:rPr>
        <w:sz w:val="20"/>
        <w:szCs w:val="20"/>
      </w:rPr>
      <w:t>ародн</w:t>
    </w:r>
    <w:r w:rsidR="000E2E75">
      <w:rPr>
        <w:sz w:val="20"/>
        <w:szCs w:val="20"/>
      </w:rPr>
      <w:t>і</w:t>
    </w:r>
    <w:r w:rsidR="00A70CEB" w:rsidRPr="00A413FE">
      <w:rPr>
        <w:sz w:val="20"/>
        <w:szCs w:val="20"/>
      </w:rPr>
      <w:t xml:space="preserve"> депутат</w:t>
    </w:r>
    <w:r w:rsidR="000E2E75">
      <w:rPr>
        <w:sz w:val="20"/>
        <w:szCs w:val="20"/>
      </w:rPr>
      <w:t>и</w:t>
    </w:r>
    <w:r w:rsidR="00A70CEB" w:rsidRPr="00A413FE">
      <w:rPr>
        <w:sz w:val="20"/>
        <w:szCs w:val="20"/>
      </w:rPr>
      <w:t xml:space="preserve"> </w:t>
    </w:r>
    <w:r w:rsidRPr="00A413FE">
      <w:rPr>
        <w:sz w:val="20"/>
        <w:szCs w:val="20"/>
      </w:rPr>
      <w:t xml:space="preserve">України </w:t>
    </w:r>
  </w:p>
  <w:p w14:paraId="01038BA4" w14:textId="565F67E8" w:rsidR="00267681" w:rsidRPr="00267681" w:rsidRDefault="008A64C1" w:rsidP="00267681">
    <w:pPr>
      <w:pStyle w:val="af0"/>
      <w:jc w:val="right"/>
      <w:rPr>
        <w:rFonts w:eastAsia="Times New Roman"/>
        <w:color w:val="000000"/>
        <w:sz w:val="20"/>
        <w:szCs w:val="20"/>
        <w:lang w:eastAsia="zh-CN"/>
      </w:rPr>
    </w:pPr>
    <w:r>
      <w:rPr>
        <w:sz w:val="20"/>
        <w:szCs w:val="20"/>
      </w:rPr>
      <w:t xml:space="preserve">М. </w:t>
    </w:r>
    <w:r w:rsidR="00655729">
      <w:rPr>
        <w:sz w:val="20"/>
        <w:szCs w:val="20"/>
        <w:lang w:val="ru-RU"/>
      </w:rPr>
      <w:t>Величкович</w:t>
    </w:r>
    <w:r w:rsidR="000E2E75">
      <w:rPr>
        <w:sz w:val="20"/>
        <w:szCs w:val="20"/>
        <w:lang w:val="ru-RU"/>
      </w:rPr>
      <w:t>, М. Бондар</w:t>
    </w:r>
  </w:p>
  <w:p w14:paraId="7C4D5164" w14:textId="77777777" w:rsidR="00BC10B4" w:rsidRDefault="00BC10B4">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056E"/>
    <w:multiLevelType w:val="hybridMultilevel"/>
    <w:tmpl w:val="B3D216D8"/>
    <w:lvl w:ilvl="0" w:tplc="A5F65330">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 w15:restartNumberingAfterBreak="0">
    <w:nsid w:val="25666F90"/>
    <w:multiLevelType w:val="multilevel"/>
    <w:tmpl w:val="83DC0EC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pStyle w:val="4"/>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3FF71A77"/>
    <w:multiLevelType w:val="multilevel"/>
    <w:tmpl w:val="1298D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CD11CB"/>
    <w:multiLevelType w:val="multilevel"/>
    <w:tmpl w:val="AFB2CA2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700836CA"/>
    <w:multiLevelType w:val="hybridMultilevel"/>
    <w:tmpl w:val="63D8D36A"/>
    <w:lvl w:ilvl="0" w:tplc="34D40368">
      <w:start w:val="1"/>
      <w:numFmt w:val="decimal"/>
      <w:lvlText w:val="%1."/>
      <w:lvlJc w:val="left"/>
      <w:pPr>
        <w:ind w:left="1068" w:hanging="360"/>
      </w:pPr>
      <w:rPr>
        <w:b/>
      </w:r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5" w15:restartNumberingAfterBreak="0">
    <w:nsid w:val="7BD44752"/>
    <w:multiLevelType w:val="multilevel"/>
    <w:tmpl w:val="B7247CC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5"/>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0B4"/>
    <w:rsid w:val="000114B1"/>
    <w:rsid w:val="00011B26"/>
    <w:rsid w:val="00011F0A"/>
    <w:rsid w:val="0002022B"/>
    <w:rsid w:val="00040625"/>
    <w:rsid w:val="00047ADF"/>
    <w:rsid w:val="0007078A"/>
    <w:rsid w:val="000876F1"/>
    <w:rsid w:val="00091875"/>
    <w:rsid w:val="0009406C"/>
    <w:rsid w:val="000A39C8"/>
    <w:rsid w:val="000E2E75"/>
    <w:rsid w:val="000E63A3"/>
    <w:rsid w:val="000F3834"/>
    <w:rsid w:val="0010366B"/>
    <w:rsid w:val="00110291"/>
    <w:rsid w:val="001B6093"/>
    <w:rsid w:val="001B639D"/>
    <w:rsid w:val="001B7C62"/>
    <w:rsid w:val="001E2CFE"/>
    <w:rsid w:val="001E55F0"/>
    <w:rsid w:val="001F0E19"/>
    <w:rsid w:val="00202534"/>
    <w:rsid w:val="00202729"/>
    <w:rsid w:val="00204F8C"/>
    <w:rsid w:val="0020720F"/>
    <w:rsid w:val="00256164"/>
    <w:rsid w:val="00260228"/>
    <w:rsid w:val="00261022"/>
    <w:rsid w:val="0026389F"/>
    <w:rsid w:val="00266D59"/>
    <w:rsid w:val="00267681"/>
    <w:rsid w:val="002B1905"/>
    <w:rsid w:val="002D083D"/>
    <w:rsid w:val="002D1736"/>
    <w:rsid w:val="002E10DF"/>
    <w:rsid w:val="002E1BD6"/>
    <w:rsid w:val="002E3CF9"/>
    <w:rsid w:val="002E4168"/>
    <w:rsid w:val="002E709C"/>
    <w:rsid w:val="002F4EC1"/>
    <w:rsid w:val="0033589B"/>
    <w:rsid w:val="0034006F"/>
    <w:rsid w:val="00354FAA"/>
    <w:rsid w:val="0035661C"/>
    <w:rsid w:val="00363206"/>
    <w:rsid w:val="00372D87"/>
    <w:rsid w:val="00386611"/>
    <w:rsid w:val="003C1337"/>
    <w:rsid w:val="003C7798"/>
    <w:rsid w:val="003D4292"/>
    <w:rsid w:val="003E1312"/>
    <w:rsid w:val="003F35F9"/>
    <w:rsid w:val="004108F5"/>
    <w:rsid w:val="00416A83"/>
    <w:rsid w:val="00443492"/>
    <w:rsid w:val="00454FA5"/>
    <w:rsid w:val="00465961"/>
    <w:rsid w:val="00477BB6"/>
    <w:rsid w:val="00496054"/>
    <w:rsid w:val="004974D4"/>
    <w:rsid w:val="004A0B16"/>
    <w:rsid w:val="004A68E9"/>
    <w:rsid w:val="004A76F0"/>
    <w:rsid w:val="004C1BE5"/>
    <w:rsid w:val="004C4786"/>
    <w:rsid w:val="004E5D65"/>
    <w:rsid w:val="004E74E4"/>
    <w:rsid w:val="004F529C"/>
    <w:rsid w:val="00513D5A"/>
    <w:rsid w:val="00522BD9"/>
    <w:rsid w:val="00526785"/>
    <w:rsid w:val="00542FF7"/>
    <w:rsid w:val="00563849"/>
    <w:rsid w:val="005A121D"/>
    <w:rsid w:val="005B5264"/>
    <w:rsid w:val="005D31BA"/>
    <w:rsid w:val="005F432F"/>
    <w:rsid w:val="00612910"/>
    <w:rsid w:val="00621F0F"/>
    <w:rsid w:val="00654E83"/>
    <w:rsid w:val="00655729"/>
    <w:rsid w:val="00663039"/>
    <w:rsid w:val="006644C1"/>
    <w:rsid w:val="00664DC0"/>
    <w:rsid w:val="0067076D"/>
    <w:rsid w:val="00676ABC"/>
    <w:rsid w:val="00684972"/>
    <w:rsid w:val="0068631E"/>
    <w:rsid w:val="006A3E2D"/>
    <w:rsid w:val="006C59AE"/>
    <w:rsid w:val="006E5697"/>
    <w:rsid w:val="006E734B"/>
    <w:rsid w:val="006F5454"/>
    <w:rsid w:val="00702F09"/>
    <w:rsid w:val="00706103"/>
    <w:rsid w:val="00725478"/>
    <w:rsid w:val="007334F6"/>
    <w:rsid w:val="00735F35"/>
    <w:rsid w:val="00745F30"/>
    <w:rsid w:val="00750273"/>
    <w:rsid w:val="00764036"/>
    <w:rsid w:val="00783B1A"/>
    <w:rsid w:val="0079655F"/>
    <w:rsid w:val="007A72B9"/>
    <w:rsid w:val="007C3EED"/>
    <w:rsid w:val="007C6579"/>
    <w:rsid w:val="007D4BA5"/>
    <w:rsid w:val="007D683B"/>
    <w:rsid w:val="007E50B5"/>
    <w:rsid w:val="007F1BB1"/>
    <w:rsid w:val="007F355D"/>
    <w:rsid w:val="007F653B"/>
    <w:rsid w:val="007F6719"/>
    <w:rsid w:val="0082292D"/>
    <w:rsid w:val="0083303E"/>
    <w:rsid w:val="00835AF7"/>
    <w:rsid w:val="00867CA0"/>
    <w:rsid w:val="00872CA1"/>
    <w:rsid w:val="00896138"/>
    <w:rsid w:val="008A64C1"/>
    <w:rsid w:val="008C07CB"/>
    <w:rsid w:val="008E09FF"/>
    <w:rsid w:val="008E5C8C"/>
    <w:rsid w:val="00920A0D"/>
    <w:rsid w:val="00947FDB"/>
    <w:rsid w:val="00962CB8"/>
    <w:rsid w:val="0096617B"/>
    <w:rsid w:val="00970CE1"/>
    <w:rsid w:val="00976877"/>
    <w:rsid w:val="009776B7"/>
    <w:rsid w:val="00982D67"/>
    <w:rsid w:val="00984F97"/>
    <w:rsid w:val="009919F7"/>
    <w:rsid w:val="009A6075"/>
    <w:rsid w:val="009D566C"/>
    <w:rsid w:val="009E6FAD"/>
    <w:rsid w:val="009F40DC"/>
    <w:rsid w:val="00A1652B"/>
    <w:rsid w:val="00A22B60"/>
    <w:rsid w:val="00A413FE"/>
    <w:rsid w:val="00A4651A"/>
    <w:rsid w:val="00A46824"/>
    <w:rsid w:val="00A70CEB"/>
    <w:rsid w:val="00A869A3"/>
    <w:rsid w:val="00AC45D7"/>
    <w:rsid w:val="00AD13E2"/>
    <w:rsid w:val="00B11326"/>
    <w:rsid w:val="00B11421"/>
    <w:rsid w:val="00B145AC"/>
    <w:rsid w:val="00B34114"/>
    <w:rsid w:val="00B352CD"/>
    <w:rsid w:val="00B404A2"/>
    <w:rsid w:val="00B41C88"/>
    <w:rsid w:val="00B55981"/>
    <w:rsid w:val="00B66A7C"/>
    <w:rsid w:val="00B81EF8"/>
    <w:rsid w:val="00BC10B4"/>
    <w:rsid w:val="00BD0834"/>
    <w:rsid w:val="00BD56DA"/>
    <w:rsid w:val="00BD57FD"/>
    <w:rsid w:val="00BE7D4E"/>
    <w:rsid w:val="00C03764"/>
    <w:rsid w:val="00C2537D"/>
    <w:rsid w:val="00C33FFD"/>
    <w:rsid w:val="00C40A11"/>
    <w:rsid w:val="00C43920"/>
    <w:rsid w:val="00C45115"/>
    <w:rsid w:val="00C705E3"/>
    <w:rsid w:val="00CD211F"/>
    <w:rsid w:val="00D056E7"/>
    <w:rsid w:val="00D05D6F"/>
    <w:rsid w:val="00D06218"/>
    <w:rsid w:val="00D06463"/>
    <w:rsid w:val="00D106B0"/>
    <w:rsid w:val="00D12448"/>
    <w:rsid w:val="00D546DA"/>
    <w:rsid w:val="00D93F6B"/>
    <w:rsid w:val="00DA745F"/>
    <w:rsid w:val="00DC0563"/>
    <w:rsid w:val="00DD2CA2"/>
    <w:rsid w:val="00DD56AF"/>
    <w:rsid w:val="00E00B49"/>
    <w:rsid w:val="00E07180"/>
    <w:rsid w:val="00E23ADC"/>
    <w:rsid w:val="00E246B4"/>
    <w:rsid w:val="00E43C2C"/>
    <w:rsid w:val="00E6150E"/>
    <w:rsid w:val="00E7387C"/>
    <w:rsid w:val="00E81121"/>
    <w:rsid w:val="00E862BB"/>
    <w:rsid w:val="00E90C77"/>
    <w:rsid w:val="00E92017"/>
    <w:rsid w:val="00E930BA"/>
    <w:rsid w:val="00E940D5"/>
    <w:rsid w:val="00E94384"/>
    <w:rsid w:val="00E97AD1"/>
    <w:rsid w:val="00EA4783"/>
    <w:rsid w:val="00EC1114"/>
    <w:rsid w:val="00ED10D2"/>
    <w:rsid w:val="00ED159E"/>
    <w:rsid w:val="00EE2F91"/>
    <w:rsid w:val="00EE596D"/>
    <w:rsid w:val="00EF62D3"/>
    <w:rsid w:val="00F0071A"/>
    <w:rsid w:val="00F009BA"/>
    <w:rsid w:val="00F11DFD"/>
    <w:rsid w:val="00F121E5"/>
    <w:rsid w:val="00F31C64"/>
    <w:rsid w:val="00F35AA9"/>
    <w:rsid w:val="00F42DA8"/>
    <w:rsid w:val="00F47AF4"/>
    <w:rsid w:val="00F5666E"/>
    <w:rsid w:val="00F76B30"/>
    <w:rsid w:val="00F94006"/>
    <w:rsid w:val="00FA5466"/>
    <w:rsid w:val="00FB05C7"/>
    <w:rsid w:val="00FC6E84"/>
    <w:rsid w:val="00FD22DC"/>
    <w:rsid w:val="00FF36EF"/>
    <w:rsid w:val="00FF3F42"/>
    <w:rsid w:val="00FF47D8"/>
    <w:rsid w:val="00FF7124"/>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51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Cs w:val="22"/>
        <w:lang w:val="uk-UA"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0230"/>
    <w:rPr>
      <w:rFonts w:cs="Times New Roman"/>
      <w:sz w:val="28"/>
    </w:rPr>
  </w:style>
  <w:style w:type="paragraph" w:styleId="1">
    <w:name w:val="heading 1"/>
    <w:basedOn w:val="a"/>
    <w:link w:val="10"/>
    <w:qFormat/>
    <w:rsid w:val="00D05D6F"/>
    <w:pPr>
      <w:keepNext/>
      <w:keepLines/>
      <w:spacing w:before="480" w:after="120" w:line="276" w:lineRule="auto"/>
      <w:ind w:left="432" w:hanging="432"/>
      <w:contextualSpacing/>
      <w:outlineLvl w:val="0"/>
    </w:pPr>
    <w:rPr>
      <w:rFonts w:eastAsia="Times New Roman" w:cs="Arial"/>
      <w:b/>
      <w:color w:val="000000"/>
      <w:sz w:val="48"/>
      <w:szCs w:val="48"/>
      <w:lang w:eastAsia="zh-CN"/>
    </w:rPr>
  </w:style>
  <w:style w:type="paragraph" w:styleId="2">
    <w:name w:val="heading 2"/>
    <w:basedOn w:val="a"/>
    <w:next w:val="a"/>
    <w:link w:val="20"/>
    <w:unhideWhenUsed/>
    <w:qFormat/>
    <w:rsid w:val="00D05D6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qFormat/>
    <w:rsid w:val="00F03A4B"/>
    <w:pPr>
      <w:spacing w:beforeAutospacing="1" w:afterAutospacing="1"/>
      <w:outlineLvl w:val="2"/>
    </w:pPr>
    <w:rPr>
      <w:rFonts w:eastAsia="Times New Roman"/>
      <w:b/>
      <w:bCs/>
      <w:sz w:val="27"/>
      <w:szCs w:val="27"/>
      <w:lang w:eastAsia="uk-UA"/>
    </w:rPr>
  </w:style>
  <w:style w:type="paragraph" w:styleId="4">
    <w:name w:val="heading 4"/>
    <w:basedOn w:val="a"/>
    <w:next w:val="a0"/>
    <w:qFormat/>
    <w:pPr>
      <w:keepNext/>
      <w:keepLines/>
      <w:numPr>
        <w:ilvl w:val="3"/>
        <w:numId w:val="1"/>
      </w:numPr>
      <w:spacing w:before="240" w:after="40" w:line="276" w:lineRule="auto"/>
      <w:contextualSpacing/>
      <w:outlineLvl w:val="3"/>
    </w:pPr>
    <w:rPr>
      <w:b/>
      <w:sz w:val="22"/>
      <w:lang w:eastAsia="zh-CN"/>
    </w:rPr>
  </w:style>
  <w:style w:type="paragraph" w:styleId="5">
    <w:name w:val="heading 5"/>
    <w:basedOn w:val="a"/>
    <w:link w:val="50"/>
    <w:qFormat/>
    <w:rsid w:val="00D05D6F"/>
    <w:pPr>
      <w:keepNext/>
      <w:keepLines/>
      <w:spacing w:before="220" w:after="40" w:line="276" w:lineRule="auto"/>
      <w:ind w:left="1008" w:hanging="1008"/>
      <w:contextualSpacing/>
      <w:outlineLvl w:val="4"/>
    </w:pPr>
    <w:rPr>
      <w:rFonts w:eastAsia="Times New Roman" w:cs="Arial"/>
      <w:color w:val="000000"/>
      <w:sz w:val="20"/>
      <w:lang w:eastAsia="zh-CN"/>
    </w:rPr>
  </w:style>
  <w:style w:type="paragraph" w:styleId="6">
    <w:name w:val="heading 6"/>
    <w:basedOn w:val="a"/>
    <w:link w:val="60"/>
    <w:qFormat/>
    <w:rsid w:val="00D05D6F"/>
    <w:pPr>
      <w:keepNext/>
      <w:keepLines/>
      <w:spacing w:before="200" w:after="40" w:line="276" w:lineRule="auto"/>
      <w:ind w:left="1152" w:hanging="1152"/>
      <w:contextualSpacing/>
      <w:outlineLvl w:val="5"/>
    </w:pPr>
    <w:rPr>
      <w:rFonts w:eastAsia="Times New Roman" w:cs="Arial"/>
      <w:b/>
      <w:color w:val="000000"/>
      <w:sz w:val="20"/>
      <w:szCs w:val="20"/>
      <w:lang w:eastAsia="zh-CN"/>
    </w:rPr>
  </w:style>
  <w:style w:type="paragraph" w:styleId="7">
    <w:name w:val="heading 7"/>
    <w:basedOn w:val="a1"/>
    <w:link w:val="70"/>
    <w:qFormat/>
    <w:rsid w:val="00D05D6F"/>
    <w:pPr>
      <w:keepLines/>
      <w:spacing w:before="60" w:after="60" w:line="276" w:lineRule="auto"/>
      <w:contextualSpacing/>
      <w:outlineLvl w:val="6"/>
    </w:pPr>
    <w:rPr>
      <w:rFonts w:eastAsia="Times New Roman" w:cs="Arial"/>
      <w:b/>
      <w:bCs/>
      <w:color w:val="000000"/>
      <w:sz w:val="58"/>
      <w:szCs w:val="58"/>
      <w:lang w:eastAsia="zh-CN"/>
    </w:rPr>
  </w:style>
  <w:style w:type="paragraph" w:styleId="8">
    <w:name w:val="heading 8"/>
    <w:basedOn w:val="a1"/>
    <w:link w:val="80"/>
    <w:qFormat/>
    <w:rsid w:val="00D05D6F"/>
    <w:pPr>
      <w:keepLines/>
      <w:spacing w:before="60" w:after="60" w:line="276" w:lineRule="auto"/>
      <w:contextualSpacing/>
      <w:outlineLvl w:val="7"/>
    </w:pPr>
    <w:rPr>
      <w:rFonts w:eastAsia="Times New Roman" w:cs="Arial"/>
      <w:b/>
      <w:bCs/>
      <w:i/>
      <w:iCs/>
      <w:color w:val="000000"/>
      <w:sz w:val="58"/>
      <w:szCs w:val="58"/>
      <w:lang w:eastAsia="zh-CN"/>
    </w:rPr>
  </w:style>
  <w:style w:type="paragraph" w:styleId="9">
    <w:name w:val="heading 9"/>
    <w:basedOn w:val="a1"/>
    <w:link w:val="90"/>
    <w:qFormat/>
    <w:rsid w:val="00D05D6F"/>
    <w:pPr>
      <w:keepLines/>
      <w:spacing w:before="60" w:after="60" w:line="276" w:lineRule="auto"/>
      <w:contextualSpacing/>
      <w:outlineLvl w:val="8"/>
    </w:pPr>
    <w:rPr>
      <w:rFonts w:eastAsia="Times New Roman" w:cs="Arial"/>
      <w:b/>
      <w:bCs/>
      <w:color w:val="000000"/>
      <w:sz w:val="54"/>
      <w:szCs w:val="54"/>
      <w:lang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Верхній колонтитул Знак"/>
    <w:basedOn w:val="a2"/>
    <w:uiPriority w:val="99"/>
    <w:qFormat/>
    <w:rsid w:val="00340230"/>
    <w:rPr>
      <w:rFonts w:eastAsia="Calibri" w:cs="Times New Roman"/>
    </w:rPr>
  </w:style>
  <w:style w:type="character" w:customStyle="1" w:styleId="a6">
    <w:name w:val="Нижній колонтитул Знак"/>
    <w:basedOn w:val="a2"/>
    <w:uiPriority w:val="99"/>
    <w:qFormat/>
    <w:rsid w:val="002D59CC"/>
    <w:rPr>
      <w:rFonts w:eastAsia="Calibri" w:cs="Times New Roman"/>
    </w:rPr>
  </w:style>
  <w:style w:type="character" w:customStyle="1" w:styleId="30">
    <w:name w:val="Заголовок 3 Знак"/>
    <w:basedOn w:val="a2"/>
    <w:link w:val="3"/>
    <w:uiPriority w:val="9"/>
    <w:qFormat/>
    <w:rsid w:val="00F03A4B"/>
    <w:rPr>
      <w:rFonts w:eastAsia="Times New Roman" w:cs="Times New Roman"/>
      <w:b/>
      <w:bCs/>
      <w:sz w:val="27"/>
      <w:szCs w:val="27"/>
      <w:lang w:eastAsia="uk-UA"/>
    </w:rPr>
  </w:style>
  <w:style w:type="character" w:customStyle="1" w:styleId="-">
    <w:name w:val="Интернет-ссылка"/>
    <w:basedOn w:val="a2"/>
    <w:uiPriority w:val="99"/>
    <w:semiHidden/>
    <w:unhideWhenUsed/>
    <w:rsid w:val="00D621F9"/>
    <w:rPr>
      <w:color w:val="0563C1" w:themeColor="hyperlink"/>
      <w:u w:val="single"/>
    </w:rPr>
  </w:style>
  <w:style w:type="character" w:customStyle="1" w:styleId="a7">
    <w:name w:val="Символ сноски"/>
    <w:qFormat/>
    <w:rsid w:val="00D621F9"/>
  </w:style>
  <w:style w:type="character" w:customStyle="1" w:styleId="a8">
    <w:name w:val="Привязка сноски"/>
    <w:rsid w:val="00D621F9"/>
    <w:rPr>
      <w:vertAlign w:val="superscript"/>
    </w:rPr>
  </w:style>
  <w:style w:type="character" w:customStyle="1" w:styleId="a9">
    <w:name w:val="Посещённая гиперссылка"/>
    <w:basedOn w:val="a2"/>
    <w:uiPriority w:val="99"/>
    <w:semiHidden/>
    <w:unhideWhenUsed/>
    <w:rsid w:val="00D621F9"/>
    <w:rPr>
      <w:color w:val="954F72" w:themeColor="followedHyperlink"/>
      <w:u w:val="single"/>
    </w:rPr>
  </w:style>
  <w:style w:type="character" w:customStyle="1" w:styleId="aa">
    <w:name w:val="Привязка концевой сноски"/>
    <w:rPr>
      <w:vertAlign w:val="superscript"/>
    </w:rPr>
  </w:style>
  <w:style w:type="character" w:customStyle="1" w:styleId="ab">
    <w:name w:val="Символ концевой сноски"/>
    <w:qFormat/>
  </w:style>
  <w:style w:type="paragraph" w:styleId="a1">
    <w:name w:val="Title"/>
    <w:basedOn w:val="a"/>
    <w:next w:val="a0"/>
    <w:qFormat/>
    <w:pPr>
      <w:keepNext/>
      <w:spacing w:before="240" w:after="120"/>
    </w:pPr>
    <w:rPr>
      <w:rFonts w:eastAsia="Microsoft YaHei" w:cs="Lucida Sans"/>
      <w:szCs w:val="28"/>
    </w:rPr>
  </w:style>
  <w:style w:type="paragraph" w:styleId="a0">
    <w:name w:val="Body Text"/>
    <w:basedOn w:val="a"/>
    <w:pPr>
      <w:spacing w:after="140" w:line="276" w:lineRule="auto"/>
    </w:pPr>
  </w:style>
  <w:style w:type="paragraph" w:styleId="ac">
    <w:name w:val="List"/>
    <w:basedOn w:val="a0"/>
    <w:rPr>
      <w:rFonts w:cs="Lucida Sans"/>
    </w:rPr>
  </w:style>
  <w:style w:type="paragraph" w:styleId="ad">
    <w:name w:val="caption"/>
    <w:basedOn w:val="a"/>
    <w:qFormat/>
    <w:pPr>
      <w:suppressLineNumbers/>
      <w:spacing w:before="120" w:after="120"/>
    </w:pPr>
    <w:rPr>
      <w:rFonts w:cs="Lucida Sans"/>
      <w:i/>
      <w:iCs/>
      <w:szCs w:val="24"/>
    </w:rPr>
  </w:style>
  <w:style w:type="paragraph" w:styleId="ae">
    <w:name w:val="index heading"/>
    <w:basedOn w:val="a"/>
    <w:qFormat/>
    <w:pPr>
      <w:suppressLineNumbers/>
    </w:pPr>
    <w:rPr>
      <w:rFonts w:cs="Lucida Sans"/>
    </w:rPr>
  </w:style>
  <w:style w:type="paragraph" w:customStyle="1" w:styleId="af">
    <w:name w:val="Верхний и нижний колонтитулы"/>
    <w:basedOn w:val="a"/>
    <w:qFormat/>
  </w:style>
  <w:style w:type="paragraph" w:styleId="af0">
    <w:name w:val="header"/>
    <w:basedOn w:val="a"/>
    <w:link w:val="11"/>
    <w:uiPriority w:val="99"/>
    <w:unhideWhenUsed/>
    <w:rsid w:val="00340230"/>
    <w:pPr>
      <w:tabs>
        <w:tab w:val="center" w:pos="4819"/>
        <w:tab w:val="right" w:pos="9639"/>
      </w:tabs>
    </w:pPr>
  </w:style>
  <w:style w:type="paragraph" w:styleId="af1">
    <w:name w:val="footer"/>
    <w:basedOn w:val="a"/>
    <w:uiPriority w:val="99"/>
    <w:unhideWhenUsed/>
    <w:rsid w:val="002D59CC"/>
    <w:pPr>
      <w:tabs>
        <w:tab w:val="center" w:pos="4819"/>
        <w:tab w:val="right" w:pos="9639"/>
      </w:tabs>
    </w:pPr>
  </w:style>
  <w:style w:type="paragraph" w:customStyle="1" w:styleId="af2">
    <w:name w:val="Нормальний текст"/>
    <w:basedOn w:val="a"/>
    <w:qFormat/>
    <w:pPr>
      <w:spacing w:before="120"/>
      <w:ind w:firstLine="567"/>
      <w:jc w:val="both"/>
    </w:pPr>
  </w:style>
  <w:style w:type="paragraph" w:styleId="af3">
    <w:name w:val="footnote text"/>
    <w:basedOn w:val="a"/>
    <w:link w:val="af4"/>
    <w:uiPriority w:val="99"/>
    <w:pPr>
      <w:suppressLineNumbers/>
      <w:ind w:left="339" w:hanging="339"/>
    </w:pPr>
    <w:rPr>
      <w:sz w:val="20"/>
      <w:szCs w:val="20"/>
    </w:rPr>
  </w:style>
  <w:style w:type="character" w:customStyle="1" w:styleId="20">
    <w:name w:val="Заголовок 2 Знак"/>
    <w:basedOn w:val="a2"/>
    <w:link w:val="2"/>
    <w:rsid w:val="00D05D6F"/>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2"/>
    <w:link w:val="1"/>
    <w:rsid w:val="00D05D6F"/>
    <w:rPr>
      <w:rFonts w:eastAsia="Times New Roman" w:cs="Arial"/>
      <w:b/>
      <w:color w:val="000000"/>
      <w:sz w:val="48"/>
      <w:szCs w:val="48"/>
      <w:lang w:eastAsia="zh-CN"/>
    </w:rPr>
  </w:style>
  <w:style w:type="character" w:customStyle="1" w:styleId="50">
    <w:name w:val="Заголовок 5 Знак"/>
    <w:basedOn w:val="a2"/>
    <w:link w:val="5"/>
    <w:rsid w:val="00D05D6F"/>
    <w:rPr>
      <w:rFonts w:eastAsia="Times New Roman" w:cs="Arial"/>
      <w:color w:val="000000"/>
      <w:lang w:eastAsia="zh-CN"/>
    </w:rPr>
  </w:style>
  <w:style w:type="character" w:customStyle="1" w:styleId="60">
    <w:name w:val="Заголовок 6 Знак"/>
    <w:basedOn w:val="a2"/>
    <w:link w:val="6"/>
    <w:rsid w:val="00D05D6F"/>
    <w:rPr>
      <w:rFonts w:eastAsia="Times New Roman" w:cs="Arial"/>
      <w:b/>
      <w:color w:val="000000"/>
      <w:szCs w:val="20"/>
      <w:lang w:eastAsia="zh-CN"/>
    </w:rPr>
  </w:style>
  <w:style w:type="character" w:customStyle="1" w:styleId="70">
    <w:name w:val="Заголовок 7 Знак"/>
    <w:basedOn w:val="a2"/>
    <w:link w:val="7"/>
    <w:rsid w:val="00D05D6F"/>
    <w:rPr>
      <w:rFonts w:eastAsia="Times New Roman" w:cs="Arial"/>
      <w:b/>
      <w:bCs/>
      <w:color w:val="000000"/>
      <w:sz w:val="58"/>
      <w:szCs w:val="58"/>
      <w:lang w:eastAsia="zh-CN"/>
    </w:rPr>
  </w:style>
  <w:style w:type="character" w:customStyle="1" w:styleId="80">
    <w:name w:val="Заголовок 8 Знак"/>
    <w:basedOn w:val="a2"/>
    <w:link w:val="8"/>
    <w:rsid w:val="00D05D6F"/>
    <w:rPr>
      <w:rFonts w:eastAsia="Times New Roman" w:cs="Arial"/>
      <w:b/>
      <w:bCs/>
      <w:i/>
      <w:iCs/>
      <w:color w:val="000000"/>
      <w:sz w:val="58"/>
      <w:szCs w:val="58"/>
      <w:lang w:eastAsia="zh-CN"/>
    </w:rPr>
  </w:style>
  <w:style w:type="character" w:customStyle="1" w:styleId="90">
    <w:name w:val="Заголовок 9 Знак"/>
    <w:basedOn w:val="a2"/>
    <w:link w:val="9"/>
    <w:rsid w:val="00D05D6F"/>
    <w:rPr>
      <w:rFonts w:eastAsia="Times New Roman" w:cs="Arial"/>
      <w:b/>
      <w:bCs/>
      <w:color w:val="000000"/>
      <w:sz w:val="54"/>
      <w:szCs w:val="54"/>
      <w:lang w:eastAsia="zh-CN"/>
    </w:rPr>
  </w:style>
  <w:style w:type="paragraph" w:styleId="af5">
    <w:name w:val="List Paragraph"/>
    <w:basedOn w:val="a"/>
    <w:uiPriority w:val="34"/>
    <w:qFormat/>
    <w:rsid w:val="00D05D6F"/>
    <w:pPr>
      <w:suppressAutoHyphens w:val="0"/>
      <w:spacing w:after="160" w:line="259" w:lineRule="auto"/>
      <w:ind w:left="720"/>
      <w:contextualSpacing/>
    </w:pPr>
    <w:rPr>
      <w:rFonts w:asciiTheme="minorHAnsi" w:hAnsiTheme="minorHAnsi" w:cstheme="minorBidi"/>
      <w:sz w:val="22"/>
    </w:rPr>
  </w:style>
  <w:style w:type="character" w:customStyle="1" w:styleId="rvts0">
    <w:name w:val="rvts0"/>
    <w:basedOn w:val="a2"/>
    <w:rsid w:val="00D05D6F"/>
  </w:style>
  <w:style w:type="character" w:customStyle="1" w:styleId="rvts23">
    <w:name w:val="rvts23"/>
    <w:basedOn w:val="a2"/>
    <w:rsid w:val="00D05D6F"/>
  </w:style>
  <w:style w:type="character" w:customStyle="1" w:styleId="rvts9">
    <w:name w:val="rvts9"/>
    <w:basedOn w:val="a2"/>
    <w:rsid w:val="00D05D6F"/>
  </w:style>
  <w:style w:type="character" w:styleId="af6">
    <w:name w:val="Hyperlink"/>
    <w:basedOn w:val="a2"/>
    <w:uiPriority w:val="99"/>
    <w:unhideWhenUsed/>
    <w:rsid w:val="00B34114"/>
    <w:rPr>
      <w:color w:val="0563C1" w:themeColor="hyperlink"/>
      <w:u w:val="single"/>
    </w:rPr>
  </w:style>
  <w:style w:type="character" w:customStyle="1" w:styleId="st42">
    <w:name w:val="st42"/>
    <w:uiPriority w:val="99"/>
    <w:rsid w:val="00B34114"/>
    <w:rPr>
      <w:rFonts w:ascii="Times New Roman" w:hAnsi="Times New Roman" w:cs="Times New Roman" w:hint="default"/>
      <w:color w:val="000000"/>
      <w:sz w:val="30"/>
      <w:szCs w:val="30"/>
    </w:rPr>
  </w:style>
  <w:style w:type="character" w:customStyle="1" w:styleId="st24">
    <w:name w:val="st24"/>
    <w:uiPriority w:val="99"/>
    <w:rsid w:val="00DA745F"/>
    <w:rPr>
      <w:rFonts w:ascii="Times New Roman" w:hAnsi="Times New Roman" w:cs="Times New Roman" w:hint="default"/>
      <w:b/>
      <w:bCs/>
      <w:color w:val="000000"/>
      <w:sz w:val="38"/>
      <w:szCs w:val="38"/>
    </w:rPr>
  </w:style>
  <w:style w:type="paragraph" w:customStyle="1" w:styleId="4R444p">
    <w:name w:val="С4Rн4~о4ñ4・ê[?àp"/>
    <w:basedOn w:val="a"/>
    <w:uiPriority w:val="99"/>
    <w:rsid w:val="00DD2CA2"/>
    <w:pPr>
      <w:autoSpaceDE w:val="0"/>
      <w:autoSpaceDN w:val="0"/>
      <w:adjustRightInd w:val="0"/>
    </w:pPr>
    <w:rPr>
      <w:rFonts w:eastAsiaTheme="minorEastAsia"/>
      <w:kern w:val="2"/>
      <w:szCs w:val="28"/>
      <w:lang w:eastAsia="uk-UA" w:bidi="hi-IN"/>
    </w:rPr>
  </w:style>
  <w:style w:type="character" w:styleId="af7">
    <w:name w:val="footnote reference"/>
    <w:basedOn w:val="a2"/>
    <w:uiPriority w:val="99"/>
    <w:semiHidden/>
    <w:unhideWhenUsed/>
    <w:rsid w:val="00DD2CA2"/>
    <w:rPr>
      <w:rFonts w:ascii="Times New Roman" w:hAnsi="Times New Roman" w:cs="Times New Roman" w:hint="default"/>
      <w:vertAlign w:val="superscript"/>
    </w:rPr>
  </w:style>
  <w:style w:type="paragraph" w:customStyle="1" w:styleId="3f4O3f41E3f3f3f3fr3f3f3f3fz3f1E43f43f43f41E">
    <w:name w:val="Î3f4Oñ3f4 ・1E í3f~?î3f3f?â3fr?í3f~?î3f3f?é3fz ?ò3f ・1E4 å3f?4ê3f?4ñ3f4 ・1E"/>
    <w:basedOn w:val="a"/>
    <w:uiPriority w:val="99"/>
    <w:rsid w:val="00664DC0"/>
    <w:pPr>
      <w:autoSpaceDE w:val="0"/>
      <w:autoSpaceDN w:val="0"/>
      <w:adjustRightInd w:val="0"/>
      <w:spacing w:after="140" w:line="276" w:lineRule="auto"/>
    </w:pPr>
    <w:rPr>
      <w:rFonts w:ascii="Arial" w:eastAsia="Times New Roman" w:cs="Arial"/>
      <w:sz w:val="22"/>
      <w:lang w:eastAsia="uk-UA"/>
    </w:rPr>
  </w:style>
  <w:style w:type="character" w:customStyle="1" w:styleId="4B4B4Ettuuuuyyuu">
    <w:name w:val="В4B4Bы4・?・E?ätt??åuu??ë||??åuu??í~~??èyy??åuu"/>
    <w:uiPriority w:val="99"/>
    <w:rsid w:val="00664DC0"/>
    <w:rPr>
      <w:i/>
      <w:iCs w:val="0"/>
    </w:rPr>
  </w:style>
  <w:style w:type="character" w:customStyle="1" w:styleId="af4">
    <w:name w:val="Текст виноски Знак"/>
    <w:basedOn w:val="a2"/>
    <w:link w:val="af3"/>
    <w:uiPriority w:val="99"/>
    <w:rsid w:val="00BD56DA"/>
    <w:rPr>
      <w:rFonts w:cs="Times New Roman"/>
      <w:szCs w:val="20"/>
    </w:rPr>
  </w:style>
  <w:style w:type="paragraph" w:styleId="af8">
    <w:name w:val="Balloon Text"/>
    <w:basedOn w:val="a"/>
    <w:link w:val="af9"/>
    <w:uiPriority w:val="99"/>
    <w:semiHidden/>
    <w:unhideWhenUsed/>
    <w:rsid w:val="006644C1"/>
    <w:rPr>
      <w:rFonts w:ascii="Segoe UI" w:hAnsi="Segoe UI" w:cs="Segoe UI"/>
      <w:sz w:val="18"/>
      <w:szCs w:val="18"/>
    </w:rPr>
  </w:style>
  <w:style w:type="character" w:customStyle="1" w:styleId="af9">
    <w:name w:val="Текст у виносці Знак"/>
    <w:basedOn w:val="a2"/>
    <w:link w:val="af8"/>
    <w:uiPriority w:val="99"/>
    <w:semiHidden/>
    <w:rsid w:val="006644C1"/>
    <w:rPr>
      <w:rFonts w:ascii="Segoe UI" w:hAnsi="Segoe UI" w:cs="Segoe UI"/>
      <w:sz w:val="18"/>
      <w:szCs w:val="18"/>
    </w:rPr>
  </w:style>
  <w:style w:type="paragraph" w:customStyle="1" w:styleId="Igor15">
    <w:name w:val="Стиль Igor + Перший рядок:  15 см"/>
    <w:basedOn w:val="a"/>
    <w:rsid w:val="006644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6" w:firstLine="851"/>
      <w:jc w:val="both"/>
    </w:pPr>
    <w:rPr>
      <w:rFonts w:eastAsia="Times New Roman"/>
      <w:szCs w:val="20"/>
      <w:lang w:eastAsia="ru-RU"/>
    </w:rPr>
  </w:style>
  <w:style w:type="character" w:customStyle="1" w:styleId="viiyi">
    <w:name w:val="viiyi"/>
    <w:basedOn w:val="a2"/>
    <w:rsid w:val="00363206"/>
  </w:style>
  <w:style w:type="character" w:customStyle="1" w:styleId="jlqj4b">
    <w:name w:val="jlqj4b"/>
    <w:basedOn w:val="a2"/>
    <w:rsid w:val="00363206"/>
  </w:style>
  <w:style w:type="paragraph" w:styleId="HTML">
    <w:name w:val="HTML Preformatted"/>
    <w:basedOn w:val="a"/>
    <w:link w:val="HTML0"/>
    <w:uiPriority w:val="99"/>
    <w:semiHidden/>
    <w:unhideWhenUsed/>
    <w:rsid w:val="00363206"/>
    <w:rPr>
      <w:rFonts w:ascii="Consolas" w:hAnsi="Consolas"/>
      <w:sz w:val="20"/>
      <w:szCs w:val="20"/>
    </w:rPr>
  </w:style>
  <w:style w:type="character" w:customStyle="1" w:styleId="HTML0">
    <w:name w:val="Стандартний HTML Знак"/>
    <w:basedOn w:val="a2"/>
    <w:link w:val="HTML"/>
    <w:uiPriority w:val="99"/>
    <w:semiHidden/>
    <w:rsid w:val="00363206"/>
    <w:rPr>
      <w:rFonts w:ascii="Consolas" w:hAnsi="Consolas" w:cs="Times New Roman"/>
      <w:szCs w:val="20"/>
    </w:rPr>
  </w:style>
  <w:style w:type="paragraph" w:customStyle="1" w:styleId="rvps2">
    <w:name w:val="rvps2"/>
    <w:basedOn w:val="a"/>
    <w:rsid w:val="002D083D"/>
    <w:pPr>
      <w:suppressAutoHyphens w:val="0"/>
      <w:spacing w:before="100" w:beforeAutospacing="1" w:after="100" w:afterAutospacing="1"/>
    </w:pPr>
    <w:rPr>
      <w:rFonts w:eastAsia="Times New Roman"/>
      <w:sz w:val="24"/>
      <w:szCs w:val="24"/>
    </w:rPr>
  </w:style>
  <w:style w:type="character" w:customStyle="1" w:styleId="rvts37">
    <w:name w:val="rvts37"/>
    <w:basedOn w:val="a2"/>
    <w:rsid w:val="002D083D"/>
  </w:style>
  <w:style w:type="character" w:customStyle="1" w:styleId="st1">
    <w:name w:val="st1"/>
    <w:rsid w:val="008A64C1"/>
  </w:style>
  <w:style w:type="character" w:customStyle="1" w:styleId="11">
    <w:name w:val="Верхній колонтитул Знак1"/>
    <w:basedOn w:val="a2"/>
    <w:link w:val="af0"/>
    <w:uiPriority w:val="99"/>
    <w:rsid w:val="000114B1"/>
    <w:rPr>
      <w:rFonts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468581">
      <w:bodyDiv w:val="1"/>
      <w:marLeft w:val="0"/>
      <w:marRight w:val="0"/>
      <w:marTop w:val="0"/>
      <w:marBottom w:val="0"/>
      <w:divBdr>
        <w:top w:val="none" w:sz="0" w:space="0" w:color="auto"/>
        <w:left w:val="none" w:sz="0" w:space="0" w:color="auto"/>
        <w:bottom w:val="none" w:sz="0" w:space="0" w:color="auto"/>
        <w:right w:val="none" w:sz="0" w:space="0" w:color="auto"/>
      </w:divBdr>
    </w:div>
    <w:div w:id="250237520">
      <w:bodyDiv w:val="1"/>
      <w:marLeft w:val="0"/>
      <w:marRight w:val="0"/>
      <w:marTop w:val="0"/>
      <w:marBottom w:val="0"/>
      <w:divBdr>
        <w:top w:val="none" w:sz="0" w:space="0" w:color="auto"/>
        <w:left w:val="none" w:sz="0" w:space="0" w:color="auto"/>
        <w:bottom w:val="none" w:sz="0" w:space="0" w:color="auto"/>
        <w:right w:val="none" w:sz="0" w:space="0" w:color="auto"/>
      </w:divBdr>
    </w:div>
    <w:div w:id="289284951">
      <w:bodyDiv w:val="1"/>
      <w:marLeft w:val="0"/>
      <w:marRight w:val="0"/>
      <w:marTop w:val="0"/>
      <w:marBottom w:val="0"/>
      <w:divBdr>
        <w:top w:val="none" w:sz="0" w:space="0" w:color="auto"/>
        <w:left w:val="none" w:sz="0" w:space="0" w:color="auto"/>
        <w:bottom w:val="none" w:sz="0" w:space="0" w:color="auto"/>
        <w:right w:val="none" w:sz="0" w:space="0" w:color="auto"/>
      </w:divBdr>
    </w:div>
    <w:div w:id="382287595">
      <w:bodyDiv w:val="1"/>
      <w:marLeft w:val="0"/>
      <w:marRight w:val="0"/>
      <w:marTop w:val="0"/>
      <w:marBottom w:val="0"/>
      <w:divBdr>
        <w:top w:val="none" w:sz="0" w:space="0" w:color="auto"/>
        <w:left w:val="none" w:sz="0" w:space="0" w:color="auto"/>
        <w:bottom w:val="none" w:sz="0" w:space="0" w:color="auto"/>
        <w:right w:val="none" w:sz="0" w:space="0" w:color="auto"/>
      </w:divBdr>
    </w:div>
    <w:div w:id="423114798">
      <w:bodyDiv w:val="1"/>
      <w:marLeft w:val="0"/>
      <w:marRight w:val="0"/>
      <w:marTop w:val="0"/>
      <w:marBottom w:val="0"/>
      <w:divBdr>
        <w:top w:val="none" w:sz="0" w:space="0" w:color="auto"/>
        <w:left w:val="none" w:sz="0" w:space="0" w:color="auto"/>
        <w:bottom w:val="none" w:sz="0" w:space="0" w:color="auto"/>
        <w:right w:val="none" w:sz="0" w:space="0" w:color="auto"/>
      </w:divBdr>
    </w:div>
    <w:div w:id="522521480">
      <w:bodyDiv w:val="1"/>
      <w:marLeft w:val="0"/>
      <w:marRight w:val="0"/>
      <w:marTop w:val="0"/>
      <w:marBottom w:val="0"/>
      <w:divBdr>
        <w:top w:val="none" w:sz="0" w:space="0" w:color="auto"/>
        <w:left w:val="none" w:sz="0" w:space="0" w:color="auto"/>
        <w:bottom w:val="none" w:sz="0" w:space="0" w:color="auto"/>
        <w:right w:val="none" w:sz="0" w:space="0" w:color="auto"/>
      </w:divBdr>
    </w:div>
    <w:div w:id="568535183">
      <w:bodyDiv w:val="1"/>
      <w:marLeft w:val="0"/>
      <w:marRight w:val="0"/>
      <w:marTop w:val="0"/>
      <w:marBottom w:val="0"/>
      <w:divBdr>
        <w:top w:val="none" w:sz="0" w:space="0" w:color="auto"/>
        <w:left w:val="none" w:sz="0" w:space="0" w:color="auto"/>
        <w:bottom w:val="none" w:sz="0" w:space="0" w:color="auto"/>
        <w:right w:val="none" w:sz="0" w:space="0" w:color="auto"/>
      </w:divBdr>
    </w:div>
    <w:div w:id="639463550">
      <w:bodyDiv w:val="1"/>
      <w:marLeft w:val="0"/>
      <w:marRight w:val="0"/>
      <w:marTop w:val="0"/>
      <w:marBottom w:val="0"/>
      <w:divBdr>
        <w:top w:val="none" w:sz="0" w:space="0" w:color="auto"/>
        <w:left w:val="none" w:sz="0" w:space="0" w:color="auto"/>
        <w:bottom w:val="none" w:sz="0" w:space="0" w:color="auto"/>
        <w:right w:val="none" w:sz="0" w:space="0" w:color="auto"/>
      </w:divBdr>
    </w:div>
    <w:div w:id="645820936">
      <w:bodyDiv w:val="1"/>
      <w:marLeft w:val="0"/>
      <w:marRight w:val="0"/>
      <w:marTop w:val="0"/>
      <w:marBottom w:val="0"/>
      <w:divBdr>
        <w:top w:val="none" w:sz="0" w:space="0" w:color="auto"/>
        <w:left w:val="none" w:sz="0" w:space="0" w:color="auto"/>
        <w:bottom w:val="none" w:sz="0" w:space="0" w:color="auto"/>
        <w:right w:val="none" w:sz="0" w:space="0" w:color="auto"/>
      </w:divBdr>
    </w:div>
    <w:div w:id="708460054">
      <w:bodyDiv w:val="1"/>
      <w:marLeft w:val="0"/>
      <w:marRight w:val="0"/>
      <w:marTop w:val="0"/>
      <w:marBottom w:val="0"/>
      <w:divBdr>
        <w:top w:val="none" w:sz="0" w:space="0" w:color="auto"/>
        <w:left w:val="none" w:sz="0" w:space="0" w:color="auto"/>
        <w:bottom w:val="none" w:sz="0" w:space="0" w:color="auto"/>
        <w:right w:val="none" w:sz="0" w:space="0" w:color="auto"/>
      </w:divBdr>
    </w:div>
    <w:div w:id="841699716">
      <w:bodyDiv w:val="1"/>
      <w:marLeft w:val="0"/>
      <w:marRight w:val="0"/>
      <w:marTop w:val="0"/>
      <w:marBottom w:val="0"/>
      <w:divBdr>
        <w:top w:val="none" w:sz="0" w:space="0" w:color="auto"/>
        <w:left w:val="none" w:sz="0" w:space="0" w:color="auto"/>
        <w:bottom w:val="none" w:sz="0" w:space="0" w:color="auto"/>
        <w:right w:val="none" w:sz="0" w:space="0" w:color="auto"/>
      </w:divBdr>
    </w:div>
    <w:div w:id="896012976">
      <w:bodyDiv w:val="1"/>
      <w:marLeft w:val="0"/>
      <w:marRight w:val="0"/>
      <w:marTop w:val="0"/>
      <w:marBottom w:val="0"/>
      <w:divBdr>
        <w:top w:val="none" w:sz="0" w:space="0" w:color="auto"/>
        <w:left w:val="none" w:sz="0" w:space="0" w:color="auto"/>
        <w:bottom w:val="none" w:sz="0" w:space="0" w:color="auto"/>
        <w:right w:val="none" w:sz="0" w:space="0" w:color="auto"/>
      </w:divBdr>
    </w:div>
    <w:div w:id="1021515732">
      <w:bodyDiv w:val="1"/>
      <w:marLeft w:val="0"/>
      <w:marRight w:val="0"/>
      <w:marTop w:val="0"/>
      <w:marBottom w:val="0"/>
      <w:divBdr>
        <w:top w:val="none" w:sz="0" w:space="0" w:color="auto"/>
        <w:left w:val="none" w:sz="0" w:space="0" w:color="auto"/>
        <w:bottom w:val="none" w:sz="0" w:space="0" w:color="auto"/>
        <w:right w:val="none" w:sz="0" w:space="0" w:color="auto"/>
      </w:divBdr>
    </w:div>
    <w:div w:id="1048260550">
      <w:bodyDiv w:val="1"/>
      <w:marLeft w:val="0"/>
      <w:marRight w:val="0"/>
      <w:marTop w:val="0"/>
      <w:marBottom w:val="0"/>
      <w:divBdr>
        <w:top w:val="none" w:sz="0" w:space="0" w:color="auto"/>
        <w:left w:val="none" w:sz="0" w:space="0" w:color="auto"/>
        <w:bottom w:val="none" w:sz="0" w:space="0" w:color="auto"/>
        <w:right w:val="none" w:sz="0" w:space="0" w:color="auto"/>
      </w:divBdr>
    </w:div>
    <w:div w:id="1064177938">
      <w:bodyDiv w:val="1"/>
      <w:marLeft w:val="0"/>
      <w:marRight w:val="0"/>
      <w:marTop w:val="0"/>
      <w:marBottom w:val="0"/>
      <w:divBdr>
        <w:top w:val="none" w:sz="0" w:space="0" w:color="auto"/>
        <w:left w:val="none" w:sz="0" w:space="0" w:color="auto"/>
        <w:bottom w:val="none" w:sz="0" w:space="0" w:color="auto"/>
        <w:right w:val="none" w:sz="0" w:space="0" w:color="auto"/>
      </w:divBdr>
    </w:div>
    <w:div w:id="1231691158">
      <w:bodyDiv w:val="1"/>
      <w:marLeft w:val="0"/>
      <w:marRight w:val="0"/>
      <w:marTop w:val="0"/>
      <w:marBottom w:val="0"/>
      <w:divBdr>
        <w:top w:val="none" w:sz="0" w:space="0" w:color="auto"/>
        <w:left w:val="none" w:sz="0" w:space="0" w:color="auto"/>
        <w:bottom w:val="none" w:sz="0" w:space="0" w:color="auto"/>
        <w:right w:val="none" w:sz="0" w:space="0" w:color="auto"/>
      </w:divBdr>
    </w:div>
    <w:div w:id="1278831569">
      <w:bodyDiv w:val="1"/>
      <w:marLeft w:val="0"/>
      <w:marRight w:val="0"/>
      <w:marTop w:val="0"/>
      <w:marBottom w:val="0"/>
      <w:divBdr>
        <w:top w:val="none" w:sz="0" w:space="0" w:color="auto"/>
        <w:left w:val="none" w:sz="0" w:space="0" w:color="auto"/>
        <w:bottom w:val="none" w:sz="0" w:space="0" w:color="auto"/>
        <w:right w:val="none" w:sz="0" w:space="0" w:color="auto"/>
      </w:divBdr>
    </w:div>
    <w:div w:id="1363559036">
      <w:bodyDiv w:val="1"/>
      <w:marLeft w:val="0"/>
      <w:marRight w:val="0"/>
      <w:marTop w:val="0"/>
      <w:marBottom w:val="0"/>
      <w:divBdr>
        <w:top w:val="none" w:sz="0" w:space="0" w:color="auto"/>
        <w:left w:val="none" w:sz="0" w:space="0" w:color="auto"/>
        <w:bottom w:val="none" w:sz="0" w:space="0" w:color="auto"/>
        <w:right w:val="none" w:sz="0" w:space="0" w:color="auto"/>
      </w:divBdr>
    </w:div>
    <w:div w:id="1588687958">
      <w:bodyDiv w:val="1"/>
      <w:marLeft w:val="0"/>
      <w:marRight w:val="0"/>
      <w:marTop w:val="0"/>
      <w:marBottom w:val="0"/>
      <w:divBdr>
        <w:top w:val="none" w:sz="0" w:space="0" w:color="auto"/>
        <w:left w:val="none" w:sz="0" w:space="0" w:color="auto"/>
        <w:bottom w:val="none" w:sz="0" w:space="0" w:color="auto"/>
        <w:right w:val="none" w:sz="0" w:space="0" w:color="auto"/>
      </w:divBdr>
    </w:div>
    <w:div w:id="1590118337">
      <w:bodyDiv w:val="1"/>
      <w:marLeft w:val="0"/>
      <w:marRight w:val="0"/>
      <w:marTop w:val="0"/>
      <w:marBottom w:val="0"/>
      <w:divBdr>
        <w:top w:val="none" w:sz="0" w:space="0" w:color="auto"/>
        <w:left w:val="none" w:sz="0" w:space="0" w:color="auto"/>
        <w:bottom w:val="none" w:sz="0" w:space="0" w:color="auto"/>
        <w:right w:val="none" w:sz="0" w:space="0" w:color="auto"/>
      </w:divBdr>
    </w:div>
    <w:div w:id="1669864785">
      <w:bodyDiv w:val="1"/>
      <w:marLeft w:val="0"/>
      <w:marRight w:val="0"/>
      <w:marTop w:val="0"/>
      <w:marBottom w:val="0"/>
      <w:divBdr>
        <w:top w:val="none" w:sz="0" w:space="0" w:color="auto"/>
        <w:left w:val="none" w:sz="0" w:space="0" w:color="auto"/>
        <w:bottom w:val="none" w:sz="0" w:space="0" w:color="auto"/>
        <w:right w:val="none" w:sz="0" w:space="0" w:color="auto"/>
      </w:divBdr>
    </w:div>
    <w:div w:id="1688367850">
      <w:bodyDiv w:val="1"/>
      <w:marLeft w:val="0"/>
      <w:marRight w:val="0"/>
      <w:marTop w:val="0"/>
      <w:marBottom w:val="0"/>
      <w:divBdr>
        <w:top w:val="none" w:sz="0" w:space="0" w:color="auto"/>
        <w:left w:val="none" w:sz="0" w:space="0" w:color="auto"/>
        <w:bottom w:val="none" w:sz="0" w:space="0" w:color="auto"/>
        <w:right w:val="none" w:sz="0" w:space="0" w:color="auto"/>
      </w:divBdr>
    </w:div>
    <w:div w:id="1712922837">
      <w:bodyDiv w:val="1"/>
      <w:marLeft w:val="0"/>
      <w:marRight w:val="0"/>
      <w:marTop w:val="0"/>
      <w:marBottom w:val="0"/>
      <w:divBdr>
        <w:top w:val="none" w:sz="0" w:space="0" w:color="auto"/>
        <w:left w:val="none" w:sz="0" w:space="0" w:color="auto"/>
        <w:bottom w:val="none" w:sz="0" w:space="0" w:color="auto"/>
        <w:right w:val="none" w:sz="0" w:space="0" w:color="auto"/>
      </w:divBdr>
    </w:div>
    <w:div w:id="1839728454">
      <w:bodyDiv w:val="1"/>
      <w:marLeft w:val="0"/>
      <w:marRight w:val="0"/>
      <w:marTop w:val="0"/>
      <w:marBottom w:val="0"/>
      <w:divBdr>
        <w:top w:val="none" w:sz="0" w:space="0" w:color="auto"/>
        <w:left w:val="none" w:sz="0" w:space="0" w:color="auto"/>
        <w:bottom w:val="none" w:sz="0" w:space="0" w:color="auto"/>
        <w:right w:val="none" w:sz="0" w:space="0" w:color="auto"/>
      </w:divBdr>
    </w:div>
    <w:div w:id="1864055198">
      <w:bodyDiv w:val="1"/>
      <w:marLeft w:val="0"/>
      <w:marRight w:val="0"/>
      <w:marTop w:val="0"/>
      <w:marBottom w:val="0"/>
      <w:divBdr>
        <w:top w:val="none" w:sz="0" w:space="0" w:color="auto"/>
        <w:left w:val="none" w:sz="0" w:space="0" w:color="auto"/>
        <w:bottom w:val="none" w:sz="0" w:space="0" w:color="auto"/>
        <w:right w:val="none" w:sz="0" w:space="0" w:color="auto"/>
      </w:divBdr>
    </w:div>
    <w:div w:id="1963879347">
      <w:bodyDiv w:val="1"/>
      <w:marLeft w:val="0"/>
      <w:marRight w:val="0"/>
      <w:marTop w:val="0"/>
      <w:marBottom w:val="0"/>
      <w:divBdr>
        <w:top w:val="none" w:sz="0" w:space="0" w:color="auto"/>
        <w:left w:val="none" w:sz="0" w:space="0" w:color="auto"/>
        <w:bottom w:val="none" w:sz="0" w:space="0" w:color="auto"/>
        <w:right w:val="none" w:sz="0" w:space="0" w:color="auto"/>
      </w:divBdr>
    </w:div>
    <w:div w:id="1966155620">
      <w:bodyDiv w:val="1"/>
      <w:marLeft w:val="0"/>
      <w:marRight w:val="0"/>
      <w:marTop w:val="0"/>
      <w:marBottom w:val="0"/>
      <w:divBdr>
        <w:top w:val="none" w:sz="0" w:space="0" w:color="auto"/>
        <w:left w:val="none" w:sz="0" w:space="0" w:color="auto"/>
        <w:bottom w:val="none" w:sz="0" w:space="0" w:color="auto"/>
        <w:right w:val="none" w:sz="0" w:space="0" w:color="auto"/>
      </w:divBdr>
    </w:div>
    <w:div w:id="1984508248">
      <w:bodyDiv w:val="1"/>
      <w:marLeft w:val="0"/>
      <w:marRight w:val="0"/>
      <w:marTop w:val="0"/>
      <w:marBottom w:val="0"/>
      <w:divBdr>
        <w:top w:val="none" w:sz="0" w:space="0" w:color="auto"/>
        <w:left w:val="none" w:sz="0" w:space="0" w:color="auto"/>
        <w:bottom w:val="none" w:sz="0" w:space="0" w:color="auto"/>
        <w:right w:val="none" w:sz="0" w:space="0" w:color="auto"/>
      </w:divBdr>
      <w:divsChild>
        <w:div w:id="1312247170">
          <w:marLeft w:val="0"/>
          <w:marRight w:val="0"/>
          <w:marTop w:val="0"/>
          <w:marBottom w:val="0"/>
          <w:divBdr>
            <w:top w:val="none" w:sz="0" w:space="0" w:color="auto"/>
            <w:left w:val="none" w:sz="0" w:space="0" w:color="auto"/>
            <w:bottom w:val="none" w:sz="0" w:space="0" w:color="auto"/>
            <w:right w:val="none" w:sz="0" w:space="0" w:color="auto"/>
          </w:divBdr>
        </w:div>
        <w:div w:id="216478183">
          <w:marLeft w:val="0"/>
          <w:marRight w:val="0"/>
          <w:marTop w:val="0"/>
          <w:marBottom w:val="0"/>
          <w:divBdr>
            <w:top w:val="none" w:sz="0" w:space="0" w:color="auto"/>
            <w:left w:val="none" w:sz="0" w:space="0" w:color="auto"/>
            <w:bottom w:val="none" w:sz="0" w:space="0" w:color="auto"/>
            <w:right w:val="none" w:sz="0" w:space="0" w:color="auto"/>
          </w:divBdr>
        </w:div>
      </w:divsChild>
    </w:div>
    <w:div w:id="2001349046">
      <w:bodyDiv w:val="1"/>
      <w:marLeft w:val="0"/>
      <w:marRight w:val="0"/>
      <w:marTop w:val="0"/>
      <w:marBottom w:val="0"/>
      <w:divBdr>
        <w:top w:val="none" w:sz="0" w:space="0" w:color="auto"/>
        <w:left w:val="none" w:sz="0" w:space="0" w:color="auto"/>
        <w:bottom w:val="none" w:sz="0" w:space="0" w:color="auto"/>
        <w:right w:val="none" w:sz="0" w:space="0" w:color="auto"/>
      </w:divBdr>
    </w:div>
    <w:div w:id="2021082660">
      <w:bodyDiv w:val="1"/>
      <w:marLeft w:val="0"/>
      <w:marRight w:val="0"/>
      <w:marTop w:val="0"/>
      <w:marBottom w:val="0"/>
      <w:divBdr>
        <w:top w:val="none" w:sz="0" w:space="0" w:color="auto"/>
        <w:left w:val="none" w:sz="0" w:space="0" w:color="auto"/>
        <w:bottom w:val="none" w:sz="0" w:space="0" w:color="auto"/>
        <w:right w:val="none" w:sz="0" w:space="0" w:color="auto"/>
      </w:divBdr>
    </w:div>
    <w:div w:id="2090539062">
      <w:bodyDiv w:val="1"/>
      <w:marLeft w:val="0"/>
      <w:marRight w:val="0"/>
      <w:marTop w:val="0"/>
      <w:marBottom w:val="0"/>
      <w:divBdr>
        <w:top w:val="none" w:sz="0" w:space="0" w:color="auto"/>
        <w:left w:val="none" w:sz="0" w:space="0" w:color="auto"/>
        <w:bottom w:val="none" w:sz="0" w:space="0" w:color="auto"/>
        <w:right w:val="none" w:sz="0" w:space="0" w:color="auto"/>
      </w:divBdr>
    </w:div>
    <w:div w:id="21003729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CC2DF-6DFB-483C-B714-4944B6C72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13963</Words>
  <Characters>7960</Characters>
  <Application>Microsoft Office Word</Application>
  <DocSecurity>0</DocSecurity>
  <Lines>66</Lines>
  <Paragraphs>43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2021-05-28T10:57:00Z</dcterms:created>
  <dcterms:modified xsi:type="dcterms:W3CDTF">2021-05-28T10:57:00Z</dcterms:modified>
  <dc:language/>
</cp:coreProperties>
</file>