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273D" w:rsidRPr="00F8636F" w:rsidRDefault="0002273D" w:rsidP="0002273D">
      <w:pPr>
        <w:jc w:val="center"/>
        <w:rPr>
          <w:b/>
          <w:color w:val="auto"/>
          <w:sz w:val="28"/>
          <w:szCs w:val="28"/>
        </w:rPr>
      </w:pPr>
      <w:r w:rsidRPr="00F8636F">
        <w:rPr>
          <w:b/>
          <w:color w:val="auto"/>
          <w:sz w:val="28"/>
          <w:szCs w:val="28"/>
        </w:rPr>
        <w:t>ПОЯСНЮВАЛЬНА ЗАПИСКА</w:t>
      </w:r>
    </w:p>
    <w:p w:rsidR="0002273D" w:rsidRPr="00F8636F" w:rsidRDefault="0002273D" w:rsidP="0002273D">
      <w:pPr>
        <w:jc w:val="center"/>
        <w:rPr>
          <w:b/>
          <w:color w:val="auto"/>
          <w:sz w:val="28"/>
          <w:szCs w:val="28"/>
        </w:rPr>
      </w:pPr>
    </w:p>
    <w:p w:rsidR="00F8636F" w:rsidRPr="00F8636F" w:rsidRDefault="00F8636F" w:rsidP="00F8636F">
      <w:pPr>
        <w:pStyle w:val="Default"/>
        <w:jc w:val="center"/>
        <w:rPr>
          <w:b/>
          <w:bCs/>
          <w:sz w:val="28"/>
          <w:szCs w:val="28"/>
        </w:rPr>
      </w:pPr>
      <w:r w:rsidRPr="00F8636F">
        <w:rPr>
          <w:b/>
          <w:bCs/>
          <w:sz w:val="28"/>
          <w:szCs w:val="28"/>
        </w:rPr>
        <w:t xml:space="preserve">до проєкту Закону України </w:t>
      </w:r>
    </w:p>
    <w:p w:rsidR="00F8636F" w:rsidRPr="00F8636F" w:rsidRDefault="00F8636F" w:rsidP="00F8636F">
      <w:pPr>
        <w:pStyle w:val="Default"/>
        <w:jc w:val="center"/>
        <w:rPr>
          <w:b/>
          <w:sz w:val="28"/>
          <w:szCs w:val="28"/>
        </w:rPr>
      </w:pPr>
      <w:r w:rsidRPr="00F8636F">
        <w:rPr>
          <w:b/>
          <w:sz w:val="28"/>
          <w:szCs w:val="28"/>
        </w:rPr>
        <w:t>«</w:t>
      </w:r>
      <w:r w:rsidRPr="00F8636F">
        <w:rPr>
          <w:b/>
          <w:bCs/>
          <w:sz w:val="28"/>
          <w:szCs w:val="28"/>
        </w:rPr>
        <w:t>Про внесення змін до деяких законодавчих актів України щодо імплементації положень законодавства Європейського Союзу про доброчесність, прозорість та запобігання спотворенню конкуренції на оптових ринках</w:t>
      </w:r>
      <w:r w:rsidRPr="00F8636F">
        <w:rPr>
          <w:b/>
          <w:sz w:val="28"/>
          <w:szCs w:val="28"/>
        </w:rPr>
        <w:t>»</w:t>
      </w:r>
    </w:p>
    <w:p w:rsidR="00F8636F" w:rsidRPr="00F8636F" w:rsidRDefault="00F8636F" w:rsidP="00F8636F">
      <w:pPr>
        <w:ind w:firstLine="567"/>
        <w:jc w:val="both"/>
        <w:rPr>
          <w:b/>
          <w:bCs/>
          <w:sz w:val="28"/>
          <w:szCs w:val="28"/>
        </w:rPr>
      </w:pPr>
    </w:p>
    <w:p w:rsidR="00F8636F" w:rsidRDefault="00F8636F" w:rsidP="00F8636F">
      <w:pPr>
        <w:ind w:firstLine="567"/>
        <w:jc w:val="both"/>
        <w:rPr>
          <w:b/>
          <w:bCs/>
          <w:sz w:val="28"/>
          <w:szCs w:val="28"/>
        </w:rPr>
      </w:pPr>
      <w:r w:rsidRPr="00F8636F">
        <w:rPr>
          <w:b/>
          <w:bCs/>
          <w:sz w:val="28"/>
          <w:szCs w:val="28"/>
        </w:rPr>
        <w:t xml:space="preserve">1. Обґрунтування необхідності прийняття акта </w:t>
      </w:r>
    </w:p>
    <w:p w:rsidR="00F8636F" w:rsidRPr="00F8636F" w:rsidRDefault="00F8636F" w:rsidP="00F8636F">
      <w:pPr>
        <w:ind w:firstLine="567"/>
        <w:jc w:val="both"/>
        <w:rPr>
          <w:b/>
          <w:bCs/>
          <w:sz w:val="28"/>
          <w:szCs w:val="28"/>
        </w:rPr>
      </w:pPr>
    </w:p>
    <w:p w:rsidR="00F8636F" w:rsidRPr="00F8636F" w:rsidRDefault="00F8636F" w:rsidP="00F8636F">
      <w:pPr>
        <w:ind w:firstLine="567"/>
        <w:jc w:val="both"/>
        <w:rPr>
          <w:sz w:val="28"/>
          <w:szCs w:val="28"/>
        </w:rPr>
      </w:pPr>
      <w:r w:rsidRPr="00F8636F">
        <w:rPr>
          <w:sz w:val="28"/>
          <w:szCs w:val="28"/>
        </w:rPr>
        <w:t>Відповідно до положень частини другої статті 1 Закону України «Про ратифікацію Протоколу про приєднання України до Договору про заснування Енергетичного Співтовариства» та рішення Ради Міністрів Енергетичного Співтовариства № 2018/01/MC-</w:t>
      </w:r>
      <w:proofErr w:type="spellStart"/>
      <w:r w:rsidRPr="00F8636F">
        <w:rPr>
          <w:sz w:val="28"/>
          <w:szCs w:val="28"/>
        </w:rPr>
        <w:t>EnC</w:t>
      </w:r>
      <w:proofErr w:type="spellEnd"/>
      <w:r w:rsidRPr="00F8636F">
        <w:rPr>
          <w:sz w:val="28"/>
          <w:szCs w:val="28"/>
        </w:rPr>
        <w:t xml:space="preserve"> від 29 листопада 2019 року Україна, як Договірна сторона Енергетичного Співтовариства, взяла на с</w:t>
      </w:r>
      <w:r>
        <w:rPr>
          <w:sz w:val="28"/>
          <w:szCs w:val="28"/>
        </w:rPr>
        <w:t xml:space="preserve">ебе зобов’язання імплементувати </w:t>
      </w:r>
      <w:r w:rsidRPr="00F8636F">
        <w:rPr>
          <w:sz w:val="28"/>
          <w:szCs w:val="28"/>
        </w:rPr>
        <w:t xml:space="preserve">Регламент № 1227/2011 від 25 жовтня 2011 року щодо цілісності та прозорості оптового енергетичного ринку в його адаптованій редакції. </w:t>
      </w:r>
    </w:p>
    <w:p w:rsidR="00F8636F" w:rsidRPr="00F8636F" w:rsidRDefault="00F8636F" w:rsidP="00F8636F">
      <w:pPr>
        <w:ind w:firstLine="567"/>
        <w:jc w:val="both"/>
        <w:rPr>
          <w:sz w:val="28"/>
          <w:szCs w:val="28"/>
        </w:rPr>
      </w:pPr>
      <w:r w:rsidRPr="00F8636F">
        <w:rPr>
          <w:sz w:val="28"/>
          <w:szCs w:val="28"/>
        </w:rPr>
        <w:t xml:space="preserve">Регламент вимагає від держав, які є членами Європейського Союзу або  сторонами Енергетичного Співтовариства, встановити на національному рівні такі вимоги та правила, що забезпечать прозорість та цілісність оптових енергетичних ринків: ринків електричної енергії та природного газу, та дозволять попереджувати зловживання учасників на оптових енергетичних ринках, зокрема, що стосується маніпулювання ринками, торгівлі на основі інсайдерської інформації, використання переваг, пов’язаних з монопольним становищем тощо. </w:t>
      </w:r>
    </w:p>
    <w:p w:rsidR="00F8636F" w:rsidRPr="00F8636F" w:rsidRDefault="00F8636F" w:rsidP="00F8636F">
      <w:pPr>
        <w:ind w:firstLine="567"/>
        <w:jc w:val="both"/>
        <w:rPr>
          <w:sz w:val="28"/>
          <w:szCs w:val="28"/>
        </w:rPr>
      </w:pPr>
      <w:r w:rsidRPr="00F8636F">
        <w:rPr>
          <w:sz w:val="28"/>
          <w:szCs w:val="28"/>
        </w:rPr>
        <w:t>Проєкт Закону України «Про внесення змін до деяких законодавчих актів України щодо запобігання зловживанням на оптових енергетичних ринках» (далі – проєкт Закону) розроблено на виконання міжнародних зобов’язань України, які було взято в рамках Договору про заснування Енергетичного Співтовариства щодо наближення українського законодавства до законодавства ЄС.</w:t>
      </w:r>
    </w:p>
    <w:p w:rsidR="00F8636F" w:rsidRPr="00F8636F" w:rsidRDefault="00F8636F" w:rsidP="00F8636F">
      <w:pPr>
        <w:ind w:firstLine="567"/>
        <w:jc w:val="both"/>
        <w:rPr>
          <w:sz w:val="28"/>
          <w:szCs w:val="28"/>
        </w:rPr>
      </w:pPr>
    </w:p>
    <w:p w:rsidR="00F8636F" w:rsidRDefault="00F8636F" w:rsidP="00F8636F">
      <w:pPr>
        <w:pStyle w:val="Default"/>
        <w:ind w:firstLine="567"/>
        <w:jc w:val="both"/>
        <w:rPr>
          <w:b/>
          <w:bCs/>
          <w:sz w:val="28"/>
          <w:szCs w:val="28"/>
        </w:rPr>
      </w:pPr>
      <w:r w:rsidRPr="00F8636F">
        <w:rPr>
          <w:b/>
          <w:bCs/>
          <w:sz w:val="28"/>
          <w:szCs w:val="28"/>
        </w:rPr>
        <w:t xml:space="preserve">2. Мета і шляхи досягнення </w:t>
      </w:r>
    </w:p>
    <w:p w:rsidR="00F8636F" w:rsidRPr="00F8636F" w:rsidRDefault="00F8636F" w:rsidP="00F8636F">
      <w:pPr>
        <w:pStyle w:val="Default"/>
        <w:ind w:firstLine="567"/>
        <w:jc w:val="both"/>
        <w:rPr>
          <w:b/>
          <w:bCs/>
          <w:sz w:val="28"/>
          <w:szCs w:val="28"/>
        </w:rPr>
      </w:pPr>
    </w:p>
    <w:p w:rsidR="00F8636F" w:rsidRDefault="00F8636F" w:rsidP="00F8636F">
      <w:pPr>
        <w:pStyle w:val="Default"/>
        <w:ind w:firstLine="567"/>
        <w:jc w:val="both"/>
        <w:rPr>
          <w:sz w:val="28"/>
          <w:szCs w:val="28"/>
        </w:rPr>
      </w:pPr>
      <w:r w:rsidRPr="00F8636F">
        <w:rPr>
          <w:sz w:val="28"/>
          <w:szCs w:val="28"/>
        </w:rPr>
        <w:t>Метою прийняття проєкту Закону є імплементування в українське законодавство адаптованої версії Регламенту № 1227/2011 від 25 жовтня 2011 року. Для чого пропонується конкретизувати аспекти антимонопольної та регуляторної політики, захисту прав споживачів, встановити на законодавчому рівні правила, що забезпечать прозорість та цілісність оптових енергетичних ринків: ринків електричної енергії та природного газу.</w:t>
      </w:r>
    </w:p>
    <w:p w:rsidR="00F8636F" w:rsidRPr="00F8636F" w:rsidRDefault="00F8636F" w:rsidP="00F8636F">
      <w:pPr>
        <w:pStyle w:val="Default"/>
        <w:ind w:firstLine="567"/>
        <w:jc w:val="both"/>
        <w:rPr>
          <w:sz w:val="28"/>
          <w:szCs w:val="28"/>
        </w:rPr>
      </w:pPr>
    </w:p>
    <w:p w:rsidR="00F8636F" w:rsidRPr="00F8636F" w:rsidRDefault="00F8636F" w:rsidP="00F8636F">
      <w:pPr>
        <w:pStyle w:val="Default"/>
        <w:ind w:firstLine="567"/>
        <w:jc w:val="both"/>
        <w:rPr>
          <w:sz w:val="28"/>
          <w:szCs w:val="28"/>
        </w:rPr>
      </w:pPr>
      <w:r>
        <w:rPr>
          <w:sz w:val="28"/>
          <w:szCs w:val="28"/>
        </w:rPr>
        <w:t>Проє</w:t>
      </w:r>
      <w:r w:rsidRPr="00F8636F">
        <w:rPr>
          <w:sz w:val="28"/>
          <w:szCs w:val="28"/>
        </w:rPr>
        <w:t xml:space="preserve">кт Закону спрямований на попередження зловживання з боку учасників на оптових енергетичних ринках та встановлення відповідальності </w:t>
      </w:r>
      <w:r w:rsidRPr="00F8636F">
        <w:rPr>
          <w:sz w:val="28"/>
          <w:szCs w:val="28"/>
        </w:rPr>
        <w:lastRenderedPageBreak/>
        <w:t>для учасників за маніпулювання на енергетичних ринках, а також за торгівлю на основі інсайдерської інформації.</w:t>
      </w:r>
    </w:p>
    <w:p w:rsidR="00F8636F" w:rsidRPr="00F8636F" w:rsidRDefault="00F8636F" w:rsidP="00F8636F">
      <w:pPr>
        <w:pStyle w:val="Default"/>
        <w:ind w:firstLine="567"/>
        <w:jc w:val="both"/>
        <w:rPr>
          <w:sz w:val="28"/>
          <w:szCs w:val="28"/>
        </w:rPr>
      </w:pPr>
    </w:p>
    <w:p w:rsidR="00F8636F" w:rsidRDefault="00F8636F" w:rsidP="00F8636F">
      <w:pPr>
        <w:pStyle w:val="Default"/>
        <w:ind w:firstLine="567"/>
        <w:jc w:val="both"/>
        <w:rPr>
          <w:b/>
          <w:bCs/>
          <w:sz w:val="28"/>
          <w:szCs w:val="28"/>
        </w:rPr>
      </w:pPr>
      <w:r w:rsidRPr="00F8636F">
        <w:rPr>
          <w:b/>
          <w:bCs/>
          <w:sz w:val="28"/>
          <w:szCs w:val="28"/>
        </w:rPr>
        <w:t>3. Загальна характеристика та основні положення пр</w:t>
      </w:r>
      <w:r>
        <w:rPr>
          <w:b/>
          <w:bCs/>
          <w:sz w:val="28"/>
          <w:szCs w:val="28"/>
        </w:rPr>
        <w:t>оєкту</w:t>
      </w:r>
      <w:r w:rsidRPr="00F8636F">
        <w:rPr>
          <w:b/>
          <w:bCs/>
          <w:sz w:val="28"/>
          <w:szCs w:val="28"/>
        </w:rPr>
        <w:t xml:space="preserve"> акту</w:t>
      </w:r>
    </w:p>
    <w:p w:rsidR="00F8636F" w:rsidRPr="00F8636F" w:rsidRDefault="00F8636F" w:rsidP="00F8636F">
      <w:pPr>
        <w:pStyle w:val="Default"/>
        <w:ind w:firstLine="567"/>
        <w:jc w:val="both"/>
        <w:rPr>
          <w:b/>
          <w:bCs/>
          <w:sz w:val="28"/>
          <w:szCs w:val="28"/>
        </w:rPr>
      </w:pPr>
    </w:p>
    <w:p w:rsidR="00F8636F" w:rsidRPr="00F8636F" w:rsidRDefault="00F8636F" w:rsidP="00F8636F">
      <w:pPr>
        <w:pStyle w:val="Default"/>
        <w:ind w:firstLine="567"/>
        <w:jc w:val="both"/>
        <w:rPr>
          <w:b/>
          <w:bCs/>
          <w:sz w:val="28"/>
          <w:szCs w:val="28"/>
        </w:rPr>
      </w:pPr>
      <w:r w:rsidRPr="00F8636F">
        <w:rPr>
          <w:sz w:val="28"/>
          <w:szCs w:val="28"/>
        </w:rPr>
        <w:t>Проєктом Закону передбачається внесення нових положень до законів України щодо енергетичних ринків, яка відповідає європейському енергетичному законодавству, зокрема, Регламенту. Так, запроваджуються нові поняття «оптовий енергетичний ринок», «оптові енергетичні продукти», «</w:t>
      </w:r>
      <w:r w:rsidRPr="00F8636F">
        <w:rPr>
          <w:sz w:val="28"/>
          <w:szCs w:val="28"/>
          <w:lang w:eastAsia="uk-UA"/>
        </w:rPr>
        <w:t>особа, яка професійно організовує операції з оптовими енергетичними продуктами</w:t>
      </w:r>
      <w:r w:rsidRPr="00F8636F">
        <w:rPr>
          <w:sz w:val="28"/>
          <w:szCs w:val="28"/>
        </w:rPr>
        <w:t xml:space="preserve">», </w:t>
      </w:r>
      <w:r>
        <w:rPr>
          <w:sz w:val="28"/>
          <w:szCs w:val="28"/>
        </w:rPr>
        <w:t>«інсайдерська інформаці</w:t>
      </w:r>
      <w:r w:rsidRPr="00F8636F">
        <w:rPr>
          <w:sz w:val="28"/>
          <w:szCs w:val="28"/>
        </w:rPr>
        <w:t>я на ринку електричної енергії», «інсайдерська інформацією на ринку природного газу», «маніпулювання на ринку електричної енергії», «маніпулювання на ринку природного газу». Також передбачається надання додаткових повноважень НКРЕКП в частині визначення вимог щодо заборони та запобігання зловживанням на оптових енергетичних ринках відповідно до вимог нормативно-правових актів Енергетичного Співтовариства; контролю ринків електричної енергії та природного газу та поведінки суб’єктів господарювання, що провадять діяльність на зазначених ринках, з метою виявлення ознак зловживань на ринках; реєстрації суб’єктів господарювання, що провадять діяльність у сферах енергетики та є учасниками оптових енергетичних ринків; співпраці з Радою регуляторних органів Енергетичного Співтовариства та регулюючими органами інших держав з метою виконання функцій та завдань, що визначені Регламентом (ЄС) № 1227/2011 від 25 жовтня 2011 року щодо цілісності та прозорості оптового енергетичного ринку, адаптованим відповідно до рішення Ради Міністрів Енергетичного Співтовариства 2018/10/MC-</w:t>
      </w:r>
      <w:proofErr w:type="spellStart"/>
      <w:r w:rsidRPr="00F8636F">
        <w:rPr>
          <w:sz w:val="28"/>
          <w:szCs w:val="28"/>
        </w:rPr>
        <w:t>EnC</w:t>
      </w:r>
      <w:proofErr w:type="spellEnd"/>
      <w:r w:rsidRPr="00F8636F">
        <w:rPr>
          <w:sz w:val="28"/>
          <w:szCs w:val="28"/>
        </w:rPr>
        <w:t>; отримання інформації від осіб, які професійно організовують операції з оптовими енергетичними продуктами; здійснення моніторингу торгівельної діяльності з оптовими енергетичними продуктами  метою виявлення та запобігання зловживанням на оптових енергетичних ринках;  ініціювання розслідувань виявлених порушень щодо обмежень поводження з інсайдерською інформацією, або виявлено дії, що мають ознаки маніпулювання на оптових енергетичних ринках; застосування санкцій за зловживання на оптових енергетичних ринках.</w:t>
      </w:r>
      <w:r w:rsidRPr="00F8636F">
        <w:rPr>
          <w:b/>
          <w:bCs/>
          <w:sz w:val="28"/>
          <w:szCs w:val="28"/>
        </w:rPr>
        <w:t xml:space="preserve"> </w:t>
      </w:r>
      <w:r w:rsidRPr="00F8636F">
        <w:rPr>
          <w:sz w:val="28"/>
          <w:szCs w:val="28"/>
        </w:rPr>
        <w:t>Запроваджується інститут саморегулівних організацій учасників ринків електричної енергії та суб’єктів ринку природного газу; визначається механізм підтримання ліквідності на ринку (маркет-мейкери); вр</w:t>
      </w:r>
      <w:r>
        <w:rPr>
          <w:sz w:val="28"/>
          <w:szCs w:val="28"/>
        </w:rPr>
        <w:t>егульовується питання, пов’язане</w:t>
      </w:r>
      <w:r w:rsidRPr="00F8636F">
        <w:rPr>
          <w:sz w:val="28"/>
          <w:szCs w:val="28"/>
        </w:rPr>
        <w:t xml:space="preserve"> з професійною таємницею на енергетичних ринках.</w:t>
      </w:r>
    </w:p>
    <w:p w:rsidR="00F8636F" w:rsidRPr="00F8636F" w:rsidRDefault="00F8636F" w:rsidP="00F8636F">
      <w:pPr>
        <w:pStyle w:val="Default"/>
        <w:ind w:firstLine="567"/>
        <w:jc w:val="both"/>
        <w:rPr>
          <w:b/>
          <w:bCs/>
          <w:sz w:val="28"/>
          <w:szCs w:val="28"/>
        </w:rPr>
      </w:pPr>
    </w:p>
    <w:p w:rsidR="00F8636F" w:rsidRPr="00F8636F" w:rsidRDefault="00F8636F" w:rsidP="00F8636F">
      <w:pPr>
        <w:pStyle w:val="HTML"/>
        <w:widowControl w:val="0"/>
        <w:ind w:firstLine="567"/>
        <w:jc w:val="both"/>
        <w:rPr>
          <w:rFonts w:ascii="Times New Roman" w:hAnsi="Times New Roman"/>
          <w:b/>
          <w:bCs/>
          <w:sz w:val="28"/>
          <w:szCs w:val="28"/>
        </w:rPr>
      </w:pPr>
      <w:r w:rsidRPr="00F8636F">
        <w:rPr>
          <w:rFonts w:ascii="Times New Roman" w:hAnsi="Times New Roman"/>
          <w:b/>
          <w:bCs/>
          <w:sz w:val="28"/>
          <w:szCs w:val="28"/>
        </w:rPr>
        <w:t>4. Стан нормативно-правової бази у даній сфері правового регулювання</w:t>
      </w:r>
    </w:p>
    <w:p w:rsidR="00F8636F" w:rsidRPr="00F8636F" w:rsidRDefault="00F8636F" w:rsidP="00F8636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contextualSpacing/>
        <w:jc w:val="both"/>
        <w:rPr>
          <w:sz w:val="28"/>
          <w:szCs w:val="28"/>
        </w:rPr>
      </w:pPr>
      <w:r w:rsidRPr="00F8636F">
        <w:rPr>
          <w:sz w:val="28"/>
          <w:szCs w:val="28"/>
        </w:rPr>
        <w:t>Нормативно-правовими актами у даній сфері правового регулювання є</w:t>
      </w:r>
      <w:r>
        <w:rPr>
          <w:sz w:val="28"/>
          <w:szCs w:val="28"/>
        </w:rPr>
        <w:t>:</w:t>
      </w:r>
      <w:r w:rsidRPr="00F8636F">
        <w:rPr>
          <w:sz w:val="28"/>
          <w:szCs w:val="28"/>
        </w:rPr>
        <w:t xml:space="preserve"> Закони України «Про природні монополії», «Про Антимонопольний комітет України», «Про Національну комісію, що здійснює державне регулювання у </w:t>
      </w:r>
      <w:r w:rsidRPr="00F8636F">
        <w:rPr>
          <w:sz w:val="28"/>
          <w:szCs w:val="28"/>
        </w:rPr>
        <w:lastRenderedPageBreak/>
        <w:t>сферах енергетики та комунальних послуг», «Про ринок електричної енергії», «Про</w:t>
      </w:r>
      <w:r>
        <w:rPr>
          <w:sz w:val="28"/>
          <w:szCs w:val="28"/>
        </w:rPr>
        <w:t xml:space="preserve"> ринок природного газу».</w:t>
      </w:r>
      <w:r w:rsidRPr="00F8636F">
        <w:rPr>
          <w:sz w:val="28"/>
          <w:szCs w:val="28"/>
        </w:rPr>
        <w:t xml:space="preserve"> </w:t>
      </w:r>
    </w:p>
    <w:p w:rsidR="00F8636F" w:rsidRPr="00F8636F" w:rsidRDefault="00F8636F" w:rsidP="00F8636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contextualSpacing/>
        <w:jc w:val="both"/>
        <w:rPr>
          <w:sz w:val="28"/>
          <w:szCs w:val="28"/>
        </w:rPr>
      </w:pPr>
    </w:p>
    <w:p w:rsidR="00F8636F" w:rsidRDefault="00F8636F" w:rsidP="00F8636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contextualSpacing/>
        <w:jc w:val="both"/>
        <w:rPr>
          <w:rFonts w:cs="Courier New"/>
          <w:b/>
          <w:sz w:val="28"/>
          <w:szCs w:val="28"/>
        </w:rPr>
      </w:pPr>
      <w:r w:rsidRPr="00F8636F">
        <w:rPr>
          <w:rFonts w:cs="Courier New"/>
          <w:b/>
          <w:sz w:val="28"/>
          <w:szCs w:val="28"/>
        </w:rPr>
        <w:t xml:space="preserve">5. Фінансово-економічне обґрунтування </w:t>
      </w:r>
    </w:p>
    <w:p w:rsidR="00F8636F" w:rsidRPr="00F8636F" w:rsidRDefault="00F8636F" w:rsidP="00F8636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contextualSpacing/>
        <w:jc w:val="both"/>
        <w:rPr>
          <w:rFonts w:cs="Courier New"/>
          <w:b/>
          <w:sz w:val="28"/>
          <w:szCs w:val="28"/>
        </w:rPr>
      </w:pPr>
    </w:p>
    <w:p w:rsidR="00F8636F" w:rsidRPr="00F8636F" w:rsidRDefault="00F8636F" w:rsidP="00F8636F">
      <w:pPr>
        <w:widowControl w:val="0"/>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8"/>
          <w:szCs w:val="28"/>
          <w:lang w:eastAsia="uk-UA"/>
        </w:rPr>
      </w:pPr>
      <w:r w:rsidRPr="00F8636F">
        <w:rPr>
          <w:sz w:val="28"/>
          <w:szCs w:val="28"/>
          <w:lang w:eastAsia="uk-UA"/>
        </w:rPr>
        <w:t xml:space="preserve">Реалізація положень </w:t>
      </w:r>
      <w:r>
        <w:rPr>
          <w:sz w:val="28"/>
          <w:szCs w:val="28"/>
          <w:lang w:eastAsia="uk-UA"/>
        </w:rPr>
        <w:t xml:space="preserve">проєкту </w:t>
      </w:r>
      <w:r w:rsidRPr="00F8636F">
        <w:rPr>
          <w:sz w:val="28"/>
          <w:szCs w:val="28"/>
          <w:lang w:eastAsia="uk-UA"/>
        </w:rPr>
        <w:t xml:space="preserve">Закону у разі його прийняття не призведе до додаткових видатків з Державного бюджету України. </w:t>
      </w:r>
    </w:p>
    <w:p w:rsidR="00F8636F" w:rsidRPr="00F8636F" w:rsidRDefault="00F8636F" w:rsidP="00F8636F">
      <w:pPr>
        <w:widowControl w:val="0"/>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8"/>
          <w:szCs w:val="28"/>
          <w:lang w:eastAsia="uk-UA"/>
        </w:rPr>
      </w:pPr>
    </w:p>
    <w:p w:rsidR="00F8636F" w:rsidRPr="00F8636F" w:rsidRDefault="00F8636F" w:rsidP="00F8636F">
      <w:pPr>
        <w:widowControl w:val="0"/>
        <w:tabs>
          <w:tab w:val="left" w:pos="900"/>
        </w:tabs>
        <w:autoSpaceDE w:val="0"/>
        <w:autoSpaceDN w:val="0"/>
        <w:spacing w:before="120" w:after="60"/>
        <w:ind w:firstLine="567"/>
        <w:contextualSpacing/>
        <w:jc w:val="both"/>
        <w:rPr>
          <w:b/>
          <w:bCs/>
          <w:sz w:val="28"/>
          <w:szCs w:val="28"/>
        </w:rPr>
      </w:pPr>
      <w:r w:rsidRPr="00F8636F">
        <w:rPr>
          <w:b/>
          <w:sz w:val="28"/>
          <w:szCs w:val="28"/>
        </w:rPr>
        <w:t xml:space="preserve">6. </w:t>
      </w:r>
      <w:r w:rsidRPr="00F8636F">
        <w:rPr>
          <w:b/>
          <w:bCs/>
          <w:sz w:val="28"/>
          <w:szCs w:val="28"/>
        </w:rPr>
        <w:t xml:space="preserve">Прогноз соціально-економічних та інших наслідків прийняття </w:t>
      </w:r>
      <w:r>
        <w:rPr>
          <w:b/>
          <w:bCs/>
          <w:sz w:val="28"/>
          <w:szCs w:val="28"/>
        </w:rPr>
        <w:t xml:space="preserve">проєкту </w:t>
      </w:r>
      <w:r w:rsidRPr="00F8636F">
        <w:rPr>
          <w:b/>
          <w:bCs/>
          <w:sz w:val="28"/>
          <w:szCs w:val="28"/>
        </w:rPr>
        <w:t>Закону</w:t>
      </w:r>
    </w:p>
    <w:p w:rsidR="00F8636F" w:rsidRDefault="00F8636F" w:rsidP="00F8636F">
      <w:pPr>
        <w:pStyle w:val="Default"/>
        <w:spacing w:after="240"/>
        <w:ind w:firstLine="567"/>
        <w:jc w:val="both"/>
        <w:rPr>
          <w:sz w:val="28"/>
          <w:szCs w:val="28"/>
        </w:rPr>
      </w:pPr>
      <w:r w:rsidRPr="00F8636F">
        <w:rPr>
          <w:sz w:val="28"/>
          <w:szCs w:val="28"/>
        </w:rPr>
        <w:t xml:space="preserve"> </w:t>
      </w:r>
    </w:p>
    <w:p w:rsidR="00F8636F" w:rsidRPr="00F8636F" w:rsidRDefault="00F8636F" w:rsidP="00F8636F">
      <w:pPr>
        <w:pStyle w:val="Default"/>
        <w:spacing w:after="240"/>
        <w:ind w:firstLine="567"/>
        <w:jc w:val="both"/>
        <w:rPr>
          <w:sz w:val="28"/>
          <w:szCs w:val="28"/>
        </w:rPr>
      </w:pPr>
      <w:r w:rsidRPr="00F8636F">
        <w:rPr>
          <w:sz w:val="28"/>
          <w:szCs w:val="28"/>
        </w:rPr>
        <w:t>Прийняття проєкту Закону покращить існуюче законодавче та регуляторне середовище енергетичного сектору України шляхом його гармонізації з нормативно-правовою базою та найкращими практиками ЄС.</w:t>
      </w:r>
    </w:p>
    <w:p w:rsidR="00F8636F" w:rsidRPr="00F8636F" w:rsidRDefault="00F8636F" w:rsidP="00F8636F">
      <w:pPr>
        <w:pStyle w:val="Default"/>
        <w:spacing w:after="240"/>
        <w:ind w:firstLine="567"/>
        <w:jc w:val="both"/>
        <w:rPr>
          <w:sz w:val="28"/>
          <w:szCs w:val="28"/>
        </w:rPr>
      </w:pPr>
      <w:r w:rsidRPr="00F8636F">
        <w:rPr>
          <w:sz w:val="28"/>
          <w:szCs w:val="28"/>
        </w:rPr>
        <w:t>Повна та якісна імплементація положень Регламенту закладе умови для формування справедливих та конкурентних оптових цін на енергоносії, що дозволить енергетичному ринку ефективно функціонувати на користь споживачів та промисловості.</w:t>
      </w:r>
    </w:p>
    <w:p w:rsidR="00E20601" w:rsidRPr="00F8636F" w:rsidRDefault="00E20601">
      <w:bookmarkStart w:id="0" w:name="_GoBack"/>
      <w:bookmarkEnd w:id="0"/>
    </w:p>
    <w:p w:rsidR="0002273D" w:rsidRPr="00F8636F" w:rsidRDefault="0002273D" w:rsidP="0002273D">
      <w:pPr>
        <w:spacing w:before="120"/>
        <w:rPr>
          <w:rFonts w:ascii="Antiqua" w:hAnsi="Antiqua" w:cs="Antiqua"/>
          <w:color w:val="auto"/>
          <w:lang w:eastAsia="uk-UA"/>
        </w:rPr>
      </w:pPr>
      <w:r w:rsidRPr="00F8636F">
        <w:rPr>
          <w:b/>
          <w:bCs/>
          <w:color w:val="auto"/>
          <w:sz w:val="28"/>
          <w:szCs w:val="28"/>
          <w:lang w:eastAsia="uk-UA"/>
        </w:rPr>
        <w:t xml:space="preserve">Народний депутат України                                              Буймістер Л.А. (424)       </w:t>
      </w:r>
    </w:p>
    <w:sectPr w:rsidR="0002273D" w:rsidRPr="00F8636F" w:rsidSect="00A96C90">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614E" w:rsidRDefault="00EE614E" w:rsidP="00A96C90">
      <w:r>
        <w:separator/>
      </w:r>
    </w:p>
  </w:endnote>
  <w:endnote w:type="continuationSeparator" w:id="0">
    <w:p w:rsidR="00EE614E" w:rsidRDefault="00EE614E" w:rsidP="00A96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C90" w:rsidRDefault="00A96C90">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9999054"/>
      <w:docPartObj>
        <w:docPartGallery w:val="Page Numbers (Bottom of Page)"/>
        <w:docPartUnique/>
      </w:docPartObj>
    </w:sdtPr>
    <w:sdtEndPr/>
    <w:sdtContent>
      <w:p w:rsidR="00A96C90" w:rsidRDefault="00A96C90">
        <w:pPr>
          <w:pStyle w:val="a6"/>
          <w:jc w:val="center"/>
        </w:pPr>
        <w:r>
          <w:fldChar w:fldCharType="begin"/>
        </w:r>
        <w:r>
          <w:instrText>PAGE   \* MERGEFORMAT</w:instrText>
        </w:r>
        <w:r>
          <w:fldChar w:fldCharType="separate"/>
        </w:r>
        <w:r w:rsidR="00F8636F" w:rsidRPr="00F8636F">
          <w:rPr>
            <w:noProof/>
            <w:lang w:val="ru-RU"/>
          </w:rPr>
          <w:t>2</w:t>
        </w:r>
        <w:r>
          <w:fldChar w:fldCharType="end"/>
        </w:r>
      </w:p>
    </w:sdtContent>
  </w:sdt>
  <w:p w:rsidR="00A96C90" w:rsidRDefault="00A96C90">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C90" w:rsidRDefault="00A96C9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614E" w:rsidRDefault="00EE614E" w:rsidP="00A96C90">
      <w:r>
        <w:separator/>
      </w:r>
    </w:p>
  </w:footnote>
  <w:footnote w:type="continuationSeparator" w:id="0">
    <w:p w:rsidR="00EE614E" w:rsidRDefault="00EE614E" w:rsidP="00A96C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C90" w:rsidRDefault="00A96C90">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C90" w:rsidRDefault="00A96C90">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C90" w:rsidRDefault="00A96C90">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2A0B81"/>
    <w:multiLevelType w:val="hybridMultilevel"/>
    <w:tmpl w:val="8104F850"/>
    <w:lvl w:ilvl="0" w:tplc="0E90F71C">
      <w:start w:val="1"/>
      <w:numFmt w:val="bullet"/>
      <w:lvlText w:val="-"/>
      <w:lvlJc w:val="left"/>
      <w:pPr>
        <w:ind w:left="1069" w:hanging="360"/>
      </w:pPr>
      <w:rPr>
        <w:rFonts w:ascii="Times New Roman" w:eastAsia="Times New Roman" w:hAnsi="Times New Roman" w:hint="default"/>
        <w:b w:val="0"/>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A79"/>
    <w:rsid w:val="0002273D"/>
    <w:rsid w:val="0010370B"/>
    <w:rsid w:val="002521C5"/>
    <w:rsid w:val="005C1D3A"/>
    <w:rsid w:val="0062651B"/>
    <w:rsid w:val="009431EF"/>
    <w:rsid w:val="009D5342"/>
    <w:rsid w:val="009F5A79"/>
    <w:rsid w:val="00A96C90"/>
    <w:rsid w:val="00B45CB9"/>
    <w:rsid w:val="00BF30AE"/>
    <w:rsid w:val="00DA5FE0"/>
    <w:rsid w:val="00DC10D1"/>
    <w:rsid w:val="00E20601"/>
    <w:rsid w:val="00E55C05"/>
    <w:rsid w:val="00E80FD3"/>
    <w:rsid w:val="00EE614E"/>
    <w:rsid w:val="00F8636F"/>
    <w:rsid w:val="00FE7C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4221B0-C72F-485C-B456-85FF14654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273D"/>
    <w:pPr>
      <w:spacing w:after="0" w:line="240" w:lineRule="auto"/>
    </w:pPr>
    <w:rPr>
      <w:rFonts w:ascii="Times New Roman" w:eastAsia="Times New Roman" w:hAnsi="Times New Roman" w:cs="Times New Roman"/>
      <w:color w:val="000000"/>
      <w:sz w:val="26"/>
      <w:szCs w:val="26"/>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aliases w:val="Стандартный HTML Знак Знак"/>
    <w:basedOn w:val="a"/>
    <w:link w:val="HTML0"/>
    <w:uiPriority w:val="99"/>
    <w:rsid w:val="000227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1"/>
      <w:szCs w:val="21"/>
      <w:lang w:eastAsia="uk-UA"/>
    </w:rPr>
  </w:style>
  <w:style w:type="character" w:customStyle="1" w:styleId="HTML0">
    <w:name w:val="Стандартный HTML Знак"/>
    <w:aliases w:val="Стандартный HTML Знак Знак Знак"/>
    <w:basedOn w:val="a0"/>
    <w:link w:val="HTML"/>
    <w:uiPriority w:val="99"/>
    <w:rsid w:val="0002273D"/>
    <w:rPr>
      <w:rFonts w:ascii="Courier New" w:eastAsia="Times New Roman" w:hAnsi="Courier New" w:cs="Courier New"/>
      <w:color w:val="000000"/>
      <w:sz w:val="21"/>
      <w:szCs w:val="21"/>
      <w:lang w:val="uk-UA" w:eastAsia="uk-UA"/>
    </w:rPr>
  </w:style>
  <w:style w:type="paragraph" w:customStyle="1" w:styleId="2A">
    <w:name w:val="Заголовок 2 A"/>
    <w:autoRedefine/>
    <w:uiPriority w:val="99"/>
    <w:rsid w:val="0002273D"/>
    <w:pPr>
      <w:spacing w:before="100" w:after="100" w:line="240" w:lineRule="auto"/>
      <w:outlineLvl w:val="1"/>
    </w:pPr>
    <w:rPr>
      <w:rFonts w:ascii="Times New Roman Bold" w:eastAsia="Times New Roman" w:hAnsi="Times New Roman Bold" w:cs="Times New Roman"/>
      <w:color w:val="000000"/>
      <w:sz w:val="36"/>
      <w:szCs w:val="20"/>
      <w:lang w:eastAsia="ru-RU"/>
    </w:rPr>
  </w:style>
  <w:style w:type="paragraph" w:styleId="a3">
    <w:name w:val="No Spacing"/>
    <w:uiPriority w:val="1"/>
    <w:qFormat/>
    <w:rsid w:val="0002273D"/>
    <w:pPr>
      <w:spacing w:after="0" w:line="240" w:lineRule="auto"/>
    </w:pPr>
    <w:rPr>
      <w:rFonts w:ascii="Times New Roman" w:eastAsia="Times New Roman" w:hAnsi="Times New Roman" w:cs="Times New Roman"/>
      <w:color w:val="000000"/>
      <w:sz w:val="26"/>
      <w:szCs w:val="26"/>
      <w:lang w:val="uk-UA" w:eastAsia="ru-RU"/>
    </w:rPr>
  </w:style>
  <w:style w:type="paragraph" w:styleId="a4">
    <w:name w:val="header"/>
    <w:basedOn w:val="a"/>
    <w:link w:val="a5"/>
    <w:uiPriority w:val="99"/>
    <w:unhideWhenUsed/>
    <w:rsid w:val="00A96C90"/>
    <w:pPr>
      <w:tabs>
        <w:tab w:val="center" w:pos="4677"/>
        <w:tab w:val="right" w:pos="9355"/>
      </w:tabs>
    </w:pPr>
  </w:style>
  <w:style w:type="character" w:customStyle="1" w:styleId="a5">
    <w:name w:val="Верхний колонтитул Знак"/>
    <w:basedOn w:val="a0"/>
    <w:link w:val="a4"/>
    <w:uiPriority w:val="99"/>
    <w:rsid w:val="00A96C90"/>
    <w:rPr>
      <w:rFonts w:ascii="Times New Roman" w:eastAsia="Times New Roman" w:hAnsi="Times New Roman" w:cs="Times New Roman"/>
      <w:color w:val="000000"/>
      <w:sz w:val="26"/>
      <w:szCs w:val="26"/>
      <w:lang w:val="uk-UA" w:eastAsia="ru-RU"/>
    </w:rPr>
  </w:style>
  <w:style w:type="paragraph" w:styleId="a6">
    <w:name w:val="footer"/>
    <w:basedOn w:val="a"/>
    <w:link w:val="a7"/>
    <w:uiPriority w:val="99"/>
    <w:unhideWhenUsed/>
    <w:rsid w:val="00A96C90"/>
    <w:pPr>
      <w:tabs>
        <w:tab w:val="center" w:pos="4677"/>
        <w:tab w:val="right" w:pos="9355"/>
      </w:tabs>
    </w:pPr>
  </w:style>
  <w:style w:type="character" w:customStyle="1" w:styleId="a7">
    <w:name w:val="Нижний колонтитул Знак"/>
    <w:basedOn w:val="a0"/>
    <w:link w:val="a6"/>
    <w:uiPriority w:val="99"/>
    <w:rsid w:val="00A96C90"/>
    <w:rPr>
      <w:rFonts w:ascii="Times New Roman" w:eastAsia="Times New Roman" w:hAnsi="Times New Roman" w:cs="Times New Roman"/>
      <w:color w:val="000000"/>
      <w:sz w:val="26"/>
      <w:szCs w:val="26"/>
      <w:lang w:val="uk-UA" w:eastAsia="ru-RU"/>
    </w:rPr>
  </w:style>
  <w:style w:type="paragraph" w:customStyle="1" w:styleId="Default">
    <w:name w:val="Default"/>
    <w:rsid w:val="00F8636F"/>
    <w:pPr>
      <w:autoSpaceDE w:val="0"/>
      <w:autoSpaceDN w:val="0"/>
      <w:adjustRightInd w:val="0"/>
      <w:spacing w:after="0" w:line="240" w:lineRule="auto"/>
    </w:pPr>
    <w:rPr>
      <w:rFonts w:ascii="Times New Roman" w:hAnsi="Times New Roman" w:cs="Times New Roman"/>
      <w:color w:val="000000"/>
      <w:sz w:val="24"/>
      <w:szCs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3</Pages>
  <Words>873</Words>
  <Characters>4979</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Магдич Богдана Андріївна</dc:creator>
  <cp:keywords/>
  <dc:description/>
  <cp:lastModifiedBy>Магдич Богдана Андріївна</cp:lastModifiedBy>
  <cp:revision>17</cp:revision>
  <dcterms:created xsi:type="dcterms:W3CDTF">2020-05-05T09:25:00Z</dcterms:created>
  <dcterms:modified xsi:type="dcterms:W3CDTF">2020-12-15T21:16:00Z</dcterms:modified>
</cp:coreProperties>
</file>