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B4E" w:rsidRDefault="00B44B4E">
      <w:pPr>
        <w:spacing w:after="0" w:line="240" w:lineRule="auto"/>
        <w:contextualSpacing/>
        <w:jc w:val="center"/>
        <w:rPr>
          <w:rFonts w:ascii="Times New Roman" w:hAnsi="Times New Roman" w:cs="Times New Roman"/>
          <w:sz w:val="24"/>
          <w:szCs w:val="24"/>
        </w:rPr>
      </w:pPr>
      <w:bookmarkStart w:id="0" w:name="_GoBack"/>
      <w:bookmarkEnd w:id="0"/>
      <w:r>
        <w:rPr>
          <w:rFonts w:ascii="Times New Roman" w:hAnsi="Times New Roman" w:cs="Times New Roman"/>
          <w:b/>
          <w:sz w:val="24"/>
          <w:szCs w:val="24"/>
        </w:rPr>
        <w:t xml:space="preserve">ПОРІВНЯЛЬНА ТАБЛИЦЯ </w:t>
      </w:r>
    </w:p>
    <w:p w:rsidR="00B44B4E" w:rsidRDefault="00B44B4E">
      <w:pPr>
        <w:pStyle w:val="af2"/>
        <w:spacing w:before="0"/>
        <w:ind w:firstLine="0"/>
        <w:contextualSpacing/>
        <w:jc w:val="center"/>
        <w:rPr>
          <w:rFonts w:ascii="Times New Roman" w:hAnsi="Times New Roman"/>
          <w:b/>
          <w:sz w:val="24"/>
          <w:szCs w:val="24"/>
        </w:rPr>
      </w:pPr>
      <w:r>
        <w:rPr>
          <w:rFonts w:ascii="Times New Roman" w:hAnsi="Times New Roman"/>
          <w:b/>
          <w:sz w:val="24"/>
          <w:szCs w:val="24"/>
        </w:rPr>
        <w:t>до проєкту Закону України «Про внесення змін до деяких законодавчих актів щодо окремих питань приєднання до газотранспортної або газорозподільної системи»</w:t>
      </w:r>
    </w:p>
    <w:p w:rsidR="00B44B4E" w:rsidRDefault="00B44B4E">
      <w:pPr>
        <w:spacing w:after="120" w:line="240" w:lineRule="auto"/>
        <w:jc w:val="center"/>
        <w:rPr>
          <w:rFonts w:ascii="Times New Roman" w:hAnsi="Times New Roman" w:cs="Times New Roman"/>
          <w:b/>
          <w:sz w:val="24"/>
          <w:szCs w:val="24"/>
          <w:lang w:eastAsia="ru-RU"/>
        </w:rPr>
      </w:pPr>
    </w:p>
    <w:p w:rsidR="00B44B4E" w:rsidRDefault="00B44B4E">
      <w:pPr>
        <w:spacing w:after="120" w:line="240" w:lineRule="auto"/>
        <w:jc w:val="center"/>
        <w:rPr>
          <w:rFonts w:ascii="Times New Roman" w:hAnsi="Times New Roman" w:cs="Times New Roman"/>
          <w:b/>
          <w:sz w:val="24"/>
          <w:szCs w:val="24"/>
          <w:lang w:eastAsia="ru-RU"/>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5245"/>
        <w:gridCol w:w="3592"/>
      </w:tblGrid>
      <w:tr w:rsidR="00B44B4E">
        <w:tc>
          <w:tcPr>
            <w:tcW w:w="6516" w:type="dxa"/>
          </w:tcPr>
          <w:p w:rsidR="00B44B4E" w:rsidRDefault="00B44B4E">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Зміст положення акта законодавства</w:t>
            </w:r>
          </w:p>
        </w:tc>
        <w:tc>
          <w:tcPr>
            <w:tcW w:w="5245" w:type="dxa"/>
          </w:tcPr>
          <w:p w:rsidR="00B44B4E" w:rsidRDefault="00B44B4E">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Зміст відповідного положення проекту акта</w:t>
            </w:r>
          </w:p>
          <w:p w:rsidR="00B44B4E" w:rsidRDefault="00B44B4E">
            <w:pPr>
              <w:spacing w:after="120" w:line="240" w:lineRule="auto"/>
              <w:jc w:val="center"/>
              <w:rPr>
                <w:rFonts w:ascii="Times New Roman" w:hAnsi="Times New Roman" w:cs="Times New Roman"/>
                <w:b/>
                <w:sz w:val="24"/>
                <w:szCs w:val="24"/>
              </w:rPr>
            </w:pPr>
          </w:p>
        </w:tc>
        <w:tc>
          <w:tcPr>
            <w:tcW w:w="3592" w:type="dxa"/>
            <w:shd w:val="clear" w:color="auto" w:fill="auto"/>
          </w:tcPr>
          <w:p w:rsidR="00B44B4E" w:rsidRDefault="00B44B4E">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Пояснення змін</w:t>
            </w:r>
          </w:p>
        </w:tc>
      </w:tr>
      <w:tr w:rsidR="00B44B4E">
        <w:tc>
          <w:tcPr>
            <w:tcW w:w="15353" w:type="dxa"/>
            <w:gridSpan w:val="3"/>
          </w:tcPr>
          <w:p w:rsidR="00B44B4E" w:rsidRDefault="00B44B4E">
            <w:pPr>
              <w:spacing w:after="120" w:line="240" w:lineRule="auto"/>
              <w:jc w:val="center"/>
              <w:rPr>
                <w:rFonts w:ascii="Times New Roman" w:hAnsi="Times New Roman" w:cs="Times New Roman"/>
                <w:b/>
                <w:sz w:val="24"/>
                <w:szCs w:val="24"/>
              </w:rPr>
            </w:pPr>
          </w:p>
          <w:p w:rsidR="00B44B4E" w:rsidRDefault="00B44B4E">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Закон України </w:t>
            </w:r>
            <w:r>
              <w:rPr>
                <w:rFonts w:ascii="Times New Roman" w:hAnsi="Times New Roman" w:cs="Times New Roman"/>
                <w:b/>
                <w:sz w:val="24"/>
                <w:szCs w:val="24"/>
                <w:lang w:val="ru-RU"/>
              </w:rPr>
              <w:t>«</w:t>
            </w:r>
            <w:r>
              <w:rPr>
                <w:rFonts w:ascii="Times New Roman" w:hAnsi="Times New Roman" w:cs="Times New Roman"/>
                <w:b/>
                <w:sz w:val="24"/>
                <w:szCs w:val="24"/>
              </w:rPr>
              <w:t>Про ринок природного газу»</w:t>
            </w:r>
          </w:p>
          <w:p w:rsidR="00B44B4E" w:rsidRDefault="00B44B4E">
            <w:pPr>
              <w:spacing w:after="120" w:line="240" w:lineRule="auto"/>
              <w:jc w:val="center"/>
              <w:rPr>
                <w:rFonts w:ascii="Times New Roman" w:hAnsi="Times New Roman" w:cs="Times New Roman"/>
                <w:sz w:val="24"/>
                <w:szCs w:val="24"/>
              </w:rPr>
            </w:pPr>
          </w:p>
        </w:tc>
      </w:tr>
      <w:tr w:rsidR="00B44B4E">
        <w:tc>
          <w:tcPr>
            <w:tcW w:w="6516" w:type="dxa"/>
          </w:tcPr>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r>
              <w:rPr>
                <w:rFonts w:ascii="Times New Roman" w:hAnsi="Times New Roman" w:cs="Times New Roman"/>
                <w:b/>
                <w:bCs/>
                <w:kern w:val="0"/>
                <w:sz w:val="24"/>
                <w:szCs w:val="24"/>
                <w:lang w:val="ru-RU" w:eastAsia="ru-RU" w:bidi="ar-SA"/>
              </w:rPr>
              <w:t>Стаття 1. </w:t>
            </w:r>
            <w:r>
              <w:rPr>
                <w:rFonts w:ascii="Times New Roman" w:hAnsi="Times New Roman" w:cs="Times New Roman"/>
                <w:kern w:val="0"/>
                <w:sz w:val="24"/>
                <w:szCs w:val="24"/>
                <w:lang w:val="ru-RU" w:eastAsia="ru-RU" w:bidi="ar-SA"/>
              </w:rPr>
              <w:t>Визначення термінів</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bookmarkStart w:id="1" w:name="n7"/>
            <w:bookmarkEnd w:id="1"/>
            <w:r>
              <w:rPr>
                <w:rFonts w:ascii="Times New Roman" w:hAnsi="Times New Roman" w:cs="Times New Roman"/>
                <w:kern w:val="0"/>
                <w:sz w:val="24"/>
                <w:szCs w:val="24"/>
                <w:lang w:val="ru-RU" w:eastAsia="ru-RU" w:bidi="ar-SA"/>
              </w:rPr>
              <w:t>1. У цьому Законі наведені нижче терміни вживаються в такому значенні:</w:t>
            </w:r>
          </w:p>
          <w:p w:rsidR="00B44B4E" w:rsidRDefault="00B44B4E">
            <w:pPr>
              <w:spacing w:after="120" w:line="240" w:lineRule="auto"/>
              <w:rPr>
                <w:rFonts w:ascii="Times New Roman" w:hAnsi="Times New Roman" w:cs="Times New Roman"/>
                <w:b/>
                <w:sz w:val="24"/>
                <w:szCs w:val="24"/>
                <w:lang w:val="ru-RU"/>
              </w:rPr>
            </w:pPr>
            <w:r>
              <w:rPr>
                <w:rFonts w:ascii="Times New Roman" w:hAnsi="Times New Roman" w:cs="Times New Roman"/>
                <w:b/>
                <w:sz w:val="24"/>
                <w:szCs w:val="24"/>
                <w:lang w:val="ru-RU"/>
              </w:rPr>
              <w:t>… відсутні</w:t>
            </w: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pacing w:after="120" w:line="240" w:lineRule="auto"/>
              <w:rPr>
                <w:rFonts w:ascii="Times New Roman" w:hAnsi="Times New Roman" w:cs="Times New Roman"/>
                <w:b/>
                <w:sz w:val="24"/>
                <w:szCs w:val="24"/>
                <w:lang w:val="ru-RU"/>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jc w:val="both"/>
              <w:rPr>
                <w:rFonts w:ascii="Times New Roman" w:hAnsi="Times New Roman" w:cs="Times New Roman"/>
                <w:kern w:val="0"/>
                <w:sz w:val="24"/>
                <w:szCs w:val="24"/>
                <w:lang w:val="ru-RU"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color w:val="auto"/>
                <w:kern w:val="0"/>
                <w:sz w:val="24"/>
                <w:szCs w:val="24"/>
                <w:lang w:val="ru-RU" w:eastAsia="ru-RU" w:bidi="ar-SA"/>
              </w:rPr>
            </w:pPr>
            <w:r>
              <w:rPr>
                <w:rFonts w:ascii="Times New Roman" w:hAnsi="Times New Roman" w:cs="Times New Roman"/>
                <w:color w:val="auto"/>
                <w:kern w:val="0"/>
                <w:sz w:val="24"/>
                <w:szCs w:val="24"/>
                <w:lang w:val="ru-RU" w:eastAsia="ru-RU" w:bidi="ar-SA"/>
              </w:rPr>
              <w:t>Інші терміни вживаються в значеннях, наведених у законах України </w:t>
            </w:r>
            <w:hyperlink r:id="rId7" w:tgtFrame="_blank" w:history="1">
              <w:r>
                <w:rPr>
                  <w:rFonts w:ascii="Times New Roman" w:hAnsi="Times New Roman" w:cs="Times New Roman"/>
                  <w:color w:val="auto"/>
                  <w:kern w:val="0"/>
                  <w:sz w:val="24"/>
                  <w:szCs w:val="24"/>
                  <w:lang w:val="ru-RU" w:eastAsia="ru-RU" w:bidi="ar-SA"/>
                </w:rPr>
                <w:t>«Про нафту і газ»</w:t>
              </w:r>
            </w:hyperlink>
            <w:r>
              <w:rPr>
                <w:rFonts w:ascii="Times New Roman" w:hAnsi="Times New Roman" w:cs="Times New Roman"/>
                <w:color w:val="auto"/>
                <w:kern w:val="0"/>
                <w:sz w:val="24"/>
                <w:szCs w:val="24"/>
                <w:lang w:val="ru-RU" w:eastAsia="ru-RU" w:bidi="ar-SA"/>
              </w:rPr>
              <w:t xml:space="preserve"> , </w:t>
            </w:r>
            <w:hyperlink r:id="rId8" w:tgtFrame="_blank" w:history="1">
              <w:r>
                <w:rPr>
                  <w:rFonts w:ascii="Times New Roman" w:hAnsi="Times New Roman" w:cs="Times New Roman"/>
                  <w:color w:val="auto"/>
                  <w:kern w:val="0"/>
                  <w:sz w:val="24"/>
                  <w:szCs w:val="24"/>
                  <w:lang w:val="ru-RU" w:eastAsia="ru-RU" w:bidi="ar-SA"/>
                </w:rPr>
                <w:t>«Про трубопровідний транспорт»</w:t>
              </w:r>
            </w:hyperlink>
            <w:r>
              <w:rPr>
                <w:rFonts w:ascii="Times New Roman" w:hAnsi="Times New Roman" w:cs="Times New Roman"/>
                <w:color w:val="auto"/>
                <w:kern w:val="0"/>
                <w:sz w:val="24"/>
                <w:szCs w:val="24"/>
                <w:lang w:val="ru-RU" w:eastAsia="ru-RU" w:bidi="ar-SA"/>
              </w:rPr>
              <w:t> та інших законах України.</w:t>
            </w:r>
          </w:p>
          <w:p w:rsidR="00B44B4E" w:rsidRDefault="00B44B4E">
            <w:pPr>
              <w:spacing w:after="120" w:line="240" w:lineRule="auto"/>
              <w:rPr>
                <w:rFonts w:ascii="Times New Roman" w:hAnsi="Times New Roman" w:cs="Times New Roman"/>
                <w:b/>
                <w:sz w:val="24"/>
                <w:szCs w:val="24"/>
                <w:lang w:val="ru-RU"/>
              </w:rPr>
            </w:pPr>
          </w:p>
        </w:tc>
        <w:tc>
          <w:tcPr>
            <w:tcW w:w="5245" w:type="dxa"/>
            <w:shd w:val="clear" w:color="auto" w:fill="auto"/>
          </w:tcPr>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r>
              <w:rPr>
                <w:rFonts w:ascii="Times New Roman" w:hAnsi="Times New Roman" w:cs="Times New Roman"/>
                <w:b/>
                <w:bCs/>
                <w:kern w:val="0"/>
                <w:sz w:val="24"/>
                <w:szCs w:val="24"/>
                <w:lang w:val="ru-RU" w:eastAsia="ru-RU" w:bidi="ar-SA"/>
              </w:rPr>
              <w:lastRenderedPageBreak/>
              <w:t>Стаття 1. </w:t>
            </w:r>
            <w:r>
              <w:rPr>
                <w:rFonts w:ascii="Times New Roman" w:hAnsi="Times New Roman" w:cs="Times New Roman"/>
                <w:kern w:val="0"/>
                <w:sz w:val="24"/>
                <w:szCs w:val="24"/>
                <w:lang w:val="ru-RU" w:eastAsia="ru-RU" w:bidi="ar-SA"/>
              </w:rPr>
              <w:t>Визначення термінів</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val="ru-RU" w:eastAsia="ru-RU" w:bidi="ar-SA"/>
              </w:rPr>
            </w:pPr>
            <w:r>
              <w:rPr>
                <w:rFonts w:ascii="Times New Roman" w:hAnsi="Times New Roman" w:cs="Times New Roman"/>
                <w:kern w:val="0"/>
                <w:sz w:val="24"/>
                <w:szCs w:val="24"/>
                <w:lang w:val="ru-RU" w:eastAsia="ru-RU" w:bidi="ar-SA"/>
              </w:rPr>
              <w:t>1. У цьому Законі наведені нижче терміни вживаються в такому значенні:</w:t>
            </w:r>
          </w:p>
          <w:p w:rsidR="00B44B4E" w:rsidRDefault="00B44B4E">
            <w:pPr>
              <w:suppressAutoHyphens w:val="0"/>
              <w:autoSpaceDE/>
              <w:autoSpaceDN/>
              <w:adjustRightInd/>
              <w:spacing w:after="150" w:line="240" w:lineRule="auto"/>
              <w:ind w:firstLine="450"/>
              <w:jc w:val="both"/>
              <w:rPr>
                <w:rFonts w:ascii="Times New Roman" w:hAnsi="Times New Roman" w:cs="Times New Roman"/>
                <w:b/>
                <w:color w:val="auto"/>
                <w:sz w:val="24"/>
                <w:szCs w:val="24"/>
              </w:rPr>
            </w:pPr>
            <w:r>
              <w:rPr>
                <w:rFonts w:ascii="Times New Roman" w:hAnsi="Times New Roman" w:cs="Times New Roman"/>
                <w:b/>
                <w:color w:val="auto"/>
                <w:sz w:val="24"/>
                <w:szCs w:val="24"/>
              </w:rPr>
              <w:t>газові мережі внутрішнього газопостачання - газові мережі від місця/точки приєднання об'єкта або земельної ділянки замовника до його газових приладів (пристроїв) включно або до газових мереж третіх осіб (замовників, споживачів);</w:t>
            </w:r>
          </w:p>
          <w:p w:rsidR="00B44B4E" w:rsidRDefault="00B44B4E">
            <w:pPr>
              <w:suppressAutoHyphens w:val="0"/>
              <w:autoSpaceDE/>
              <w:autoSpaceDN/>
              <w:adjustRightInd/>
              <w:spacing w:after="150" w:line="240" w:lineRule="auto"/>
              <w:ind w:firstLine="450"/>
              <w:jc w:val="both"/>
              <w:rPr>
                <w:rFonts w:ascii="Times New Roman" w:hAnsi="Times New Roman" w:cs="Times New Roman"/>
                <w:b/>
                <w:color w:val="auto"/>
                <w:sz w:val="24"/>
                <w:szCs w:val="24"/>
              </w:rPr>
            </w:pPr>
            <w:r>
              <w:rPr>
                <w:rFonts w:ascii="Times New Roman" w:hAnsi="Times New Roman" w:cs="Times New Roman"/>
                <w:b/>
                <w:color w:val="auto"/>
                <w:sz w:val="24"/>
                <w:szCs w:val="24"/>
              </w:rPr>
              <w:t xml:space="preserve">газові мережі зовнішнього газопостачання - газові мережі від місця забезпечення потужності до місця/точки приєднання об'єкта або земельної ділянки замовника; </w:t>
            </w:r>
          </w:p>
          <w:p w:rsidR="00B44B4E" w:rsidRDefault="00B44B4E">
            <w:pPr>
              <w:suppressAutoHyphens w:val="0"/>
              <w:autoSpaceDE/>
              <w:autoSpaceDN/>
              <w:adjustRightInd/>
              <w:spacing w:after="150" w:line="240" w:lineRule="auto"/>
              <w:ind w:firstLine="450"/>
              <w:jc w:val="both"/>
              <w:rPr>
                <w:rFonts w:ascii="Times New Roman" w:hAnsi="Times New Roman" w:cs="Times New Roman"/>
                <w:b/>
                <w:color w:val="auto"/>
                <w:sz w:val="24"/>
                <w:szCs w:val="24"/>
              </w:rPr>
            </w:pPr>
            <w:r>
              <w:rPr>
                <w:rFonts w:ascii="Times New Roman" w:hAnsi="Times New Roman" w:cs="Times New Roman"/>
                <w:b/>
                <w:color w:val="auto"/>
                <w:sz w:val="24"/>
                <w:szCs w:val="24"/>
              </w:rPr>
              <w:t xml:space="preserve">місце забезпечення потужності (точка забезпечення потужності) - місце/точка на існуючому об'єкті газорозподільної системи, яка на законних підставах перебуває у власності чи користуванні (у тому числі в експлуатації) оператора газорозподільної системи, від якого (якої) здійснюється </w:t>
            </w:r>
            <w:r>
              <w:rPr>
                <w:rFonts w:ascii="Times New Roman" w:hAnsi="Times New Roman" w:cs="Times New Roman"/>
                <w:b/>
                <w:color w:val="auto"/>
                <w:sz w:val="24"/>
                <w:szCs w:val="24"/>
              </w:rPr>
              <w:lastRenderedPageBreak/>
              <w:t>будівництво газових мереж до об'єкта замовника (точки приєднання) та/або забезпечується необхідний рівень потужності, замовленої для об'єкта приєднання;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b/>
                <w:sz w:val="24"/>
                <w:szCs w:val="24"/>
              </w:rPr>
            </w:pPr>
            <w:r>
              <w:rPr>
                <w:rFonts w:ascii="Times New Roman" w:hAnsi="Times New Roman" w:cs="Times New Roman"/>
                <w:b/>
                <w:sz w:val="24"/>
                <w:szCs w:val="24"/>
              </w:rPr>
              <w:t>місце приєднання (точка приєднання) - запроектована або існуюча межа балансової належності між газовими мережами зовнішнього та внутрішнього газопостачання;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b/>
                <w:color w:val="auto"/>
                <w:sz w:val="24"/>
                <w:szCs w:val="24"/>
              </w:rPr>
            </w:pPr>
            <w:r>
              <w:rPr>
                <w:rFonts w:ascii="Times New Roman" w:hAnsi="Times New Roman" w:cs="Times New Roman"/>
                <w:b/>
                <w:color w:val="auto"/>
                <w:sz w:val="24"/>
                <w:szCs w:val="24"/>
              </w:rPr>
              <w:t>стандартне  приєднання  - приєднання до діючих газових мереж оператора газорозподільних систем  об’єктів  газоспоживання потужністю до 16 метрів кубічних на годину включно на відстань, що не  перевищує  25  метрів  для  сільської та 10 метрів для міської місцевості  по  прямій  лінії від місця забезпечення потужності до місця приєднання;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b/>
                <w:sz w:val="24"/>
                <w:szCs w:val="24"/>
              </w:rPr>
            </w:pPr>
          </w:p>
          <w:p w:rsidR="00B44B4E" w:rsidRDefault="00B44B4E">
            <w:pPr>
              <w:suppressAutoHyphens w:val="0"/>
              <w:autoSpaceDE/>
              <w:autoSpaceDN/>
              <w:adjustRightInd/>
              <w:spacing w:after="150" w:line="240" w:lineRule="auto"/>
              <w:ind w:firstLine="450"/>
              <w:jc w:val="both"/>
              <w:rPr>
                <w:rFonts w:ascii="Times New Roman" w:hAnsi="Times New Roman" w:cs="Times New Roman"/>
                <w:b/>
                <w:sz w:val="24"/>
                <w:szCs w:val="24"/>
              </w:rPr>
            </w:pPr>
            <w:r>
              <w:rPr>
                <w:rFonts w:ascii="Times New Roman" w:hAnsi="Times New Roman" w:cs="Times New Roman"/>
                <w:b/>
                <w:sz w:val="24"/>
                <w:szCs w:val="24"/>
              </w:rPr>
              <w:t>Інші терміни вживаються в значеннях, наведених у законах України», «Про трубопровідний транспорт», «Про регулювання містобудівної діяльності»  та інших законах України, а також в інших нормативно-правових актах, прийнятих на виконання цього закону.</w:t>
            </w:r>
          </w:p>
          <w:p w:rsidR="00B44B4E" w:rsidRDefault="00B44B4E">
            <w:pPr>
              <w:suppressAutoHyphens w:val="0"/>
              <w:autoSpaceDE/>
              <w:autoSpaceDN/>
              <w:adjustRightInd/>
              <w:spacing w:after="150" w:line="240" w:lineRule="auto"/>
              <w:ind w:firstLine="450"/>
              <w:jc w:val="both"/>
              <w:rPr>
                <w:rFonts w:ascii="Times New Roman" w:hAnsi="Times New Roman" w:cs="Times New Roman"/>
                <w:sz w:val="24"/>
                <w:szCs w:val="24"/>
                <w:lang w:val="ru-RU"/>
              </w:rPr>
            </w:pPr>
          </w:p>
        </w:tc>
        <w:tc>
          <w:tcPr>
            <w:tcW w:w="3592" w:type="dxa"/>
            <w:shd w:val="clear" w:color="auto" w:fill="auto"/>
          </w:tcPr>
          <w:p w:rsidR="00B44B4E" w:rsidRDefault="00B44B4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спрощення механізму приєднання до газових мереж</w:t>
            </w:r>
          </w:p>
        </w:tc>
      </w:tr>
      <w:tr w:rsidR="00B44B4E">
        <w:tc>
          <w:tcPr>
            <w:tcW w:w="6516" w:type="dxa"/>
          </w:tcPr>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b/>
                <w:kern w:val="0"/>
                <w:sz w:val="24"/>
                <w:szCs w:val="24"/>
                <w:lang w:eastAsia="ru-RU" w:bidi="ar-SA"/>
              </w:rPr>
              <w:t>Стаття 19</w:t>
            </w:r>
            <w:r>
              <w:rPr>
                <w:rFonts w:ascii="Times New Roman" w:hAnsi="Times New Roman" w:cs="Times New Roman"/>
                <w:b/>
                <w:kern w:val="0"/>
                <w:sz w:val="24"/>
                <w:szCs w:val="24"/>
                <w:lang w:val="ru-RU" w:eastAsia="ru-RU" w:bidi="ar-SA"/>
              </w:rPr>
              <w:t>.</w:t>
            </w:r>
            <w:r>
              <w:rPr>
                <w:rFonts w:ascii="Times New Roman" w:hAnsi="Times New Roman" w:cs="Times New Roman"/>
                <w:kern w:val="0"/>
                <w:sz w:val="24"/>
                <w:szCs w:val="24"/>
                <w:lang w:val="ru-RU" w:eastAsia="ru-RU" w:bidi="ar-SA"/>
              </w:rPr>
              <w:t xml:space="preserve"> </w:t>
            </w:r>
            <w:r>
              <w:rPr>
                <w:rFonts w:ascii="Times New Roman" w:hAnsi="Times New Roman" w:cs="Times New Roman"/>
                <w:kern w:val="0"/>
                <w:sz w:val="24"/>
                <w:szCs w:val="24"/>
                <w:lang w:eastAsia="ru-RU" w:bidi="ar-SA"/>
              </w:rPr>
              <w:t>Загальні правила доступу до газотранспортних та газорозподільних систем, газосховищ, установки LNG</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 xml:space="preserve">9. Технічні та комерційні умови приєднання до газотранспортної або газорозподільної системи </w:t>
            </w:r>
            <w:r>
              <w:rPr>
                <w:rFonts w:ascii="Times New Roman" w:hAnsi="Times New Roman" w:cs="Times New Roman"/>
                <w:kern w:val="0"/>
                <w:sz w:val="24"/>
                <w:szCs w:val="24"/>
                <w:lang w:eastAsia="ru-RU" w:bidi="ar-SA"/>
              </w:rPr>
              <w:lastRenderedPageBreak/>
              <w:t>визначаються в кодексі газотранспортної системи або кодексі газорозподільних систем.</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2" w:name="n398"/>
            <w:bookmarkEnd w:id="2"/>
            <w:r>
              <w:rPr>
                <w:rFonts w:ascii="Times New Roman" w:hAnsi="Times New Roman" w:cs="Times New Roman"/>
                <w:kern w:val="0"/>
                <w:sz w:val="24"/>
                <w:szCs w:val="24"/>
                <w:lang w:eastAsia="ru-RU" w:bidi="ar-SA"/>
              </w:rPr>
              <w:t>Приєднання об’єкта замовника до газотранспортної або газорозподільної системи здійснюється в такому порядку:</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8"/>
                <w:szCs w:val="8"/>
                <w:lang w:eastAsia="ru-RU" w:bidi="ar-SA"/>
              </w:rPr>
            </w:pP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3" w:name="n399"/>
            <w:bookmarkEnd w:id="3"/>
            <w:r>
              <w:rPr>
                <w:rFonts w:ascii="Times New Roman" w:hAnsi="Times New Roman" w:cs="Times New Roman"/>
                <w:kern w:val="0"/>
                <w:sz w:val="24"/>
                <w:szCs w:val="24"/>
                <w:lang w:eastAsia="ru-RU" w:bidi="ar-SA"/>
              </w:rPr>
              <w:t>отримання дозволу оператора газотранспортної або газорозподільної системи на приєднання;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4" w:name="n400"/>
            <w:bookmarkEnd w:id="4"/>
            <w:r>
              <w:rPr>
                <w:rFonts w:ascii="Times New Roman" w:hAnsi="Times New Roman" w:cs="Times New Roman"/>
                <w:kern w:val="0"/>
                <w:sz w:val="24"/>
                <w:szCs w:val="24"/>
                <w:lang w:eastAsia="ru-RU" w:bidi="ar-SA"/>
              </w:rPr>
              <w:t>отримання замовником або проектувальником вихідних даних;</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5" w:name="n401"/>
            <w:bookmarkEnd w:id="5"/>
            <w:r>
              <w:rPr>
                <w:rFonts w:ascii="Times New Roman" w:hAnsi="Times New Roman" w:cs="Times New Roman"/>
                <w:kern w:val="0"/>
                <w:sz w:val="24"/>
                <w:szCs w:val="24"/>
                <w:lang w:eastAsia="ru-RU" w:bidi="ar-SA"/>
              </w:rPr>
              <w:t>розроблення проектної документації та проведення у випадках, передбачених законодавством, її експертизи;</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6" w:name="n402"/>
            <w:bookmarkEnd w:id="6"/>
            <w:r>
              <w:rPr>
                <w:rFonts w:ascii="Times New Roman" w:hAnsi="Times New Roman" w:cs="Times New Roman"/>
                <w:kern w:val="0"/>
                <w:sz w:val="24"/>
                <w:szCs w:val="24"/>
                <w:lang w:eastAsia="ru-RU" w:bidi="ar-SA"/>
              </w:rPr>
              <w:t>затвердження проектної документації;</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7" w:name="n403"/>
            <w:bookmarkEnd w:id="7"/>
            <w:r>
              <w:rPr>
                <w:rFonts w:ascii="Times New Roman" w:hAnsi="Times New Roman" w:cs="Times New Roman"/>
                <w:kern w:val="0"/>
                <w:sz w:val="24"/>
                <w:szCs w:val="24"/>
                <w:lang w:eastAsia="ru-RU" w:bidi="ar-SA"/>
              </w:rPr>
              <w:t>виконання підготовчих та будівельних робіт;</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8" w:name="n404"/>
            <w:bookmarkEnd w:id="8"/>
            <w:r>
              <w:rPr>
                <w:rFonts w:ascii="Times New Roman" w:hAnsi="Times New Roman" w:cs="Times New Roman"/>
                <w:kern w:val="0"/>
                <w:sz w:val="24"/>
                <w:szCs w:val="24"/>
                <w:lang w:eastAsia="ru-RU" w:bidi="ar-SA"/>
              </w:rPr>
              <w:t>підключення об’єкта до газотранспортної або газорозподільної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9" w:name="n405"/>
            <w:bookmarkEnd w:id="9"/>
            <w:r>
              <w:rPr>
                <w:rFonts w:ascii="Times New Roman" w:hAnsi="Times New Roman" w:cs="Times New Roman"/>
                <w:kern w:val="0"/>
                <w:sz w:val="24"/>
                <w:szCs w:val="24"/>
                <w:lang w:eastAsia="ru-RU" w:bidi="ar-SA"/>
              </w:rPr>
              <w:t>прийняття в експлуатацію закінченого будівництвом об’єкта;</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10" w:name="n406"/>
            <w:bookmarkEnd w:id="10"/>
            <w:r>
              <w:rPr>
                <w:rFonts w:ascii="Times New Roman" w:hAnsi="Times New Roman" w:cs="Times New Roman"/>
                <w:kern w:val="0"/>
                <w:sz w:val="24"/>
                <w:szCs w:val="24"/>
                <w:lang w:eastAsia="ru-RU" w:bidi="ar-SA"/>
              </w:rPr>
              <w:t>реєстрація права власності на об’єкт будівництва.</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11" w:name="n407"/>
            <w:bookmarkEnd w:id="11"/>
            <w:r>
              <w:rPr>
                <w:rFonts w:ascii="Times New Roman" w:hAnsi="Times New Roman" w:cs="Times New Roman"/>
                <w:kern w:val="0"/>
                <w:sz w:val="24"/>
                <w:szCs w:val="24"/>
                <w:lang w:eastAsia="ru-RU" w:bidi="ar-SA"/>
              </w:rPr>
              <w:t>Проектування та будівництво об’єктів газотранспортної або газорозподільної системи здійснюються відповідно до законодавства у сфері містобудівної діяльності, а також технічних умов приєднання, передбачених кодексом газотранспортної системи або кодексом газорозподільних систем.</w:t>
            </w:r>
            <w:bookmarkStart w:id="12" w:name="n408"/>
            <w:bookmarkEnd w:id="12"/>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 xml:space="preserve">Замовник має право на власний розсуд обирати виконавця проектних та будівельних робіт з приєднання серед суб’єктів господарювання, які мають право на здійснення відповідного виду діяльності згідно з вимогами законодавства. При цьому витрати замовника, пов’язані з виконанням проектних та будівельних робіт, не </w:t>
            </w:r>
            <w:r>
              <w:rPr>
                <w:rFonts w:ascii="Times New Roman" w:hAnsi="Times New Roman" w:cs="Times New Roman"/>
                <w:kern w:val="0"/>
                <w:sz w:val="24"/>
                <w:szCs w:val="24"/>
                <w:lang w:eastAsia="ru-RU" w:bidi="ar-SA"/>
              </w:rPr>
              <w:lastRenderedPageBreak/>
              <w:t>включаються до складу плати за приєднання до газотранспортної або газорозподільної системи.</w:t>
            </w:r>
          </w:p>
          <w:p w:rsidR="00B44B4E" w:rsidRDefault="00B44B4E">
            <w:pPr>
              <w:suppressAutoHyphens w:val="0"/>
              <w:autoSpaceDE/>
              <w:autoSpaceDN/>
              <w:adjustRightInd/>
              <w:spacing w:after="150" w:line="240" w:lineRule="auto"/>
              <w:jc w:val="both"/>
              <w:rPr>
                <w:rFonts w:ascii="Times New Roman" w:hAnsi="Times New Roman" w:cs="Times New Roman"/>
                <w:kern w:val="0"/>
                <w:sz w:val="24"/>
                <w:szCs w:val="24"/>
                <w:lang w:eastAsia="ru-RU" w:bidi="ar-SA"/>
              </w:rPr>
            </w:pPr>
            <w:bookmarkStart w:id="13" w:name="n409"/>
            <w:bookmarkEnd w:id="13"/>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Плата за приєднання до газотранспортної або газорозподільної системи визначається згідно з договором між замовником і оператором газотранспортної або газорозподільної системи на підставі методології, затвердженої Регулятором.</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14" w:name="n410"/>
            <w:bookmarkEnd w:id="14"/>
            <w:r>
              <w:rPr>
                <w:rFonts w:ascii="Times New Roman" w:hAnsi="Times New Roman" w:cs="Times New Roman"/>
                <w:kern w:val="0"/>
                <w:sz w:val="24"/>
                <w:szCs w:val="24"/>
                <w:lang w:eastAsia="ru-RU" w:bidi="ar-SA"/>
              </w:rPr>
              <w:t>Методологія визначення плати за приєднання до газотранспортних та газорозподільних систем має визначати типи приєднання з урахуванням особливостей приєднання у різних випадках та встановлювати граничний рівень плати за приєднання для кожного типу приєднання.</w:t>
            </w:r>
          </w:p>
          <w:p w:rsidR="00B44B4E" w:rsidRDefault="00B44B4E">
            <w:pPr>
              <w:suppressAutoHyphens w:val="0"/>
              <w:autoSpaceDE/>
              <w:autoSpaceDN/>
              <w:adjustRightInd/>
              <w:spacing w:after="150" w:line="240" w:lineRule="auto"/>
              <w:jc w:val="both"/>
              <w:rPr>
                <w:rFonts w:ascii="Times New Roman" w:hAnsi="Times New Roman" w:cs="Times New Roman"/>
                <w:kern w:val="0"/>
                <w:sz w:val="24"/>
                <w:szCs w:val="24"/>
                <w:lang w:eastAsia="ru-RU" w:bidi="ar-SA"/>
              </w:rPr>
            </w:pPr>
            <w:bookmarkStart w:id="15" w:name="n411"/>
            <w:bookmarkEnd w:id="15"/>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Оператор газотранспортної системи, оператор газорозподільної системи мають право відмовити у наданні дозволу на приєднання виключно у разі відсутності чи недостатності вільної потужності газотранспортної або газорозподільної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bookmarkStart w:id="16" w:name="n412"/>
            <w:bookmarkEnd w:id="16"/>
            <w:r>
              <w:rPr>
                <w:rFonts w:ascii="Times New Roman" w:hAnsi="Times New Roman" w:cs="Times New Roman"/>
                <w:kern w:val="0"/>
                <w:sz w:val="24"/>
                <w:szCs w:val="24"/>
                <w:lang w:eastAsia="ru-RU" w:bidi="ar-SA"/>
              </w:rPr>
              <w:t>За ініціативи замовника може бути проведена незалежна експертиза вихідних даних на відповідність чинним стандартам, нормам та правилам. Проведення експертизи здійснюється незалежними організаціями, визначеними центральним органом виконавчої влади, що забезпечує формування та реалізацію державної політики в нафтогазовому комплексі, в порядку, встановленому Кабінетом Міністрів України.</w:t>
            </w:r>
          </w:p>
          <w:p w:rsidR="00B44B4E" w:rsidRDefault="00B44B4E">
            <w:pPr>
              <w:spacing w:after="120" w:line="240" w:lineRule="auto"/>
              <w:rPr>
                <w:rFonts w:ascii="Times New Roman" w:hAnsi="Times New Roman" w:cs="Times New Roman"/>
                <w:b/>
                <w:sz w:val="24"/>
                <w:szCs w:val="24"/>
              </w:rPr>
            </w:pPr>
          </w:p>
        </w:tc>
        <w:tc>
          <w:tcPr>
            <w:tcW w:w="5245" w:type="dxa"/>
            <w:shd w:val="clear" w:color="auto" w:fill="auto"/>
          </w:tcPr>
          <w:p w:rsidR="00B44B4E" w:rsidRDefault="00B44B4E">
            <w:pPr>
              <w:suppressAutoHyphens w:val="0"/>
              <w:autoSpaceDE/>
              <w:autoSpaceDN/>
              <w:adjustRightInd/>
              <w:spacing w:after="0" w:line="240" w:lineRule="auto"/>
              <w:jc w:val="both"/>
              <w:rPr>
                <w:rFonts w:ascii="Times New Roman" w:hAnsi="Times New Roman" w:cs="Times New Roman"/>
                <w:kern w:val="0"/>
                <w:sz w:val="24"/>
                <w:szCs w:val="24"/>
                <w:lang w:val="en-US" w:eastAsia="ru-RU" w:bidi="ar-SA"/>
              </w:rPr>
            </w:pPr>
            <w:r>
              <w:rPr>
                <w:rFonts w:ascii="Times New Roman" w:hAnsi="Times New Roman" w:cs="Times New Roman"/>
                <w:kern w:val="0"/>
                <w:sz w:val="24"/>
                <w:szCs w:val="24"/>
                <w:lang w:val="ru-RU" w:eastAsia="ru-RU" w:bidi="ar-SA"/>
              </w:rPr>
              <w:lastRenderedPageBreak/>
              <w:t xml:space="preserve">       </w:t>
            </w:r>
            <w:r>
              <w:rPr>
                <w:rFonts w:ascii="Times New Roman" w:hAnsi="Times New Roman" w:cs="Times New Roman"/>
                <w:b/>
                <w:kern w:val="0"/>
                <w:sz w:val="24"/>
                <w:szCs w:val="24"/>
                <w:lang w:eastAsia="ru-RU" w:bidi="ar-SA"/>
              </w:rPr>
              <w:t>Стаття 19</w:t>
            </w:r>
            <w:r>
              <w:rPr>
                <w:rFonts w:ascii="Times New Roman" w:hAnsi="Times New Roman" w:cs="Times New Roman"/>
                <w:b/>
                <w:kern w:val="0"/>
                <w:sz w:val="24"/>
                <w:szCs w:val="24"/>
                <w:lang w:val="ru-RU" w:eastAsia="ru-RU" w:bidi="ar-SA"/>
              </w:rPr>
              <w:t xml:space="preserve">. </w:t>
            </w:r>
            <w:r>
              <w:rPr>
                <w:rFonts w:ascii="Times New Roman" w:hAnsi="Times New Roman" w:cs="Times New Roman"/>
                <w:kern w:val="0"/>
                <w:sz w:val="24"/>
                <w:szCs w:val="24"/>
                <w:lang w:val="ru-RU" w:eastAsia="ru-RU" w:bidi="ar-SA"/>
              </w:rPr>
              <w:t xml:space="preserve">Загальні правила доступу до газотранспортних та газорозподільних систем, газосховищ, установки </w:t>
            </w:r>
            <w:r>
              <w:rPr>
                <w:rFonts w:ascii="Times New Roman" w:hAnsi="Times New Roman" w:cs="Times New Roman"/>
                <w:kern w:val="0"/>
                <w:sz w:val="24"/>
                <w:szCs w:val="24"/>
                <w:lang w:val="en-US" w:eastAsia="ru-RU" w:bidi="ar-SA"/>
              </w:rPr>
              <w:t>LNG</w:t>
            </w:r>
          </w:p>
          <w:p w:rsidR="00B44B4E" w:rsidRDefault="00B44B4E">
            <w:pPr>
              <w:suppressAutoHyphens w:val="0"/>
              <w:autoSpaceDE/>
              <w:autoSpaceDN/>
              <w:adjustRightInd/>
              <w:spacing w:after="0" w:line="240" w:lineRule="auto"/>
              <w:jc w:val="both"/>
              <w:rPr>
                <w:rFonts w:ascii="Times New Roman" w:hAnsi="Times New Roman" w:cs="Times New Roman"/>
                <w:kern w:val="0"/>
                <w:sz w:val="24"/>
                <w:szCs w:val="24"/>
                <w:lang w:val="ru-RU" w:eastAsia="ru-RU" w:bidi="ar-SA"/>
              </w:rPr>
            </w:pPr>
          </w:p>
          <w:p w:rsidR="00B44B4E" w:rsidRDefault="00B44B4E">
            <w:pPr>
              <w:pStyle w:val="rvps2"/>
              <w:shd w:val="clear" w:color="auto" w:fill="FFFFFF"/>
              <w:spacing w:before="0" w:after="120" w:line="240" w:lineRule="auto"/>
              <w:ind w:firstLine="450"/>
              <w:jc w:val="both"/>
              <w:rPr>
                <w:rFonts w:hAnsi="Times New Roman"/>
                <w:b/>
              </w:rPr>
            </w:pPr>
            <w:r>
              <w:rPr>
                <w:rFonts w:hAnsi="Times New Roman"/>
                <w:kern w:val="0"/>
                <w:lang w:eastAsia="ru-RU"/>
              </w:rPr>
              <w:t xml:space="preserve">9. </w:t>
            </w:r>
            <w:r>
              <w:rPr>
                <w:rFonts w:hAnsi="Times New Roman"/>
                <w:b/>
              </w:rPr>
              <w:t xml:space="preserve">Замовники об'єктів будівництва або </w:t>
            </w:r>
            <w:r>
              <w:rPr>
                <w:rFonts w:hAnsi="Times New Roman"/>
                <w:b/>
              </w:rPr>
              <w:lastRenderedPageBreak/>
              <w:t>власники існуючих об'єктів (земельних ділянок), мають право на приєднання або збільшення потужності цих об'єктів до газорозподільної або газотранспортної системи.</w:t>
            </w:r>
          </w:p>
          <w:p w:rsidR="00B44B4E" w:rsidRDefault="00B44B4E">
            <w:pPr>
              <w:pStyle w:val="rvps2"/>
              <w:shd w:val="clear" w:color="auto" w:fill="FFFFFF"/>
              <w:spacing w:before="0" w:after="120" w:line="240" w:lineRule="auto"/>
              <w:ind w:firstLine="450"/>
              <w:jc w:val="both"/>
              <w:rPr>
                <w:rFonts w:hAnsi="Times New Roman"/>
                <w:b/>
              </w:rPr>
            </w:pPr>
            <w:r>
              <w:rPr>
                <w:rFonts w:hAnsi="Times New Roman"/>
                <w:b/>
              </w:rPr>
              <w:t>Приєднання або збільшення потужності об’єктів замовників здійснюється у порядках визначених Кодексом газорозподільних систем та Кодексом газотранспортної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Технічні та комерційні умови приєднання до газотранспортної або газорозподільної системи визначаються в кодексі газотранспортної системи або кодексі газорозподільних систем.</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kern w:val="0"/>
                <w:sz w:val="24"/>
                <w:szCs w:val="24"/>
                <w:lang w:eastAsia="ru-RU" w:bidi="ar-SA"/>
              </w:rPr>
              <w:t xml:space="preserve">Приєднання об’єкта замовника до газотранспортної або газорозподільної системи здійснюється </w:t>
            </w:r>
            <w:r>
              <w:rPr>
                <w:rFonts w:ascii="Times New Roman" w:hAnsi="Times New Roman" w:cs="Times New Roman"/>
                <w:b/>
                <w:kern w:val="0"/>
                <w:sz w:val="24"/>
                <w:szCs w:val="24"/>
                <w:lang w:eastAsia="ru-RU" w:bidi="ar-SA"/>
              </w:rPr>
              <w:t>з урахуванням вимог Закону України «Про регулювання містобудівної діяльності» та передбачає:</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отримання дозволу оператора газотранспортної або газорозподільної системи на приєднання;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отримання замовником або проектувальником вихідних даних;</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розроблення проектної документації та проведення у випадках, передбачених законодавством, її експертизи;</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затвердження проектної документації;</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виконання підготовчих та будівельних робіт;</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lastRenderedPageBreak/>
              <w:t>підключення об’єкта до газотранспортної або газорозподільної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прийняття в експлуатацію закінченого будівництвом об’єкта;</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реєстрація права власності на об’єкт будівництва.</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Проектування та будівництво об’єктів газотранспортної або газорозподільної системи здійснюються відповідно до законодавства у сфері містобудівної діяльності, а також технічних умов приєднання, передбачених кодексом газотранспортної системи або кодексом газорозподільних систем.</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При наданні послуг з приєднання оператор газотранспортної або газорозподільної системи має забезпечити роботу сервісу «Особистий кабінет замовника» на власному офіційному веб-сайті у мережі Інтернет.</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 xml:space="preserve">Сервіс «Особистий кабінет замовника» є ресурсом, який має забезпечити інформування замовника про стан надання оператором газотранспортної або газорозподільної системи послуги з приєднання та забезпечити відображення інформації про поточний стан виконання (виконано/на виконанні) відповідних організаційних та технічних заходів, які здійснюються для надання послуги з приєднання замовнику (проектування та здійснення заходів щодо відведення земельних ділянок для розміщення відповідних об'єктів (у разі необхідності), </w:t>
            </w:r>
            <w:r>
              <w:rPr>
                <w:rFonts w:ascii="Times New Roman" w:hAnsi="Times New Roman" w:cs="Times New Roman"/>
                <w:b/>
                <w:kern w:val="0"/>
                <w:sz w:val="24"/>
                <w:szCs w:val="24"/>
                <w:lang w:eastAsia="ru-RU" w:bidi="ar-SA"/>
              </w:rPr>
              <w:lastRenderedPageBreak/>
              <w:t>погодження проектної документації з іншими заінтересованими сторонами, отримання дозволу на виконання будівельно-монтажних робіт, виконання будівельно-монтажних робіт, пуску газу та підключення об'єкта замовника та інші заходи передбачені в кодексі газотранспортної системи або кодексі газорозподільних систем), із зазначенням очікуваних та граничних термінів їх виконання.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Замовник має право на власний розсуд обирати виконавця проектних та будівельних робіт з приєднання серед суб’єктів господарювання, які мають право на здійснення відповідного виду діяльності згідно з вимогами законодавства. При цьому витрати замовника, пов’язані з виконанням проектних та будівельних робіт, не включаються до складу плати за приєднання до газотранспортної або газорозподільної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Погодження проекту зовнішнього газопостачання здійснюється Оператором ГРМ/ГТС у строк, що не перевищує 15 календарних днів. У цей самий строк надається (у разі наявності) вичерпний перелік зауважень.</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Порушення зазначеного строку або неотриманням замовником протягом вказаного терміну зауважень є необґрунтованою відмовою у приєднанні до газотранспортної або газорозподільної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 xml:space="preserve">Якщо технічними умовами приєднання </w:t>
            </w:r>
            <w:r>
              <w:rPr>
                <w:rFonts w:ascii="Times New Roman" w:hAnsi="Times New Roman" w:cs="Times New Roman"/>
                <w:b/>
                <w:kern w:val="0"/>
                <w:sz w:val="24"/>
                <w:szCs w:val="24"/>
                <w:lang w:eastAsia="ru-RU" w:bidi="ar-SA"/>
              </w:rPr>
              <w:lastRenderedPageBreak/>
              <w:t xml:space="preserve">місце встановлення комерційного вузла обліку буде визначена в газових мережах внутрішнього газопостачання, проект внутрішнього газопостачання має передбачати заходи з організації вузла обліку та кошторисну частину щодо реалізації цих заходів, а сам проект внутрішнього газопостачання в частині організації вузла обліку та кошторису затрат на організацію вузла обліку має бути погоджений з Оператором ГРМ/ГТС. Погодження здійснюється Оператором ГРМ/ГТС у строк, що не перевищує 15 календарних днів, або у цей самий строк надається (у разі наявності) вичерпний перелік зауважень. </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Надання Оператором газотранспортної або газорозподільної систем послуг з приєднання об’єктів замовника від місця забезпечення потужності до місця приєднання об’єкта замовника, забезпечується за рахунок коштів, отриманих як плата за приєднання.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При наданні послуги приєднання організація та облаштування комерційного вузла обліку забезпечується Оператором ГРМ/ГТС за рахунок плати за приєднання в рамках договору на приєднання до газорозподільної/газотранспортної системи між замовником і оператором газотранспортної або газорозподільної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 xml:space="preserve">Плата за приєднання до газотранспортної або газорозподільної системи визначається згідно з договором на приєднання до </w:t>
            </w:r>
            <w:r>
              <w:rPr>
                <w:rFonts w:ascii="Times New Roman" w:hAnsi="Times New Roman" w:cs="Times New Roman"/>
                <w:b/>
                <w:kern w:val="0"/>
                <w:sz w:val="24"/>
                <w:szCs w:val="24"/>
                <w:lang w:eastAsia="ru-RU" w:bidi="ar-SA"/>
              </w:rPr>
              <w:lastRenderedPageBreak/>
              <w:t>газорозподільної/газотранспортної системи між замовником і оператором газотранспортної або газорозподільної системи на підставі методології, затвердженої Регулятором.</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Методологія визначення плати за приєднання до газотранспортних та газорозподільних систем має визначати типи приєднання з урахуванням особливостей приєднання у різних випадках та встановлювати граничний рівень плати за приєднання для кожного типу приєднання.</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Регулятор щороку встановлює для Автономної Республіки Крим, областей, міст Києва та Севастополя граничні рівні плати за приєднання, що є стандартним, до газорозподільних систем.</w:t>
            </w:r>
          </w:p>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 xml:space="preserve">Оператор газорозподільних систем  зобов’язаний розміщувати на своєму веб-сайті в мережі Інтернет діючі граничні рівні плати за приєднання, що є стандартним, до газорозподільних систем. </w:t>
            </w:r>
          </w:p>
          <w:p w:rsidR="00B44B4E" w:rsidRDefault="00B44B4E">
            <w:pPr>
              <w:suppressAutoHyphens w:val="0"/>
              <w:autoSpaceDE/>
              <w:autoSpaceDN/>
              <w:adjustRightInd/>
              <w:spacing w:after="150" w:line="240" w:lineRule="auto"/>
              <w:ind w:firstLine="450"/>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Оператор газотранспортної системи, оператор газорозподільної системи мають право відмовити у наданні дозволу на приєднання виключно у разі відсутності чи недостатності вільної потужності газотранспортної або газорозподільної системи.</w:t>
            </w:r>
          </w:p>
          <w:p w:rsidR="00B44B4E" w:rsidRDefault="00B44B4E">
            <w:pPr>
              <w:suppressAutoHyphens w:val="0"/>
              <w:autoSpaceDE/>
              <w:autoSpaceDN/>
              <w:adjustRightInd/>
              <w:spacing w:after="150" w:line="240" w:lineRule="auto"/>
              <w:ind w:firstLine="450"/>
              <w:jc w:val="both"/>
              <w:rPr>
                <w:rFonts w:ascii="Times New Roman" w:hAnsi="Times New Roman" w:cs="Times New Roman"/>
                <w:sz w:val="24"/>
                <w:szCs w:val="24"/>
              </w:rPr>
            </w:pPr>
            <w:r>
              <w:rPr>
                <w:rFonts w:ascii="Times New Roman" w:hAnsi="Times New Roman" w:cs="Times New Roman"/>
                <w:kern w:val="0"/>
                <w:sz w:val="24"/>
                <w:szCs w:val="24"/>
                <w:lang w:eastAsia="ru-RU" w:bidi="ar-SA"/>
              </w:rPr>
              <w:t xml:space="preserve">За ініціативи замовника може бути проведена незалежна експертиза вихідних даних на відповідність чинним стандартам, нормам та правилам. Проведення експертизи здійснюється незалежними організаціями, визначеними </w:t>
            </w:r>
            <w:r>
              <w:rPr>
                <w:rFonts w:ascii="Times New Roman" w:hAnsi="Times New Roman" w:cs="Times New Roman"/>
                <w:kern w:val="0"/>
                <w:sz w:val="24"/>
                <w:szCs w:val="24"/>
                <w:lang w:eastAsia="ru-RU" w:bidi="ar-SA"/>
              </w:rPr>
              <w:lastRenderedPageBreak/>
              <w:t>центральним органом виконавчої влади, що забезпечує формування та реалізацію державної політики в нафтогазовому комплексі, в порядку, встановленому Кабінетом Міністрів України.</w:t>
            </w:r>
          </w:p>
        </w:tc>
        <w:tc>
          <w:tcPr>
            <w:tcW w:w="3592" w:type="dxa"/>
            <w:shd w:val="clear" w:color="auto" w:fill="auto"/>
          </w:tcPr>
          <w:p w:rsidR="00B44B4E" w:rsidRDefault="00B44B4E">
            <w:pPr>
              <w:spacing w:after="120" w:line="240" w:lineRule="auto"/>
              <w:rPr>
                <w:rFonts w:ascii="Times New Roman" w:hAnsi="Times New Roman" w:cs="Times New Roman"/>
                <w:sz w:val="24"/>
                <w:szCs w:val="24"/>
              </w:rPr>
            </w:pPr>
            <w:r>
              <w:rPr>
                <w:rFonts w:ascii="Times New Roman" w:hAnsi="Times New Roman" w:cs="Times New Roman"/>
                <w:sz w:val="24"/>
                <w:szCs w:val="24"/>
              </w:rPr>
              <w:lastRenderedPageBreak/>
              <w:t>спрощення механізму приєднання до газових мереж</w:t>
            </w:r>
          </w:p>
        </w:tc>
      </w:tr>
      <w:tr w:rsidR="00B44B4E">
        <w:tc>
          <w:tcPr>
            <w:tcW w:w="6516" w:type="dxa"/>
          </w:tcPr>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p>
        </w:tc>
        <w:tc>
          <w:tcPr>
            <w:tcW w:w="5245" w:type="dxa"/>
            <w:shd w:val="clear" w:color="auto" w:fill="auto"/>
          </w:tcPr>
          <w:p w:rsidR="00B44B4E" w:rsidRDefault="00B44B4E">
            <w:pPr>
              <w:suppressAutoHyphens w:val="0"/>
              <w:autoSpaceDE/>
              <w:autoSpaceDN/>
              <w:adjustRightInd/>
              <w:spacing w:after="0" w:line="240" w:lineRule="auto"/>
              <w:jc w:val="center"/>
              <w:rPr>
                <w:rFonts w:ascii="Times New Roman" w:hAnsi="Times New Roman" w:cs="Times New Roman"/>
                <w:b/>
                <w:kern w:val="0"/>
                <w:sz w:val="24"/>
                <w:szCs w:val="24"/>
                <w:lang w:val="ru-RU" w:eastAsia="ru-RU" w:bidi="ar-SA"/>
              </w:rPr>
            </w:pPr>
            <w:r>
              <w:rPr>
                <w:rFonts w:ascii="Times New Roman" w:hAnsi="Times New Roman" w:cs="Times New Roman"/>
                <w:b/>
                <w:kern w:val="0"/>
                <w:sz w:val="24"/>
                <w:szCs w:val="24"/>
                <w:lang w:val="ru-RU" w:eastAsia="ru-RU" w:bidi="ar-SA"/>
              </w:rPr>
              <w:t>Закон України «Про забезпечення комерційного обліку природного газу»</w:t>
            </w:r>
          </w:p>
        </w:tc>
        <w:tc>
          <w:tcPr>
            <w:tcW w:w="3592" w:type="dxa"/>
            <w:shd w:val="clear" w:color="auto" w:fill="auto"/>
          </w:tcPr>
          <w:p w:rsidR="00B44B4E" w:rsidRDefault="00B44B4E">
            <w:pPr>
              <w:spacing w:after="120" w:line="240" w:lineRule="auto"/>
              <w:rPr>
                <w:rFonts w:ascii="Times New Roman" w:hAnsi="Times New Roman" w:cs="Times New Roman"/>
                <w:sz w:val="24"/>
                <w:szCs w:val="24"/>
              </w:rPr>
            </w:pPr>
          </w:p>
        </w:tc>
      </w:tr>
      <w:tr w:rsidR="00B44B4E">
        <w:tc>
          <w:tcPr>
            <w:tcW w:w="6516" w:type="dxa"/>
          </w:tcPr>
          <w:p w:rsidR="00B44B4E" w:rsidRDefault="00B44B4E">
            <w:pPr>
              <w:suppressAutoHyphens w:val="0"/>
              <w:autoSpaceDE/>
              <w:autoSpaceDN/>
              <w:adjustRightInd/>
              <w:spacing w:after="150" w:line="240" w:lineRule="auto"/>
              <w:ind w:firstLine="450"/>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Стаття відсутня</w:t>
            </w:r>
          </w:p>
        </w:tc>
        <w:tc>
          <w:tcPr>
            <w:tcW w:w="5245" w:type="dxa"/>
            <w:shd w:val="clear" w:color="auto" w:fill="auto"/>
          </w:tcPr>
          <w:p w:rsidR="00B44B4E" w:rsidRDefault="00B44B4E">
            <w:pPr>
              <w:suppressAutoHyphens w:val="0"/>
              <w:autoSpaceDE/>
              <w:autoSpaceDN/>
              <w:adjustRightInd/>
              <w:spacing w:after="0" w:line="240" w:lineRule="auto"/>
              <w:jc w:val="both"/>
              <w:rPr>
                <w:rFonts w:ascii="Times New Roman" w:hAnsi="Times New Roman" w:cs="Times New Roman"/>
                <w:b/>
                <w:kern w:val="0"/>
                <w:sz w:val="24"/>
                <w:szCs w:val="24"/>
                <w:lang w:val="ru-RU" w:eastAsia="ru-RU" w:bidi="ar-SA"/>
              </w:rPr>
            </w:pPr>
            <w:r>
              <w:rPr>
                <w:rFonts w:ascii="Times New Roman" w:hAnsi="Times New Roman" w:cs="Times New Roman"/>
                <w:b/>
                <w:kern w:val="0"/>
                <w:sz w:val="24"/>
                <w:szCs w:val="24"/>
                <w:lang w:val="ru-RU" w:eastAsia="ru-RU" w:bidi="ar-SA"/>
              </w:rPr>
              <w:t>Стаття 2</w:t>
            </w:r>
            <w:r>
              <w:rPr>
                <w:rFonts w:ascii="Times New Roman" w:hAnsi="Times New Roman" w:cs="Times New Roman"/>
                <w:b/>
                <w:kern w:val="0"/>
                <w:sz w:val="24"/>
                <w:szCs w:val="24"/>
                <w:vertAlign w:val="superscript"/>
                <w:lang w:val="ru-RU" w:eastAsia="ru-RU" w:bidi="ar-SA"/>
              </w:rPr>
              <w:t>1</w:t>
            </w:r>
            <w:r>
              <w:rPr>
                <w:rFonts w:ascii="Times New Roman" w:hAnsi="Times New Roman" w:cs="Times New Roman"/>
                <w:b/>
                <w:kern w:val="0"/>
                <w:sz w:val="24"/>
                <w:szCs w:val="24"/>
                <w:lang w:val="ru-RU" w:eastAsia="ru-RU" w:bidi="ar-SA"/>
              </w:rPr>
              <w:t xml:space="preserve">. Забезпечення контролю за використанням ресурсів  природного газу </w:t>
            </w:r>
          </w:p>
          <w:p w:rsidR="00B44B4E" w:rsidRDefault="00B44B4E">
            <w:pPr>
              <w:suppressAutoHyphens w:val="0"/>
              <w:autoSpaceDE/>
              <w:autoSpaceDN/>
              <w:adjustRightInd/>
              <w:spacing w:after="0" w:line="240" w:lineRule="auto"/>
              <w:jc w:val="both"/>
              <w:rPr>
                <w:rFonts w:ascii="Times New Roman" w:hAnsi="Times New Roman" w:cs="Times New Roman"/>
                <w:b/>
                <w:kern w:val="0"/>
                <w:sz w:val="24"/>
                <w:szCs w:val="24"/>
                <w:lang w:val="ru-RU" w:eastAsia="ru-RU" w:bidi="ar-SA"/>
              </w:rPr>
            </w:pPr>
            <w:r>
              <w:rPr>
                <w:rFonts w:ascii="Times New Roman" w:hAnsi="Times New Roman" w:cs="Times New Roman"/>
                <w:b/>
                <w:kern w:val="0"/>
                <w:sz w:val="24"/>
                <w:szCs w:val="24"/>
                <w:lang w:val="ru-RU" w:eastAsia="ru-RU" w:bidi="ar-SA"/>
              </w:rPr>
              <w:t xml:space="preserve">1. З метою забезпечення контролю за використанням ресурсів імпортованого природного газу і природного газу власного видобутку суб’єктом господарювання, що здійснює транспортування природного газу, з урахуванням вимог законодавства, зокрема, щодо захисту персональних даних, здійснюється автоматизований облік споживачів природного газу і обсягів спожитого ними природного газу у вигляді окремої інформаційної бази даних </w:t>
            </w:r>
            <w:r>
              <w:rPr>
                <w:rFonts w:ascii="Times New Roman" w:hAnsi="Times New Roman" w:cs="Times New Roman"/>
                <w:b/>
                <w:kern w:val="0"/>
                <w:sz w:val="24"/>
                <w:szCs w:val="24"/>
                <w:lang w:val="ru-RU" w:eastAsia="ru-RU" w:bidi="ar-SA"/>
              </w:rPr>
              <w:br/>
              <w:t xml:space="preserve">(далі – інформаційна база даних). </w:t>
            </w:r>
          </w:p>
          <w:p w:rsidR="00B44B4E" w:rsidRDefault="00B44B4E">
            <w:pPr>
              <w:suppressAutoHyphens w:val="0"/>
              <w:autoSpaceDE/>
              <w:autoSpaceDN/>
              <w:adjustRightInd/>
              <w:spacing w:after="0" w:line="240" w:lineRule="auto"/>
              <w:jc w:val="both"/>
              <w:rPr>
                <w:rFonts w:ascii="Times New Roman" w:hAnsi="Times New Roman" w:cs="Times New Roman"/>
                <w:b/>
                <w:kern w:val="0"/>
                <w:sz w:val="24"/>
                <w:szCs w:val="24"/>
                <w:lang w:val="ru-RU" w:eastAsia="ru-RU" w:bidi="ar-SA"/>
              </w:rPr>
            </w:pPr>
            <w:r>
              <w:rPr>
                <w:rFonts w:ascii="Times New Roman" w:hAnsi="Times New Roman" w:cs="Times New Roman"/>
                <w:b/>
                <w:kern w:val="0"/>
                <w:sz w:val="24"/>
                <w:szCs w:val="24"/>
                <w:lang w:val="ru-RU" w:eastAsia="ru-RU" w:bidi="ar-SA"/>
              </w:rPr>
              <w:t xml:space="preserve">Суб’єкти господарювання, що здійснюють розподіл природного газу на відповідній території, і постачальники природного газу зобов’язані відповідно до їх компетенції готувати і подавати суб’єкту господарювання, що здійснює транспортування природного газу, інформацію про всіх споживачів, приєднаних до газорозподільних систем, а також про обсяги спожитого ними природного газу. </w:t>
            </w:r>
          </w:p>
          <w:p w:rsidR="00B44B4E" w:rsidRDefault="00B44B4E">
            <w:pPr>
              <w:suppressAutoHyphens w:val="0"/>
              <w:autoSpaceDE/>
              <w:autoSpaceDN/>
              <w:adjustRightInd/>
              <w:spacing w:after="0" w:line="240" w:lineRule="auto"/>
              <w:jc w:val="both"/>
              <w:rPr>
                <w:rFonts w:ascii="Times New Roman" w:hAnsi="Times New Roman" w:cs="Times New Roman"/>
                <w:b/>
                <w:kern w:val="0"/>
                <w:sz w:val="24"/>
                <w:szCs w:val="24"/>
                <w:lang w:val="ru-RU" w:eastAsia="ru-RU" w:bidi="ar-SA"/>
              </w:rPr>
            </w:pPr>
            <w:r>
              <w:rPr>
                <w:rFonts w:ascii="Times New Roman" w:hAnsi="Times New Roman" w:cs="Times New Roman"/>
                <w:b/>
                <w:kern w:val="0"/>
                <w:sz w:val="24"/>
                <w:szCs w:val="24"/>
                <w:lang w:val="ru-RU" w:eastAsia="ru-RU" w:bidi="ar-SA"/>
              </w:rPr>
              <w:t xml:space="preserve">Доступ до інформаційної бази даних в обов’язковому порядку надається споживачам (в частині відомостей про таких споживачів), а також іншим суб’єктам ринку природного газу (в межах інформації, яка є </w:t>
            </w:r>
            <w:r>
              <w:rPr>
                <w:rFonts w:ascii="Times New Roman" w:hAnsi="Times New Roman" w:cs="Times New Roman"/>
                <w:b/>
                <w:kern w:val="0"/>
                <w:sz w:val="24"/>
                <w:szCs w:val="24"/>
                <w:lang w:val="ru-RU" w:eastAsia="ru-RU" w:bidi="ar-SA"/>
              </w:rPr>
              <w:lastRenderedPageBreak/>
              <w:t>необхідною для виконання спеціальних обов’язків, покладених на них відповідно до статті 11 Закону України «Про ринок природного газу»).</w:t>
            </w:r>
          </w:p>
          <w:p w:rsidR="00B44B4E" w:rsidRDefault="00B44B4E">
            <w:pPr>
              <w:suppressAutoHyphens w:val="0"/>
              <w:autoSpaceDE/>
              <w:autoSpaceDN/>
              <w:adjustRightInd/>
              <w:spacing w:after="0" w:line="240" w:lineRule="auto"/>
              <w:jc w:val="both"/>
              <w:rPr>
                <w:rFonts w:ascii="Times New Roman" w:hAnsi="Times New Roman" w:cs="Times New Roman"/>
                <w:b/>
                <w:kern w:val="0"/>
                <w:sz w:val="24"/>
                <w:szCs w:val="24"/>
                <w:lang w:val="ru-RU" w:eastAsia="ru-RU" w:bidi="ar-SA"/>
              </w:rPr>
            </w:pPr>
            <w:r>
              <w:rPr>
                <w:rFonts w:ascii="Times New Roman" w:hAnsi="Times New Roman" w:cs="Times New Roman"/>
                <w:b/>
                <w:kern w:val="0"/>
                <w:sz w:val="24"/>
                <w:szCs w:val="24"/>
                <w:lang w:val="ru-RU" w:eastAsia="ru-RU" w:bidi="ar-SA"/>
              </w:rPr>
              <w:t>Адміністратором інформаційної бази даних визначається ТОВ «Оператор газотранспортної системи України».</w:t>
            </w:r>
          </w:p>
        </w:tc>
        <w:tc>
          <w:tcPr>
            <w:tcW w:w="3592" w:type="dxa"/>
            <w:shd w:val="clear" w:color="auto" w:fill="auto"/>
          </w:tcPr>
          <w:p w:rsidR="00B44B4E" w:rsidRDefault="00B44B4E">
            <w:pPr>
              <w:spacing w:after="120" w:line="240" w:lineRule="auto"/>
              <w:rPr>
                <w:rFonts w:ascii="Times New Roman" w:hAnsi="Times New Roman" w:cs="Times New Roman"/>
                <w:sz w:val="24"/>
                <w:szCs w:val="24"/>
              </w:rPr>
            </w:pPr>
            <w:r>
              <w:rPr>
                <w:rFonts w:ascii="Times New Roman" w:hAnsi="Times New Roman" w:cs="Times New Roman"/>
                <w:sz w:val="24"/>
                <w:szCs w:val="24"/>
              </w:rPr>
              <w:lastRenderedPageBreak/>
              <w:t>виконання положень Угоди про асоціацію між Україною та ЄС.</w:t>
            </w:r>
          </w:p>
        </w:tc>
      </w:tr>
    </w:tbl>
    <w:p w:rsidR="00B44B4E" w:rsidRDefault="00B44B4E">
      <w:pPr>
        <w:spacing w:after="120" w:line="240" w:lineRule="auto"/>
        <w:jc w:val="center"/>
        <w:rPr>
          <w:rFonts w:ascii="Times New Roman" w:hAnsi="Times New Roman" w:cs="Times New Roman"/>
          <w:sz w:val="24"/>
          <w:szCs w:val="24"/>
        </w:rPr>
      </w:pPr>
    </w:p>
    <w:p w:rsidR="00B44B4E" w:rsidRDefault="00B44B4E">
      <w:pPr>
        <w:spacing w:after="120" w:line="240" w:lineRule="auto"/>
        <w:jc w:val="center"/>
        <w:rPr>
          <w:rFonts w:ascii="Times New Roman" w:hAnsi="Times New Roman" w:cs="Times New Roman"/>
          <w:sz w:val="24"/>
          <w:szCs w:val="24"/>
        </w:rPr>
      </w:pPr>
    </w:p>
    <w:p w:rsidR="00B44B4E" w:rsidRDefault="00B44B4E">
      <w:pPr>
        <w:spacing w:after="0" w:line="240" w:lineRule="auto"/>
        <w:ind w:left="-426"/>
        <w:contextualSpacing/>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В. о. генерального директора</w:t>
      </w:r>
    </w:p>
    <w:p w:rsidR="00B44B4E" w:rsidRDefault="00B44B4E">
      <w:pPr>
        <w:spacing w:after="0" w:line="240" w:lineRule="auto"/>
        <w:ind w:left="-426"/>
        <w:contextualSpacing/>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Директорату нафтогазового комплексу та розвитку ринків нафти,</w:t>
      </w:r>
    </w:p>
    <w:p w:rsidR="00B44B4E" w:rsidRDefault="00B44B4E">
      <w:pPr>
        <w:spacing w:after="0" w:line="240" w:lineRule="auto"/>
        <w:ind w:left="-426"/>
        <w:contextualSpacing/>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природного газу та нафтопродуктів</w:t>
      </w:r>
    </w:p>
    <w:p w:rsidR="00B44B4E" w:rsidRDefault="00B44B4E">
      <w:pPr>
        <w:spacing w:after="0" w:line="240" w:lineRule="auto"/>
        <w:ind w:left="-426"/>
        <w:contextualSpacing/>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Міністерства енергетики України                                                                                                                            Микола КОЛІСНИК</w:t>
      </w:r>
    </w:p>
    <w:p w:rsidR="00B44B4E" w:rsidRDefault="00B44B4E">
      <w:pPr>
        <w:spacing w:after="0" w:line="240" w:lineRule="auto"/>
        <w:ind w:left="-426"/>
        <w:contextualSpacing/>
        <w:jc w:val="both"/>
        <w:rPr>
          <w:rFonts w:ascii="Times New Roman" w:hAnsi="Times New Roman" w:cs="Times New Roman"/>
          <w:b/>
          <w:sz w:val="28"/>
          <w:szCs w:val="28"/>
          <w:lang w:eastAsia="ru-RU"/>
        </w:rPr>
      </w:pPr>
    </w:p>
    <w:p w:rsidR="00B44B4E" w:rsidRDefault="00B44B4E">
      <w:pPr>
        <w:rPr>
          <w:rFonts w:ascii="Times New Roman" w:hAnsi="Times New Roman" w:cs="Times New Roman"/>
          <w:b/>
          <w:sz w:val="28"/>
          <w:szCs w:val="28"/>
        </w:rPr>
      </w:pPr>
      <w:r>
        <w:rPr>
          <w:rFonts w:ascii="Times New Roman" w:hAnsi="Times New Roman" w:cs="Times New Roman"/>
          <w:sz w:val="28"/>
          <w:szCs w:val="28"/>
        </w:rPr>
        <w:t>___  ______________ 2020 р.</w:t>
      </w:r>
    </w:p>
    <w:p w:rsidR="00B44B4E" w:rsidRDefault="00B44B4E">
      <w:pPr>
        <w:spacing w:after="120" w:line="240" w:lineRule="auto"/>
        <w:jc w:val="center"/>
        <w:rPr>
          <w:rFonts w:ascii="Times New Roman" w:hAnsi="Times New Roman" w:cs="Times New Roman"/>
          <w:sz w:val="24"/>
          <w:szCs w:val="24"/>
        </w:rPr>
      </w:pPr>
    </w:p>
    <w:sectPr w:rsidR="00B44B4E">
      <w:headerReference w:type="even" r:id="rId9"/>
      <w:headerReference w:type="default" r:id="rId10"/>
      <w:footerReference w:type="default" r:id="rId11"/>
      <w:type w:val="continuous"/>
      <w:pgSz w:w="16838" w:h="11906" w:orient="landscape"/>
      <w:pgMar w:top="993" w:right="794" w:bottom="766" w:left="794" w:header="709" w:footer="0"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5E1" w:rsidRDefault="005815E1">
      <w:pPr>
        <w:spacing w:after="0" w:line="240" w:lineRule="auto"/>
      </w:pPr>
      <w:r>
        <w:separator/>
      </w:r>
    </w:p>
  </w:endnote>
  <w:endnote w:type="continuationSeparator" w:id="0">
    <w:p w:rsidR="005815E1" w:rsidRDefault="00581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egoe UI Historic">
    <w:panose1 w:val="020B0502040204020203"/>
    <w:charset w:val="00"/>
    <w:family w:val="swiss"/>
    <w:pitch w:val="variable"/>
    <w:sig w:usb0="800001EF" w:usb1="02000002" w:usb2="0060C080" w:usb3="00000000" w:csb0="00000001" w:csb1="00000000"/>
  </w:font>
  <w:font w:name="Liberation Sans">
    <w:altName w:val="MS Gothic"/>
    <w:charset w:val="CC"/>
    <w:family w:val="swiss"/>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Antiqua">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B4E" w:rsidRDefault="00B44B4E">
    <w:pPr>
      <w:pStyle w:val="cde8e6ede8e9eaeeebeeedf2e8f2f3eb"/>
      <w:ind w:right="360"/>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5E1" w:rsidRDefault="005815E1">
      <w:r>
        <w:rPr>
          <w:rFonts w:ascii="Liberation Serif" w:cs="Times New Roman"/>
          <w:color w:val="auto"/>
          <w:kern w:val="0"/>
          <w:sz w:val="24"/>
          <w:szCs w:val="24"/>
          <w:lang w:bidi="ar-SA"/>
        </w:rPr>
        <w:separator/>
      </w:r>
    </w:p>
  </w:footnote>
  <w:footnote w:type="continuationSeparator" w:id="0">
    <w:p w:rsidR="005815E1" w:rsidRDefault="00581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B4E" w:rsidRDefault="00B44B4E">
    <w:pPr>
      <w:pStyle w:val="ac"/>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rsidR="00B44B4E" w:rsidRDefault="00B44B4E">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B4E" w:rsidRDefault="00B44B4E">
    <w:pPr>
      <w:pStyle w:val="ac"/>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2A175E">
      <w:rPr>
        <w:rStyle w:val="a3"/>
        <w:noProof/>
      </w:rPr>
      <w:t>2</w:t>
    </w:r>
    <w:r>
      <w:rPr>
        <w:rStyle w:val="a3"/>
      </w:rPr>
      <w:fldChar w:fldCharType="end"/>
    </w:r>
  </w:p>
  <w:p w:rsidR="00B44B4E" w:rsidRDefault="00B44B4E">
    <w:pPr>
      <w:pStyle w:val="c2e5f0f5ede8e9eaeeebeeedf2e8f2f3eb"/>
      <w:spacing w:line="1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20FB1"/>
    <w:multiLevelType w:val="hybridMultilevel"/>
    <w:tmpl w:val="755250E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42FE3BF9"/>
    <w:multiLevelType w:val="hybridMultilevel"/>
    <w:tmpl w:val="0A9E8E6C"/>
    <w:lvl w:ilvl="0" w:tplc="62FE3F6A">
      <w:start w:val="1"/>
      <w:numFmt w:val="bullet"/>
      <w:lvlText w:val=""/>
      <w:lvlJc w:val="left"/>
      <w:pPr>
        <w:ind w:left="653" w:hanging="360"/>
      </w:pPr>
      <w:rPr>
        <w:rFonts w:ascii="Symbol" w:hAnsi="Symbol" w:hint="default"/>
      </w:rPr>
    </w:lvl>
    <w:lvl w:ilvl="1" w:tplc="04190003" w:tentative="1">
      <w:start w:val="1"/>
      <w:numFmt w:val="bullet"/>
      <w:lvlText w:val="o"/>
      <w:lvlJc w:val="left"/>
      <w:pPr>
        <w:ind w:left="1373" w:hanging="360"/>
      </w:pPr>
      <w:rPr>
        <w:rFonts w:ascii="Courier New" w:hAnsi="Courier New" w:cs="Courier New" w:hint="default"/>
      </w:rPr>
    </w:lvl>
    <w:lvl w:ilvl="2" w:tplc="04190005" w:tentative="1">
      <w:start w:val="1"/>
      <w:numFmt w:val="bullet"/>
      <w:lvlText w:val=""/>
      <w:lvlJc w:val="left"/>
      <w:pPr>
        <w:ind w:left="2093" w:hanging="360"/>
      </w:pPr>
      <w:rPr>
        <w:rFonts w:ascii="Wingdings" w:hAnsi="Wingdings" w:hint="default"/>
      </w:rPr>
    </w:lvl>
    <w:lvl w:ilvl="3" w:tplc="04190001" w:tentative="1">
      <w:start w:val="1"/>
      <w:numFmt w:val="bullet"/>
      <w:lvlText w:val=""/>
      <w:lvlJc w:val="left"/>
      <w:pPr>
        <w:ind w:left="2813" w:hanging="360"/>
      </w:pPr>
      <w:rPr>
        <w:rFonts w:ascii="Symbol" w:hAnsi="Symbol" w:hint="default"/>
      </w:rPr>
    </w:lvl>
    <w:lvl w:ilvl="4" w:tplc="04190003" w:tentative="1">
      <w:start w:val="1"/>
      <w:numFmt w:val="bullet"/>
      <w:lvlText w:val="o"/>
      <w:lvlJc w:val="left"/>
      <w:pPr>
        <w:ind w:left="3533" w:hanging="360"/>
      </w:pPr>
      <w:rPr>
        <w:rFonts w:ascii="Courier New" w:hAnsi="Courier New" w:cs="Courier New" w:hint="default"/>
      </w:rPr>
    </w:lvl>
    <w:lvl w:ilvl="5" w:tplc="04190005" w:tentative="1">
      <w:start w:val="1"/>
      <w:numFmt w:val="bullet"/>
      <w:lvlText w:val=""/>
      <w:lvlJc w:val="left"/>
      <w:pPr>
        <w:ind w:left="4253" w:hanging="360"/>
      </w:pPr>
      <w:rPr>
        <w:rFonts w:ascii="Wingdings" w:hAnsi="Wingdings" w:hint="default"/>
      </w:rPr>
    </w:lvl>
    <w:lvl w:ilvl="6" w:tplc="04190001" w:tentative="1">
      <w:start w:val="1"/>
      <w:numFmt w:val="bullet"/>
      <w:lvlText w:val=""/>
      <w:lvlJc w:val="left"/>
      <w:pPr>
        <w:ind w:left="4973" w:hanging="360"/>
      </w:pPr>
      <w:rPr>
        <w:rFonts w:ascii="Symbol" w:hAnsi="Symbol" w:hint="default"/>
      </w:rPr>
    </w:lvl>
    <w:lvl w:ilvl="7" w:tplc="04190003" w:tentative="1">
      <w:start w:val="1"/>
      <w:numFmt w:val="bullet"/>
      <w:lvlText w:val="o"/>
      <w:lvlJc w:val="left"/>
      <w:pPr>
        <w:ind w:left="5693" w:hanging="360"/>
      </w:pPr>
      <w:rPr>
        <w:rFonts w:ascii="Courier New" w:hAnsi="Courier New" w:cs="Courier New" w:hint="default"/>
      </w:rPr>
    </w:lvl>
    <w:lvl w:ilvl="8" w:tplc="04190005" w:tentative="1">
      <w:start w:val="1"/>
      <w:numFmt w:val="bullet"/>
      <w:lvlText w:val=""/>
      <w:lvlJc w:val="left"/>
      <w:pPr>
        <w:ind w:left="641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6A7"/>
    <w:rsid w:val="001E10A5"/>
    <w:rsid w:val="002A175E"/>
    <w:rsid w:val="003F7AF6"/>
    <w:rsid w:val="005815E1"/>
    <w:rsid w:val="008062FD"/>
    <w:rsid w:val="00A17643"/>
    <w:rsid w:val="00B44B4E"/>
    <w:rsid w:val="00E146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FEF291-411F-443B-9B23-F1CFF1D20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autoSpaceDE w:val="0"/>
      <w:autoSpaceDN w:val="0"/>
      <w:adjustRightInd w:val="0"/>
      <w:spacing w:after="200" w:line="276" w:lineRule="auto"/>
    </w:pPr>
    <w:rPr>
      <w:rFonts w:hAnsi="Liberation Serif"/>
      <w:color w:val="000000"/>
      <w:kern w:val="1"/>
      <w:sz w:val="22"/>
      <w:szCs w:val="22"/>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uiPriority w:val="99"/>
  </w:style>
  <w:style w:type="character" w:customStyle="1" w:styleId="d1f2e0ede4e0f0f2ede8e9HTMLc7ede0ea">
    <w:name w:val="Сd1тf2аe0нedдe4аe0рf0тf2нedиe8йe9 HTML Зc7нedаe0кea"/>
    <w:uiPriority w:val="99"/>
    <w:rPr>
      <w:rFonts w:ascii="Courier New" w:eastAsia="Times New Roman"/>
      <w:lang w:val="ru-RU" w:eastAsia="ru-RU"/>
    </w:rPr>
  </w:style>
  <w:style w:type="character" w:customStyle="1" w:styleId="c2e5f0f5edb3e9eaeeebeeedf2e8f2f3ebc7ede0ea">
    <w:name w:val="Вc2еe5рf0хf5нedіb3йe9 кeaоeeлebоeeнedтf2иe8тf2уf3лeb Зc7нedаe0кea"/>
    <w:uiPriority w:val="99"/>
    <w:rPr>
      <w:rFonts w:eastAsia="Times New Roman"/>
      <w:sz w:val="22"/>
      <w:lang w:val="x-none" w:eastAsia="ru-RU"/>
    </w:rPr>
  </w:style>
  <w:style w:type="character" w:customStyle="1" w:styleId="cde8e6edb3e9eaeeebeeedf2e8f2f3ebc7ede0ea">
    <w:name w:val="Нcdиe8жe6нedіb3йe9 кeaоeeлebоeeнedтf2иe8тf2уf3лeb Зc7нedаe0кea"/>
    <w:uiPriority w:val="99"/>
    <w:rPr>
      <w:rFonts w:eastAsia="Times New Roman"/>
      <w:sz w:val="22"/>
      <w:lang w:val="x-none" w:eastAsia="ru-RU"/>
    </w:rPr>
  </w:style>
  <w:style w:type="character" w:styleId="a3">
    <w:name w:val="page number"/>
    <w:uiPriority w:val="99"/>
    <w:rPr>
      <w:rFonts w:eastAsia="Times New Roman" w:cs="Times New Roman"/>
    </w:rPr>
  </w:style>
  <w:style w:type="character" w:customStyle="1" w:styleId="d2e5eaf1f2f3e2e8edeef1f6b3c7ede0ea">
    <w:name w:val="Тd2еe5кeaсf1тf2 уf3 вe2иe8нedоeeсf1цf6іb3 Зc7нedаe0кea"/>
    <w:uiPriority w:val="99"/>
    <w:rPr>
      <w:rFonts w:ascii="Segoe UI Historic" w:eastAsia="Times New Roman"/>
      <w:sz w:val="18"/>
      <w:lang w:val="ru-RU" w:eastAsia="en-US"/>
    </w:rPr>
  </w:style>
  <w:style w:type="character" w:customStyle="1" w:styleId="rvts0">
    <w:name w:val="rvts0"/>
  </w:style>
  <w:style w:type="character" w:customStyle="1" w:styleId="rvts9">
    <w:name w:val="rvts9"/>
  </w:style>
  <w:style w:type="character" w:customStyle="1" w:styleId="rvts15">
    <w:name w:val="rvts15"/>
    <w:uiPriority w:val="99"/>
  </w:style>
  <w:style w:type="character" w:customStyle="1" w:styleId="c2fbe4e5ebe5ede8e5">
    <w:name w:val="Вc2ыfbдe4еe5лebеe5нedиe8еe5"/>
    <w:uiPriority w:val="99"/>
    <w:rPr>
      <w:rFonts w:eastAsia="Times New Roman"/>
      <w:i/>
    </w:rPr>
  </w:style>
  <w:style w:type="character" w:customStyle="1" w:styleId="rvts46">
    <w:name w:val="rvts46"/>
  </w:style>
  <w:style w:type="character" w:customStyle="1" w:styleId="rvts11">
    <w:name w:val="rvts11"/>
  </w:style>
  <w:style w:type="character" w:customStyle="1" w:styleId="c8edf2e5f0ede5f2-f1f1fbebeae0">
    <w:name w:val="Иc8нedтf2еe5рf0нedеe5тf2-сf1сf1ыfbлebкeaаe0"/>
    <w:uiPriority w:val="99"/>
    <w:rPr>
      <w:rFonts w:eastAsia="Times New Roman"/>
      <w:color w:val="0000FF"/>
      <w:u w:val="single"/>
    </w:rPr>
  </w:style>
  <w:style w:type="character" w:customStyle="1" w:styleId="rvts37">
    <w:name w:val="rvts37"/>
    <w:uiPriority w:val="99"/>
  </w:style>
  <w:style w:type="character" w:customStyle="1" w:styleId="rvts78">
    <w:name w:val="rvts78"/>
    <w:uiPriority w:val="99"/>
  </w:style>
  <w:style w:type="character" w:customStyle="1" w:styleId="rvts23">
    <w:name w:val="rvts23"/>
    <w:uiPriority w:val="99"/>
  </w:style>
  <w:style w:type="character" w:styleId="a4">
    <w:name w:val="annotation reference"/>
    <w:uiPriority w:val="99"/>
    <w:rPr>
      <w:rFonts w:eastAsia="Times New Roman" w:cs="Times New Roman"/>
      <w:sz w:val="16"/>
    </w:rPr>
  </w:style>
  <w:style w:type="character" w:customStyle="1" w:styleId="d2e5eaf1f2eff0e8ecb3f2eae8c7ede0ea">
    <w:name w:val="Тd2еe5кeaсf1тf2 пefрf0иe8мecіb3тf2кeaиe8 Зc7нedаe0кea"/>
    <w:uiPriority w:val="99"/>
    <w:rPr>
      <w:rFonts w:eastAsia="Times New Roman"/>
      <w:sz w:val="20"/>
      <w:lang w:val="x-none" w:eastAsia="ru-RU"/>
    </w:rPr>
  </w:style>
  <w:style w:type="character" w:customStyle="1" w:styleId="d2e5ece0eff0e8ecb3f2eae8c7ede0ea">
    <w:name w:val="Тd2еe5мecаe0 пefрf0иe8мecіb3тf2кeaиe8 Зc7нedаe0кea"/>
    <w:uiPriority w:val="99"/>
    <w:rPr>
      <w:rFonts w:eastAsia="Times New Roman"/>
      <w:b/>
      <w:sz w:val="20"/>
      <w:lang w:val="x-none" w:eastAsia="ru-RU"/>
    </w:rPr>
  </w:style>
  <w:style w:type="character" w:customStyle="1" w:styleId="rvts44">
    <w:name w:val="rvts44"/>
    <w:uiPriority w:val="99"/>
  </w:style>
  <w:style w:type="character" w:customStyle="1" w:styleId="xfm38946063">
    <w:name w:val="xfm_38946063"/>
    <w:uiPriority w:val="99"/>
  </w:style>
  <w:style w:type="character" w:customStyle="1" w:styleId="StyleZakonuc7ede0ea">
    <w:name w:val="StyleZakonu Зc7нedаe0кea"/>
    <w:uiPriority w:val="99"/>
    <w:rPr>
      <w:rFonts w:ascii="Times New Roman" w:eastAsia="Times New Roman"/>
      <w:sz w:val="20"/>
      <w:lang w:val="x-none" w:eastAsia="ru-RU"/>
    </w:rPr>
  </w:style>
  <w:style w:type="character" w:customStyle="1" w:styleId="cef1edeee2ede8e9f2e5eaf1f2c7ede0ea">
    <w:name w:val="Оceсf1нedоeeвe2нedиe8йe9 тf2еe5кeaсf1тf2 Зc7нedаe0кea"/>
    <w:uiPriority w:val="99"/>
    <w:rPr>
      <w:rFonts w:eastAsia="Times New Roman"/>
      <w:lang w:val="ru-RU" w:eastAsia="zh-CN"/>
    </w:rPr>
  </w:style>
  <w:style w:type="character" w:customStyle="1" w:styleId="ListLabel1">
    <w:name w:val="ListLabel 1"/>
    <w:uiPriority w:val="99"/>
    <w:rPr>
      <w:rFonts w:eastAsia="Times New Roman"/>
    </w:rPr>
  </w:style>
  <w:style w:type="character" w:customStyle="1" w:styleId="ListLabel2">
    <w:name w:val="ListLabel 2"/>
    <w:uiPriority w:val="99"/>
    <w:rPr>
      <w:rFonts w:eastAsia="Times New Roman"/>
    </w:rPr>
  </w:style>
  <w:style w:type="character" w:customStyle="1" w:styleId="ListLabel3">
    <w:name w:val="ListLabel 3"/>
    <w:uiPriority w:val="99"/>
    <w:rPr>
      <w:rFonts w:eastAsia="Times New Roman"/>
    </w:rPr>
  </w:style>
  <w:style w:type="character" w:customStyle="1" w:styleId="ListLabel4">
    <w:name w:val="ListLabel 4"/>
    <w:uiPriority w:val="99"/>
    <w:rPr>
      <w:rFonts w:eastAsia="Times New Roman"/>
    </w:rPr>
  </w:style>
  <w:style w:type="character" w:customStyle="1" w:styleId="ListLabel5">
    <w:name w:val="ListLabel 5"/>
    <w:uiPriority w:val="99"/>
    <w:rPr>
      <w:rFonts w:eastAsia="Times New Roman"/>
    </w:rPr>
  </w:style>
  <w:style w:type="character" w:customStyle="1" w:styleId="ListLabel6">
    <w:name w:val="ListLabel 6"/>
    <w:uiPriority w:val="99"/>
    <w:rPr>
      <w:rFonts w:eastAsia="Times New Roman"/>
    </w:rPr>
  </w:style>
  <w:style w:type="character" w:customStyle="1" w:styleId="ListLabel7">
    <w:name w:val="ListLabel 7"/>
    <w:uiPriority w:val="99"/>
    <w:rPr>
      <w:rFonts w:eastAsia="Times New Roman"/>
    </w:rPr>
  </w:style>
  <w:style w:type="character" w:customStyle="1" w:styleId="ListLabel8">
    <w:name w:val="ListLabel 8"/>
    <w:uiPriority w:val="99"/>
    <w:rPr>
      <w:rFonts w:eastAsia="Times New Roman"/>
    </w:rPr>
  </w:style>
  <w:style w:type="character" w:customStyle="1" w:styleId="ListLabel9">
    <w:name w:val="ListLabel 9"/>
    <w:uiPriority w:val="99"/>
    <w:rPr>
      <w:rFonts w:eastAsia="Times New Roman"/>
    </w:rPr>
  </w:style>
  <w:style w:type="character" w:customStyle="1" w:styleId="ListLabel10">
    <w:name w:val="ListLabel 10"/>
    <w:uiPriority w:val="99"/>
    <w:rPr>
      <w:rFonts w:eastAsia="Times New Roman"/>
    </w:rPr>
  </w:style>
  <w:style w:type="character" w:customStyle="1" w:styleId="ListLabel11">
    <w:name w:val="ListLabel 11"/>
    <w:uiPriority w:val="99"/>
    <w:rPr>
      <w:rFonts w:eastAsia="Times New Roman"/>
    </w:rPr>
  </w:style>
  <w:style w:type="character" w:customStyle="1" w:styleId="ListLabel12">
    <w:name w:val="ListLabel 12"/>
    <w:uiPriority w:val="99"/>
    <w:rPr>
      <w:rFonts w:eastAsia="Times New Roman"/>
    </w:rPr>
  </w:style>
  <w:style w:type="character" w:customStyle="1" w:styleId="ListLabel13">
    <w:name w:val="ListLabel 13"/>
    <w:uiPriority w:val="99"/>
    <w:rPr>
      <w:rFonts w:eastAsia="Times New Roman"/>
    </w:rPr>
  </w:style>
  <w:style w:type="character" w:customStyle="1" w:styleId="ListLabel14">
    <w:name w:val="ListLabel 14"/>
    <w:uiPriority w:val="99"/>
    <w:rPr>
      <w:rFonts w:eastAsia="Times New Roman"/>
    </w:rPr>
  </w:style>
  <w:style w:type="character" w:customStyle="1" w:styleId="ListLabel15">
    <w:name w:val="ListLabel 15"/>
    <w:uiPriority w:val="99"/>
    <w:rPr>
      <w:rFonts w:eastAsia="Times New Roman"/>
    </w:rPr>
  </w:style>
  <w:style w:type="character" w:customStyle="1" w:styleId="ListLabel16">
    <w:name w:val="ListLabel 16"/>
    <w:uiPriority w:val="99"/>
    <w:rPr>
      <w:rFonts w:eastAsia="Times New Roman"/>
    </w:rPr>
  </w:style>
  <w:style w:type="character" w:customStyle="1" w:styleId="ListLabel17">
    <w:name w:val="ListLabel 17"/>
    <w:uiPriority w:val="99"/>
    <w:rPr>
      <w:rFonts w:eastAsia="Times New Roman"/>
    </w:rPr>
  </w:style>
  <w:style w:type="character" w:customStyle="1" w:styleId="ListLabel18">
    <w:name w:val="ListLabel 18"/>
    <w:uiPriority w:val="99"/>
    <w:rPr>
      <w:rFonts w:eastAsia="Times New Roman"/>
    </w:rPr>
  </w:style>
  <w:style w:type="character" w:customStyle="1" w:styleId="ListLabel19">
    <w:name w:val="ListLabel 19"/>
    <w:uiPriority w:val="99"/>
    <w:rPr>
      <w:rFonts w:eastAsia="Times New Roman"/>
    </w:rPr>
  </w:style>
  <w:style w:type="character" w:customStyle="1" w:styleId="ListLabel20">
    <w:name w:val="ListLabel 20"/>
    <w:uiPriority w:val="99"/>
    <w:rPr>
      <w:rFonts w:eastAsia="Times New Roman"/>
    </w:rPr>
  </w:style>
  <w:style w:type="character" w:customStyle="1" w:styleId="ListLabel21">
    <w:name w:val="ListLabel 21"/>
    <w:uiPriority w:val="99"/>
    <w:rPr>
      <w:rFonts w:eastAsia="Times New Roman"/>
    </w:rPr>
  </w:style>
  <w:style w:type="character" w:customStyle="1" w:styleId="ListLabel22">
    <w:name w:val="ListLabel 22"/>
    <w:uiPriority w:val="99"/>
    <w:rPr>
      <w:rFonts w:eastAsia="Times New Roman"/>
    </w:rPr>
  </w:style>
  <w:style w:type="character" w:customStyle="1" w:styleId="ListLabel23">
    <w:name w:val="ListLabel 23"/>
    <w:uiPriority w:val="99"/>
    <w:rPr>
      <w:rFonts w:eastAsia="Times New Roman"/>
    </w:rPr>
  </w:style>
  <w:style w:type="character" w:customStyle="1" w:styleId="ListLabel24">
    <w:name w:val="ListLabel 24"/>
    <w:uiPriority w:val="99"/>
    <w:rPr>
      <w:rFonts w:eastAsia="Times New Roman"/>
    </w:rPr>
  </w:style>
  <w:style w:type="character" w:customStyle="1" w:styleId="ListLabel25">
    <w:name w:val="ListLabel 25"/>
    <w:uiPriority w:val="99"/>
    <w:rPr>
      <w:rFonts w:eastAsia="Times New Roman"/>
    </w:rPr>
  </w:style>
  <w:style w:type="character" w:customStyle="1" w:styleId="ListLabel26">
    <w:name w:val="ListLabel 26"/>
    <w:uiPriority w:val="99"/>
    <w:rPr>
      <w:rFonts w:eastAsia="Times New Roman"/>
    </w:rPr>
  </w:style>
  <w:style w:type="character" w:customStyle="1" w:styleId="ListLabel27">
    <w:name w:val="ListLabel 27"/>
    <w:uiPriority w:val="99"/>
    <w:rPr>
      <w:rFonts w:eastAsia="Times New Roman"/>
    </w:rPr>
  </w:style>
  <w:style w:type="character" w:customStyle="1" w:styleId="ListLabel28">
    <w:name w:val="ListLabel 28"/>
    <w:uiPriority w:val="99"/>
    <w:rPr>
      <w:rFonts w:eastAsia="Times New Roman"/>
    </w:rPr>
  </w:style>
  <w:style w:type="character" w:customStyle="1" w:styleId="ListLabel29">
    <w:name w:val="ListLabel 29"/>
    <w:uiPriority w:val="99"/>
    <w:rPr>
      <w:rFonts w:eastAsia="Times New Roman"/>
    </w:rPr>
  </w:style>
  <w:style w:type="character" w:customStyle="1" w:styleId="ListLabel30">
    <w:name w:val="ListLabel 30"/>
    <w:uiPriority w:val="99"/>
    <w:rPr>
      <w:rFonts w:eastAsia="Times New Roman"/>
    </w:rPr>
  </w:style>
  <w:style w:type="character" w:customStyle="1" w:styleId="ListLabel31">
    <w:name w:val="ListLabel 31"/>
    <w:uiPriority w:val="99"/>
    <w:rPr>
      <w:rFonts w:eastAsia="Times New Roman"/>
    </w:rPr>
  </w:style>
  <w:style w:type="character" w:customStyle="1" w:styleId="ListLabel32">
    <w:name w:val="ListLabel 32"/>
    <w:uiPriority w:val="99"/>
    <w:rPr>
      <w:rFonts w:eastAsia="Times New Roman"/>
    </w:rPr>
  </w:style>
  <w:style w:type="paragraph" w:customStyle="1" w:styleId="c7e0e3eeebeee2eeea">
    <w:name w:val="Зc7аe0гe3оeeлebоeeвe2оeeкea"/>
    <w:basedOn w:val="a"/>
    <w:next w:val="cef1edeee2edeee9f2e5eaf1f2"/>
    <w:uiPriority w:val="99"/>
    <w:pPr>
      <w:keepNext/>
      <w:spacing w:before="240" w:after="120"/>
    </w:pPr>
    <w:rPr>
      <w:rFonts w:ascii="Liberation Sans" w:cs="Liberation Sans"/>
      <w:sz w:val="28"/>
      <w:szCs w:val="28"/>
      <w:lang w:bidi="ar-SA"/>
    </w:rPr>
  </w:style>
  <w:style w:type="paragraph" w:customStyle="1" w:styleId="cef1edeee2edeee9f2e5eaf1f2">
    <w:name w:val="Оceсf1нedоeeвe2нedоeeйe9 тf2еe5кeaсf1тf2"/>
    <w:basedOn w:val="a"/>
    <w:uiPriority w:val="99"/>
    <w:pPr>
      <w:spacing w:after="140" w:line="288" w:lineRule="auto"/>
    </w:pPr>
    <w:rPr>
      <w:rFonts w:ascii="Liberation Serif" w:cs="Liberation Serif"/>
      <w:sz w:val="24"/>
      <w:szCs w:val="24"/>
      <w:lang w:val="ru-RU"/>
    </w:rPr>
  </w:style>
  <w:style w:type="paragraph" w:customStyle="1" w:styleId="d1efe8f1eeea">
    <w:name w:val="Сd1пefиe8сf1оeeкea"/>
    <w:basedOn w:val="cef1edeee2edeee9f2e5eaf1f2"/>
    <w:uiPriority w:val="99"/>
  </w:style>
  <w:style w:type="paragraph" w:customStyle="1" w:styleId="cde0e7e2e0ede8e5">
    <w:name w:val="Нcdаe0зe7вe2аe0нedиe8еe5"/>
    <w:basedOn w:val="a"/>
    <w:uiPriority w:val="99"/>
    <w:pPr>
      <w:spacing w:before="120" w:after="120"/>
    </w:pPr>
    <w:rPr>
      <w:i/>
      <w:iCs/>
      <w:sz w:val="24"/>
      <w:szCs w:val="24"/>
      <w:lang w:bidi="ar-SA"/>
    </w:rPr>
  </w:style>
  <w:style w:type="paragraph" w:customStyle="1" w:styleId="d3eae0e7e0f2e5ebfc">
    <w:name w:val="Уd3кeaаe0зe7аe0тf2еe5лebьfc"/>
    <w:basedOn w:val="a"/>
    <w:uiPriority w:val="99"/>
    <w:rPr>
      <w:lang w:bidi="ar-SA"/>
    </w:rPr>
  </w:style>
  <w:style w:type="paragraph" w:customStyle="1" w:styleId="DocumentMap">
    <w:name w:val="DocumentMap"/>
    <w:uiPriority w:val="99"/>
    <w:pPr>
      <w:suppressAutoHyphens/>
      <w:autoSpaceDE w:val="0"/>
      <w:autoSpaceDN w:val="0"/>
      <w:adjustRightInd w:val="0"/>
    </w:pPr>
    <w:rPr>
      <w:rFonts w:hAnsi="Liberation Serif"/>
      <w:color w:val="000000"/>
      <w:kern w:val="1"/>
      <w:lang w:bidi="hi-IN"/>
    </w:rPr>
  </w:style>
  <w:style w:type="table" w:styleId="a5">
    <w:name w:val="Table Grid"/>
    <w:basedOn w:val="a1"/>
    <w:uiPriority w:val="9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e1e7e0f6f1efe8f1eae0">
    <w:name w:val="Аc0бe1зe7аe0цf6 сf1пefиe8сf1кeaаe0"/>
    <w:basedOn w:val="a"/>
    <w:uiPriority w:val="99"/>
    <w:pPr>
      <w:ind w:left="720"/>
      <w:contextualSpacing/>
    </w:pPr>
    <w:rPr>
      <w:lang w:bidi="ar-S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18"/>
      <w:szCs w:val="20"/>
      <w:lang w:bidi="ar-SA"/>
    </w:rPr>
  </w:style>
  <w:style w:type="character" w:customStyle="1" w:styleId="HTML0">
    <w:name w:val="Стандартний HTML Знак"/>
    <w:link w:val="HTML"/>
    <w:uiPriority w:val="99"/>
    <w:semiHidden/>
    <w:locked/>
    <w:rPr>
      <w:rFonts w:ascii="Courier New" w:hAnsi="Courier New" w:cs="Times New Roman"/>
      <w:color w:val="000000"/>
      <w:kern w:val="1"/>
      <w:sz w:val="18"/>
    </w:rPr>
  </w:style>
  <w:style w:type="paragraph" w:customStyle="1" w:styleId="c2e5f0f5ede8e9eaeeebeeedf2e8f2f3eb">
    <w:name w:val="Вc2еe5рf0хf5нedиe8йe9 кeaоeeлebоeeнedтf2иe8тf2уf3лeb"/>
    <w:basedOn w:val="a"/>
    <w:uiPriority w:val="99"/>
    <w:pPr>
      <w:tabs>
        <w:tab w:val="center" w:pos="4819"/>
        <w:tab w:val="right" w:pos="9639"/>
      </w:tabs>
    </w:pPr>
    <w:rPr>
      <w:lang w:bidi="ar-SA"/>
    </w:rPr>
  </w:style>
  <w:style w:type="paragraph" w:customStyle="1" w:styleId="cde8e6ede8e9eaeeebeeedf2e8f2f3eb">
    <w:name w:val="Нcdиe8жe6нedиe8йe9 кeaоeeлebоeeнedтf2иe8тf2уf3лeb"/>
    <w:basedOn w:val="a"/>
    <w:uiPriority w:val="99"/>
    <w:pPr>
      <w:tabs>
        <w:tab w:val="center" w:pos="4819"/>
        <w:tab w:val="right" w:pos="9639"/>
      </w:tabs>
    </w:pPr>
    <w:rPr>
      <w:lang w:bidi="ar-SA"/>
    </w:rPr>
  </w:style>
  <w:style w:type="paragraph" w:styleId="a6">
    <w:name w:val="Balloon Text"/>
    <w:basedOn w:val="a"/>
    <w:link w:val="a7"/>
    <w:uiPriority w:val="99"/>
    <w:rPr>
      <w:rFonts w:ascii="Tahoma" w:hAnsi="Tahoma" w:cs="Times New Roman"/>
      <w:sz w:val="14"/>
      <w:szCs w:val="20"/>
      <w:lang w:bidi="ar-SA"/>
    </w:rPr>
  </w:style>
  <w:style w:type="character" w:customStyle="1" w:styleId="a7">
    <w:name w:val="Текст у виносці Знак"/>
    <w:link w:val="a6"/>
    <w:uiPriority w:val="99"/>
    <w:semiHidden/>
    <w:locked/>
    <w:rPr>
      <w:rFonts w:ascii="Tahoma" w:hAnsi="Tahoma" w:cs="Times New Roman"/>
      <w:color w:val="000000"/>
      <w:kern w:val="1"/>
      <w:sz w:val="14"/>
    </w:rPr>
  </w:style>
  <w:style w:type="paragraph" w:customStyle="1" w:styleId="rvps2">
    <w:name w:val="rvps2"/>
    <w:basedOn w:val="a"/>
    <w:pPr>
      <w:spacing w:before="100" w:after="100"/>
    </w:pPr>
    <w:rPr>
      <w:rFonts w:ascii="Times New Roman" w:cs="Times New Roman"/>
      <w:sz w:val="24"/>
      <w:szCs w:val="24"/>
      <w:lang w:bidi="ar-SA"/>
    </w:rPr>
  </w:style>
  <w:style w:type="paragraph" w:customStyle="1" w:styleId="rvps17">
    <w:name w:val="rvps17"/>
    <w:basedOn w:val="a"/>
    <w:uiPriority w:val="99"/>
    <w:pPr>
      <w:spacing w:before="100" w:after="100"/>
    </w:pPr>
    <w:rPr>
      <w:rFonts w:ascii="Times New Roman" w:cs="Times New Roman"/>
      <w:sz w:val="24"/>
      <w:szCs w:val="24"/>
      <w:lang w:bidi="ar-SA"/>
    </w:rPr>
  </w:style>
  <w:style w:type="paragraph" w:customStyle="1" w:styleId="rvps6">
    <w:name w:val="rvps6"/>
    <w:basedOn w:val="a"/>
    <w:uiPriority w:val="99"/>
    <w:pPr>
      <w:spacing w:before="100" w:after="100"/>
    </w:pPr>
    <w:rPr>
      <w:rFonts w:ascii="Times New Roman" w:cs="Times New Roman"/>
      <w:sz w:val="24"/>
      <w:szCs w:val="24"/>
      <w:lang w:bidi="ar-SA"/>
    </w:rPr>
  </w:style>
  <w:style w:type="paragraph" w:styleId="a8">
    <w:name w:val="annotation text"/>
    <w:basedOn w:val="a"/>
    <w:link w:val="a9"/>
    <w:uiPriority w:val="99"/>
    <w:rPr>
      <w:rFonts w:cs="Times New Roman"/>
      <w:sz w:val="18"/>
      <w:szCs w:val="20"/>
      <w:lang w:bidi="ar-SA"/>
    </w:rPr>
  </w:style>
  <w:style w:type="character" w:customStyle="1" w:styleId="a9">
    <w:name w:val="Текст примітки Знак"/>
    <w:link w:val="a8"/>
    <w:uiPriority w:val="99"/>
    <w:semiHidden/>
    <w:locked/>
    <w:rPr>
      <w:rFonts w:ascii="Calibri" w:eastAsia="Times New Roman" w:hAnsi="Liberation Serif" w:cs="Times New Roman"/>
      <w:color w:val="000000"/>
      <w:kern w:val="1"/>
      <w:sz w:val="18"/>
    </w:rPr>
  </w:style>
  <w:style w:type="paragraph" w:styleId="aa">
    <w:name w:val="annotation subject"/>
    <w:basedOn w:val="a8"/>
    <w:link w:val="ab"/>
    <w:uiPriority w:val="99"/>
    <w:rPr>
      <w:b/>
    </w:rPr>
  </w:style>
  <w:style w:type="character" w:customStyle="1" w:styleId="ab">
    <w:name w:val="Тема примітки Знак"/>
    <w:link w:val="aa"/>
    <w:uiPriority w:val="99"/>
    <w:semiHidden/>
    <w:locked/>
    <w:rPr>
      <w:rFonts w:ascii="Calibri" w:eastAsia="Times New Roman" w:hAnsi="Liberation Serif" w:cs="Times New Roman"/>
      <w:b/>
      <w:color w:val="000000"/>
      <w:kern w:val="1"/>
      <w:sz w:val="18"/>
    </w:rPr>
  </w:style>
  <w:style w:type="paragraph" w:customStyle="1" w:styleId="1">
    <w:name w:val="Рецензия1"/>
    <w:uiPriority w:val="99"/>
    <w:pPr>
      <w:suppressAutoHyphens/>
      <w:autoSpaceDE w:val="0"/>
      <w:autoSpaceDN w:val="0"/>
      <w:adjustRightInd w:val="0"/>
    </w:pPr>
    <w:rPr>
      <w:rFonts w:hAnsi="Liberation Serif"/>
      <w:color w:val="000000"/>
      <w:kern w:val="1"/>
      <w:sz w:val="22"/>
      <w:szCs w:val="22"/>
      <w:lang w:bidi="hi-IN"/>
    </w:rPr>
  </w:style>
  <w:style w:type="paragraph" w:customStyle="1" w:styleId="xfmc4">
    <w:name w:val="xfmc4"/>
    <w:basedOn w:val="a"/>
    <w:uiPriority w:val="99"/>
    <w:pPr>
      <w:spacing w:before="100" w:after="100"/>
    </w:pPr>
    <w:rPr>
      <w:sz w:val="24"/>
      <w:szCs w:val="24"/>
      <w:lang w:val="ru-RU" w:bidi="ar-SA"/>
    </w:rPr>
  </w:style>
  <w:style w:type="paragraph" w:customStyle="1" w:styleId="StyleZakonu">
    <w:name w:val="StyleZakonu"/>
    <w:basedOn w:val="a"/>
    <w:pPr>
      <w:spacing w:after="60" w:line="220" w:lineRule="exact"/>
      <w:ind w:firstLine="284"/>
      <w:jc w:val="both"/>
    </w:pPr>
    <w:rPr>
      <w:sz w:val="20"/>
      <w:szCs w:val="20"/>
      <w:lang w:bidi="ar-SA"/>
    </w:rPr>
  </w:style>
  <w:style w:type="paragraph" w:customStyle="1" w:styleId="d1eee4e5f0e6e8eceee5e2f0e5e7eae8">
    <w:name w:val="Сd1оeeдe4еe5рf0жe6иe8мecоeeеe5 вe2рf0еe5зe7кeaиe8"/>
    <w:basedOn w:val="a"/>
    <w:uiPriority w:val="99"/>
    <w:rPr>
      <w:lang w:bidi="ar-SA"/>
    </w:rPr>
  </w:style>
  <w:style w:type="paragraph" w:styleId="ac">
    <w:name w:val="header"/>
    <w:basedOn w:val="a"/>
    <w:link w:val="ad"/>
    <w:uiPriority w:val="99"/>
    <w:pPr>
      <w:tabs>
        <w:tab w:val="center" w:pos="4819"/>
        <w:tab w:val="right" w:pos="9639"/>
      </w:tabs>
    </w:pPr>
    <w:rPr>
      <w:rFonts w:cs="Times New Roman"/>
      <w:sz w:val="20"/>
      <w:szCs w:val="20"/>
      <w:lang w:bidi="ar-SA"/>
    </w:rPr>
  </w:style>
  <w:style w:type="character" w:customStyle="1" w:styleId="ad">
    <w:name w:val="Верхній колонтитул Знак"/>
    <w:link w:val="ac"/>
    <w:uiPriority w:val="99"/>
    <w:locked/>
    <w:rPr>
      <w:rFonts w:ascii="Calibri" w:eastAsia="Times New Roman" w:hAnsi="Liberation Serif" w:cs="Times New Roman"/>
      <w:color w:val="000000"/>
      <w:kern w:val="1"/>
      <w:sz w:val="20"/>
    </w:rPr>
  </w:style>
  <w:style w:type="paragraph" w:styleId="ae">
    <w:name w:val="footer"/>
    <w:basedOn w:val="a"/>
    <w:link w:val="af"/>
    <w:uiPriority w:val="99"/>
    <w:pPr>
      <w:tabs>
        <w:tab w:val="center" w:pos="4819"/>
        <w:tab w:val="right" w:pos="9639"/>
      </w:tabs>
    </w:pPr>
    <w:rPr>
      <w:rFonts w:cs="Times New Roman"/>
      <w:sz w:val="20"/>
      <w:szCs w:val="20"/>
      <w:lang w:bidi="ar-SA"/>
    </w:rPr>
  </w:style>
  <w:style w:type="character" w:customStyle="1" w:styleId="af">
    <w:name w:val="Нижній колонтитул Знак"/>
    <w:link w:val="ae"/>
    <w:uiPriority w:val="99"/>
    <w:locked/>
    <w:rPr>
      <w:rFonts w:ascii="Calibri" w:eastAsia="Times New Roman" w:hAnsi="Liberation Serif" w:cs="Times New Roman"/>
      <w:color w:val="000000"/>
      <w:kern w:val="1"/>
      <w:sz w:val="20"/>
    </w:rPr>
  </w:style>
  <w:style w:type="paragraph" w:customStyle="1" w:styleId="rvps7">
    <w:name w:val="rvps7"/>
    <w:basedOn w:val="a"/>
    <w:uiPriority w:val="99"/>
    <w:pPr>
      <w:suppressAutoHyphens w:val="0"/>
      <w:autoSpaceDE/>
      <w:autoSpaceDN/>
      <w:adjustRightInd/>
      <w:spacing w:before="100" w:beforeAutospacing="1" w:after="100" w:afterAutospacing="1" w:line="240" w:lineRule="auto"/>
    </w:pPr>
    <w:rPr>
      <w:rFonts w:ascii="Times New Roman" w:hAnsi="Times New Roman" w:cs="Times New Roman"/>
      <w:color w:val="auto"/>
      <w:kern w:val="0"/>
      <w:sz w:val="24"/>
      <w:szCs w:val="24"/>
      <w:lang w:bidi="ar-SA"/>
    </w:rPr>
  </w:style>
  <w:style w:type="character" w:styleId="af0">
    <w:name w:val="Hyperlink"/>
    <w:rPr>
      <w:rFonts w:cs="Times New Roman"/>
      <w:color w:val="0563C1"/>
      <w:u w:val="single"/>
    </w:rPr>
  </w:style>
  <w:style w:type="paragraph" w:customStyle="1" w:styleId="af1">
    <w:name w:val="a"/>
    <w:basedOn w:val="a"/>
    <w:pPr>
      <w:suppressAutoHyphens w:val="0"/>
      <w:autoSpaceDE/>
      <w:autoSpaceDN/>
      <w:adjustRightInd/>
      <w:spacing w:before="100" w:beforeAutospacing="1" w:after="100" w:afterAutospacing="1" w:line="240" w:lineRule="auto"/>
    </w:pPr>
    <w:rPr>
      <w:rFonts w:ascii="Times New Roman" w:hAnsi="Times New Roman" w:cs="Times New Roman"/>
      <w:color w:val="auto"/>
      <w:kern w:val="0"/>
      <w:sz w:val="24"/>
      <w:szCs w:val="24"/>
      <w:lang w:val="ru-RU" w:eastAsia="ru-RU" w:bidi="ar-SA"/>
    </w:rPr>
  </w:style>
  <w:style w:type="paragraph" w:customStyle="1" w:styleId="af2">
    <w:name w:val="Нормальний текст"/>
    <w:basedOn w:val="a"/>
    <w:link w:val="af3"/>
    <w:uiPriority w:val="99"/>
    <w:pPr>
      <w:suppressAutoHyphens w:val="0"/>
      <w:autoSpaceDE/>
      <w:autoSpaceDN/>
      <w:adjustRightInd/>
      <w:spacing w:before="120" w:after="0" w:line="240" w:lineRule="auto"/>
      <w:ind w:firstLine="567"/>
      <w:jc w:val="both"/>
    </w:pPr>
    <w:rPr>
      <w:rFonts w:ascii="Antiqua" w:hAnsi="Antiqua" w:cs="Times New Roman"/>
      <w:color w:val="auto"/>
      <w:kern w:val="0"/>
      <w:sz w:val="26"/>
      <w:szCs w:val="20"/>
      <w:lang w:eastAsia="ru-RU" w:bidi="ar-SA"/>
    </w:rPr>
  </w:style>
  <w:style w:type="character" w:customStyle="1" w:styleId="af3">
    <w:name w:val="Нормальний текст Знак"/>
    <w:link w:val="af2"/>
    <w:uiPriority w:val="99"/>
    <w:locked/>
    <w:rPr>
      <w:rFonts w:ascii="Antiqua" w:hAnsi="Antiqua" w:cs="Times New Roman"/>
      <w:sz w:val="26"/>
      <w:lang w:eastAsia="ru-RU"/>
    </w:rPr>
  </w:style>
  <w:style w:type="paragraph" w:customStyle="1" w:styleId="af4">
    <w:name w:val="Вміст таблиці"/>
    <w:basedOn w:val="a"/>
    <w:pPr>
      <w:suppressLineNumbers/>
      <w:autoSpaceDE/>
      <w:autoSpaceDN/>
      <w:adjustRightInd/>
      <w:spacing w:after="0" w:line="240" w:lineRule="auto"/>
    </w:pPr>
    <w:rPr>
      <w:rFonts w:ascii="Arial" w:hAnsi="Arial" w:cs="Arial"/>
      <w:color w:val="auto"/>
      <w:kern w:val="0"/>
      <w:lang w:val="ru-RU" w:eastAsia="zh-CN" w:bidi="ar-SA"/>
    </w:rPr>
  </w:style>
  <w:style w:type="paragraph" w:styleId="af5">
    <w:name w:val="Body Text"/>
    <w:basedOn w:val="a"/>
    <w:link w:val="af6"/>
    <w:pPr>
      <w:autoSpaceDE/>
      <w:autoSpaceDN/>
      <w:adjustRightInd/>
      <w:spacing w:after="140" w:line="288" w:lineRule="auto"/>
    </w:pPr>
    <w:rPr>
      <w:rFonts w:ascii="Arial" w:hAnsi="Arial" w:cs="Arial"/>
      <w:color w:val="auto"/>
      <w:kern w:val="0"/>
      <w:lang w:val="ru-RU" w:eastAsia="zh-CN" w:bidi="ar-SA"/>
    </w:rPr>
  </w:style>
  <w:style w:type="character" w:customStyle="1" w:styleId="af6">
    <w:name w:val="Основний текст Знак"/>
    <w:link w:val="af5"/>
    <w:rPr>
      <w:rFonts w:ascii="Arial" w:hAnsi="Arial" w:cs="Arial"/>
      <w:sz w:val="22"/>
      <w:szCs w:val="22"/>
      <w:lang w:val="ru-RU" w:eastAsia="zh-CN"/>
    </w:rPr>
  </w:style>
  <w:style w:type="character" w:styleId="af7">
    <w:name w:val="Emphasis"/>
    <w:qFormat/>
    <w:locked/>
    <w:rPr>
      <w:i/>
      <w:iCs/>
    </w:rPr>
  </w:style>
  <w:style w:type="paragraph" w:styleId="af8">
    <w:name w:val="Normal (Web)"/>
    <w:basedOn w:val="a"/>
    <w:uiPriority w:val="99"/>
    <w:unhideWhenUsed/>
    <w:pPr>
      <w:suppressAutoHyphens w:val="0"/>
      <w:autoSpaceDE/>
      <w:autoSpaceDN/>
      <w:adjustRightInd/>
      <w:spacing w:before="100" w:beforeAutospacing="1" w:after="100" w:afterAutospacing="1" w:line="240" w:lineRule="auto"/>
    </w:pPr>
    <w:rPr>
      <w:rFonts w:ascii="Times New Roman" w:hAnsi="Times New Roman" w:cs="Times New Roman"/>
      <w:color w:val="auto"/>
      <w:kern w:val="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41943">
      <w:bodyDiv w:val="1"/>
      <w:marLeft w:val="0"/>
      <w:marRight w:val="0"/>
      <w:marTop w:val="0"/>
      <w:marBottom w:val="0"/>
      <w:divBdr>
        <w:top w:val="none" w:sz="0" w:space="0" w:color="auto"/>
        <w:left w:val="none" w:sz="0" w:space="0" w:color="auto"/>
        <w:bottom w:val="none" w:sz="0" w:space="0" w:color="auto"/>
        <w:right w:val="none" w:sz="0" w:space="0" w:color="auto"/>
      </w:divBdr>
    </w:div>
    <w:div w:id="68504308">
      <w:bodyDiv w:val="1"/>
      <w:marLeft w:val="0"/>
      <w:marRight w:val="0"/>
      <w:marTop w:val="0"/>
      <w:marBottom w:val="0"/>
      <w:divBdr>
        <w:top w:val="none" w:sz="0" w:space="0" w:color="auto"/>
        <w:left w:val="none" w:sz="0" w:space="0" w:color="auto"/>
        <w:bottom w:val="none" w:sz="0" w:space="0" w:color="auto"/>
        <w:right w:val="none" w:sz="0" w:space="0" w:color="auto"/>
      </w:divBdr>
    </w:div>
    <w:div w:id="268271336">
      <w:bodyDiv w:val="1"/>
      <w:marLeft w:val="0"/>
      <w:marRight w:val="0"/>
      <w:marTop w:val="0"/>
      <w:marBottom w:val="0"/>
      <w:divBdr>
        <w:top w:val="none" w:sz="0" w:space="0" w:color="auto"/>
        <w:left w:val="none" w:sz="0" w:space="0" w:color="auto"/>
        <w:bottom w:val="none" w:sz="0" w:space="0" w:color="auto"/>
        <w:right w:val="none" w:sz="0" w:space="0" w:color="auto"/>
      </w:divBdr>
    </w:div>
    <w:div w:id="564949117">
      <w:bodyDiv w:val="1"/>
      <w:marLeft w:val="0"/>
      <w:marRight w:val="0"/>
      <w:marTop w:val="0"/>
      <w:marBottom w:val="0"/>
      <w:divBdr>
        <w:top w:val="none" w:sz="0" w:space="0" w:color="auto"/>
        <w:left w:val="none" w:sz="0" w:space="0" w:color="auto"/>
        <w:bottom w:val="none" w:sz="0" w:space="0" w:color="auto"/>
        <w:right w:val="none" w:sz="0" w:space="0" w:color="auto"/>
      </w:divBdr>
    </w:div>
    <w:div w:id="666641302">
      <w:bodyDiv w:val="1"/>
      <w:marLeft w:val="0"/>
      <w:marRight w:val="0"/>
      <w:marTop w:val="0"/>
      <w:marBottom w:val="0"/>
      <w:divBdr>
        <w:top w:val="none" w:sz="0" w:space="0" w:color="auto"/>
        <w:left w:val="none" w:sz="0" w:space="0" w:color="auto"/>
        <w:bottom w:val="none" w:sz="0" w:space="0" w:color="auto"/>
        <w:right w:val="none" w:sz="0" w:space="0" w:color="auto"/>
      </w:divBdr>
    </w:div>
    <w:div w:id="762645291">
      <w:bodyDiv w:val="1"/>
      <w:marLeft w:val="0"/>
      <w:marRight w:val="0"/>
      <w:marTop w:val="0"/>
      <w:marBottom w:val="0"/>
      <w:divBdr>
        <w:top w:val="none" w:sz="0" w:space="0" w:color="auto"/>
        <w:left w:val="none" w:sz="0" w:space="0" w:color="auto"/>
        <w:bottom w:val="none" w:sz="0" w:space="0" w:color="auto"/>
        <w:right w:val="none" w:sz="0" w:space="0" w:color="auto"/>
      </w:divBdr>
    </w:div>
    <w:div w:id="887834344">
      <w:bodyDiv w:val="1"/>
      <w:marLeft w:val="0"/>
      <w:marRight w:val="0"/>
      <w:marTop w:val="0"/>
      <w:marBottom w:val="0"/>
      <w:divBdr>
        <w:top w:val="none" w:sz="0" w:space="0" w:color="auto"/>
        <w:left w:val="none" w:sz="0" w:space="0" w:color="auto"/>
        <w:bottom w:val="none" w:sz="0" w:space="0" w:color="auto"/>
        <w:right w:val="none" w:sz="0" w:space="0" w:color="auto"/>
      </w:divBdr>
    </w:div>
    <w:div w:id="972515581">
      <w:marLeft w:val="0"/>
      <w:marRight w:val="0"/>
      <w:marTop w:val="0"/>
      <w:marBottom w:val="0"/>
      <w:divBdr>
        <w:top w:val="none" w:sz="0" w:space="0" w:color="auto"/>
        <w:left w:val="none" w:sz="0" w:space="0" w:color="auto"/>
        <w:bottom w:val="none" w:sz="0" w:space="0" w:color="auto"/>
        <w:right w:val="none" w:sz="0" w:space="0" w:color="auto"/>
      </w:divBdr>
    </w:div>
    <w:div w:id="972515582">
      <w:marLeft w:val="0"/>
      <w:marRight w:val="0"/>
      <w:marTop w:val="0"/>
      <w:marBottom w:val="0"/>
      <w:divBdr>
        <w:top w:val="none" w:sz="0" w:space="0" w:color="auto"/>
        <w:left w:val="none" w:sz="0" w:space="0" w:color="auto"/>
        <w:bottom w:val="none" w:sz="0" w:space="0" w:color="auto"/>
        <w:right w:val="none" w:sz="0" w:space="0" w:color="auto"/>
      </w:divBdr>
    </w:div>
    <w:div w:id="972515583">
      <w:marLeft w:val="0"/>
      <w:marRight w:val="0"/>
      <w:marTop w:val="0"/>
      <w:marBottom w:val="0"/>
      <w:divBdr>
        <w:top w:val="none" w:sz="0" w:space="0" w:color="auto"/>
        <w:left w:val="none" w:sz="0" w:space="0" w:color="auto"/>
        <w:bottom w:val="none" w:sz="0" w:space="0" w:color="auto"/>
        <w:right w:val="none" w:sz="0" w:space="0" w:color="auto"/>
      </w:divBdr>
    </w:div>
    <w:div w:id="972515584">
      <w:marLeft w:val="0"/>
      <w:marRight w:val="0"/>
      <w:marTop w:val="0"/>
      <w:marBottom w:val="0"/>
      <w:divBdr>
        <w:top w:val="none" w:sz="0" w:space="0" w:color="auto"/>
        <w:left w:val="none" w:sz="0" w:space="0" w:color="auto"/>
        <w:bottom w:val="none" w:sz="0" w:space="0" w:color="auto"/>
        <w:right w:val="none" w:sz="0" w:space="0" w:color="auto"/>
      </w:divBdr>
    </w:div>
    <w:div w:id="972515585">
      <w:marLeft w:val="0"/>
      <w:marRight w:val="0"/>
      <w:marTop w:val="0"/>
      <w:marBottom w:val="0"/>
      <w:divBdr>
        <w:top w:val="none" w:sz="0" w:space="0" w:color="auto"/>
        <w:left w:val="none" w:sz="0" w:space="0" w:color="auto"/>
        <w:bottom w:val="none" w:sz="0" w:space="0" w:color="auto"/>
        <w:right w:val="none" w:sz="0" w:space="0" w:color="auto"/>
      </w:divBdr>
    </w:div>
    <w:div w:id="972515586">
      <w:marLeft w:val="0"/>
      <w:marRight w:val="0"/>
      <w:marTop w:val="0"/>
      <w:marBottom w:val="0"/>
      <w:divBdr>
        <w:top w:val="none" w:sz="0" w:space="0" w:color="auto"/>
        <w:left w:val="none" w:sz="0" w:space="0" w:color="auto"/>
        <w:bottom w:val="none" w:sz="0" w:space="0" w:color="auto"/>
        <w:right w:val="none" w:sz="0" w:space="0" w:color="auto"/>
      </w:divBdr>
    </w:div>
    <w:div w:id="972515587">
      <w:marLeft w:val="0"/>
      <w:marRight w:val="0"/>
      <w:marTop w:val="0"/>
      <w:marBottom w:val="0"/>
      <w:divBdr>
        <w:top w:val="none" w:sz="0" w:space="0" w:color="auto"/>
        <w:left w:val="none" w:sz="0" w:space="0" w:color="auto"/>
        <w:bottom w:val="none" w:sz="0" w:space="0" w:color="auto"/>
        <w:right w:val="none" w:sz="0" w:space="0" w:color="auto"/>
      </w:divBdr>
    </w:div>
    <w:div w:id="972515588">
      <w:marLeft w:val="0"/>
      <w:marRight w:val="0"/>
      <w:marTop w:val="0"/>
      <w:marBottom w:val="0"/>
      <w:divBdr>
        <w:top w:val="none" w:sz="0" w:space="0" w:color="auto"/>
        <w:left w:val="none" w:sz="0" w:space="0" w:color="auto"/>
        <w:bottom w:val="none" w:sz="0" w:space="0" w:color="auto"/>
        <w:right w:val="none" w:sz="0" w:space="0" w:color="auto"/>
      </w:divBdr>
    </w:div>
    <w:div w:id="972515589">
      <w:marLeft w:val="0"/>
      <w:marRight w:val="0"/>
      <w:marTop w:val="0"/>
      <w:marBottom w:val="0"/>
      <w:divBdr>
        <w:top w:val="none" w:sz="0" w:space="0" w:color="auto"/>
        <w:left w:val="none" w:sz="0" w:space="0" w:color="auto"/>
        <w:bottom w:val="none" w:sz="0" w:space="0" w:color="auto"/>
        <w:right w:val="none" w:sz="0" w:space="0" w:color="auto"/>
      </w:divBdr>
    </w:div>
    <w:div w:id="972515590">
      <w:marLeft w:val="0"/>
      <w:marRight w:val="0"/>
      <w:marTop w:val="0"/>
      <w:marBottom w:val="0"/>
      <w:divBdr>
        <w:top w:val="none" w:sz="0" w:space="0" w:color="auto"/>
        <w:left w:val="none" w:sz="0" w:space="0" w:color="auto"/>
        <w:bottom w:val="none" w:sz="0" w:space="0" w:color="auto"/>
        <w:right w:val="none" w:sz="0" w:space="0" w:color="auto"/>
      </w:divBdr>
    </w:div>
    <w:div w:id="972515591">
      <w:marLeft w:val="0"/>
      <w:marRight w:val="0"/>
      <w:marTop w:val="0"/>
      <w:marBottom w:val="0"/>
      <w:divBdr>
        <w:top w:val="none" w:sz="0" w:space="0" w:color="auto"/>
        <w:left w:val="none" w:sz="0" w:space="0" w:color="auto"/>
        <w:bottom w:val="none" w:sz="0" w:space="0" w:color="auto"/>
        <w:right w:val="none" w:sz="0" w:space="0" w:color="auto"/>
      </w:divBdr>
    </w:div>
    <w:div w:id="972515592">
      <w:marLeft w:val="0"/>
      <w:marRight w:val="0"/>
      <w:marTop w:val="0"/>
      <w:marBottom w:val="0"/>
      <w:divBdr>
        <w:top w:val="none" w:sz="0" w:space="0" w:color="auto"/>
        <w:left w:val="none" w:sz="0" w:space="0" w:color="auto"/>
        <w:bottom w:val="none" w:sz="0" w:space="0" w:color="auto"/>
        <w:right w:val="none" w:sz="0" w:space="0" w:color="auto"/>
      </w:divBdr>
    </w:div>
    <w:div w:id="972515593">
      <w:marLeft w:val="0"/>
      <w:marRight w:val="0"/>
      <w:marTop w:val="0"/>
      <w:marBottom w:val="0"/>
      <w:divBdr>
        <w:top w:val="none" w:sz="0" w:space="0" w:color="auto"/>
        <w:left w:val="none" w:sz="0" w:space="0" w:color="auto"/>
        <w:bottom w:val="none" w:sz="0" w:space="0" w:color="auto"/>
        <w:right w:val="none" w:sz="0" w:space="0" w:color="auto"/>
      </w:divBdr>
    </w:div>
    <w:div w:id="972515594">
      <w:marLeft w:val="0"/>
      <w:marRight w:val="0"/>
      <w:marTop w:val="0"/>
      <w:marBottom w:val="0"/>
      <w:divBdr>
        <w:top w:val="none" w:sz="0" w:space="0" w:color="auto"/>
        <w:left w:val="none" w:sz="0" w:space="0" w:color="auto"/>
        <w:bottom w:val="none" w:sz="0" w:space="0" w:color="auto"/>
        <w:right w:val="none" w:sz="0" w:space="0" w:color="auto"/>
      </w:divBdr>
    </w:div>
    <w:div w:id="972515595">
      <w:marLeft w:val="0"/>
      <w:marRight w:val="0"/>
      <w:marTop w:val="0"/>
      <w:marBottom w:val="0"/>
      <w:divBdr>
        <w:top w:val="none" w:sz="0" w:space="0" w:color="auto"/>
        <w:left w:val="none" w:sz="0" w:space="0" w:color="auto"/>
        <w:bottom w:val="none" w:sz="0" w:space="0" w:color="auto"/>
        <w:right w:val="none" w:sz="0" w:space="0" w:color="auto"/>
      </w:divBdr>
    </w:div>
    <w:div w:id="972515596">
      <w:marLeft w:val="0"/>
      <w:marRight w:val="0"/>
      <w:marTop w:val="0"/>
      <w:marBottom w:val="0"/>
      <w:divBdr>
        <w:top w:val="none" w:sz="0" w:space="0" w:color="auto"/>
        <w:left w:val="none" w:sz="0" w:space="0" w:color="auto"/>
        <w:bottom w:val="none" w:sz="0" w:space="0" w:color="auto"/>
        <w:right w:val="none" w:sz="0" w:space="0" w:color="auto"/>
      </w:divBdr>
    </w:div>
    <w:div w:id="972515597">
      <w:marLeft w:val="0"/>
      <w:marRight w:val="0"/>
      <w:marTop w:val="0"/>
      <w:marBottom w:val="0"/>
      <w:divBdr>
        <w:top w:val="none" w:sz="0" w:space="0" w:color="auto"/>
        <w:left w:val="none" w:sz="0" w:space="0" w:color="auto"/>
        <w:bottom w:val="none" w:sz="0" w:space="0" w:color="auto"/>
        <w:right w:val="none" w:sz="0" w:space="0" w:color="auto"/>
      </w:divBdr>
    </w:div>
    <w:div w:id="1094010452">
      <w:bodyDiv w:val="1"/>
      <w:marLeft w:val="0"/>
      <w:marRight w:val="0"/>
      <w:marTop w:val="0"/>
      <w:marBottom w:val="0"/>
      <w:divBdr>
        <w:top w:val="none" w:sz="0" w:space="0" w:color="auto"/>
        <w:left w:val="none" w:sz="0" w:space="0" w:color="auto"/>
        <w:bottom w:val="none" w:sz="0" w:space="0" w:color="auto"/>
        <w:right w:val="none" w:sz="0" w:space="0" w:color="auto"/>
      </w:divBdr>
    </w:div>
    <w:div w:id="1197309462">
      <w:bodyDiv w:val="1"/>
      <w:marLeft w:val="0"/>
      <w:marRight w:val="0"/>
      <w:marTop w:val="0"/>
      <w:marBottom w:val="0"/>
      <w:divBdr>
        <w:top w:val="none" w:sz="0" w:space="0" w:color="auto"/>
        <w:left w:val="none" w:sz="0" w:space="0" w:color="auto"/>
        <w:bottom w:val="none" w:sz="0" w:space="0" w:color="auto"/>
        <w:right w:val="none" w:sz="0" w:space="0" w:color="auto"/>
      </w:divBdr>
    </w:div>
    <w:div w:id="1530072554">
      <w:bodyDiv w:val="1"/>
      <w:marLeft w:val="0"/>
      <w:marRight w:val="0"/>
      <w:marTop w:val="0"/>
      <w:marBottom w:val="0"/>
      <w:divBdr>
        <w:top w:val="none" w:sz="0" w:space="0" w:color="auto"/>
        <w:left w:val="none" w:sz="0" w:space="0" w:color="auto"/>
        <w:bottom w:val="none" w:sz="0" w:space="0" w:color="auto"/>
        <w:right w:val="none" w:sz="0" w:space="0" w:color="auto"/>
      </w:divBdr>
      <w:divsChild>
        <w:div w:id="564334603">
          <w:marLeft w:val="0"/>
          <w:marRight w:val="0"/>
          <w:marTop w:val="0"/>
          <w:marBottom w:val="0"/>
          <w:divBdr>
            <w:top w:val="none" w:sz="0" w:space="0" w:color="auto"/>
            <w:left w:val="none" w:sz="0" w:space="0" w:color="auto"/>
            <w:bottom w:val="none" w:sz="0" w:space="0" w:color="auto"/>
            <w:right w:val="none" w:sz="0" w:space="0" w:color="auto"/>
          </w:divBdr>
        </w:div>
      </w:divsChild>
    </w:div>
    <w:div w:id="1592811284">
      <w:bodyDiv w:val="1"/>
      <w:marLeft w:val="0"/>
      <w:marRight w:val="0"/>
      <w:marTop w:val="0"/>
      <w:marBottom w:val="0"/>
      <w:divBdr>
        <w:top w:val="none" w:sz="0" w:space="0" w:color="auto"/>
        <w:left w:val="none" w:sz="0" w:space="0" w:color="auto"/>
        <w:bottom w:val="none" w:sz="0" w:space="0" w:color="auto"/>
        <w:right w:val="none" w:sz="0" w:space="0" w:color="auto"/>
      </w:divBdr>
    </w:div>
    <w:div w:id="2032416044">
      <w:bodyDiv w:val="1"/>
      <w:marLeft w:val="0"/>
      <w:marRight w:val="0"/>
      <w:marTop w:val="0"/>
      <w:marBottom w:val="0"/>
      <w:divBdr>
        <w:top w:val="none" w:sz="0" w:space="0" w:color="auto"/>
        <w:left w:val="none" w:sz="0" w:space="0" w:color="auto"/>
        <w:bottom w:val="none" w:sz="0" w:space="0" w:color="auto"/>
        <w:right w:val="none" w:sz="0" w:space="0" w:color="auto"/>
      </w:divBdr>
    </w:div>
    <w:div w:id="2047948527">
      <w:bodyDiv w:val="1"/>
      <w:marLeft w:val="0"/>
      <w:marRight w:val="0"/>
      <w:marTop w:val="0"/>
      <w:marBottom w:val="0"/>
      <w:divBdr>
        <w:top w:val="none" w:sz="0" w:space="0" w:color="auto"/>
        <w:left w:val="none" w:sz="0" w:space="0" w:color="auto"/>
        <w:bottom w:val="none" w:sz="0" w:space="0" w:color="auto"/>
        <w:right w:val="none" w:sz="0" w:space="0" w:color="auto"/>
      </w:divBdr>
    </w:div>
    <w:div w:id="205411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92/96-%D0%B2%D1%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2665-1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8434</Words>
  <Characters>4808</Characters>
  <Application>Microsoft Office Word</Application>
  <DocSecurity>0</DocSecurity>
  <Lines>40</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Щодо приєднання до мереж</vt:lpstr>
      <vt:lpstr>Щодо приєднання до мереж</vt:lpstr>
    </vt:vector>
  </TitlesOfParts>
  <Company>SPecialiST RePack</Company>
  <LinksUpToDate>false</LinksUpToDate>
  <CharactersWithSpaces>13216</CharactersWithSpaces>
  <SharedDoc>false</SharedDoc>
  <HLinks>
    <vt:vector size="12" baseType="variant">
      <vt:variant>
        <vt:i4>2097193</vt:i4>
      </vt:variant>
      <vt:variant>
        <vt:i4>3</vt:i4>
      </vt:variant>
      <vt:variant>
        <vt:i4>0</vt:i4>
      </vt:variant>
      <vt:variant>
        <vt:i4>5</vt:i4>
      </vt:variant>
      <vt:variant>
        <vt:lpwstr>https://zakon.rada.gov.ua/laws/show/192/96-%D0%B2%D1%80</vt:lpwstr>
      </vt:variant>
      <vt:variant>
        <vt:lpwstr/>
      </vt:variant>
      <vt:variant>
        <vt:i4>6881317</vt:i4>
      </vt:variant>
      <vt:variant>
        <vt:i4>0</vt:i4>
      </vt:variant>
      <vt:variant>
        <vt:i4>0</vt:i4>
      </vt:variant>
      <vt:variant>
        <vt:i4>5</vt:i4>
      </vt:variant>
      <vt:variant>
        <vt:lpwstr>https://zakon.rada.gov.ua/laws/show/2665-14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Щодо приєднання до мереж</dc:title>
  <cp:revision>2</cp:revision>
  <cp:lastPrinted>2020-10-15T07:59:00Z</cp:lastPrinted>
  <dcterms:created xsi:type="dcterms:W3CDTF">2021-01-11T12:08:00Z</dcterms:created>
  <dcterms:modified xsi:type="dcterms:W3CDTF">2021-01-11T12:08:00Z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Мороз Андрій Анатолійович</vt:lpwstr>
  </property>
</Properties>
</file>