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AFC" w:rsidRPr="00573AFC" w:rsidRDefault="00573AFC" w:rsidP="00573AFC">
      <w:pPr>
        <w:shd w:val="clear" w:color="auto" w:fill="FFFFFF"/>
        <w:spacing w:after="0" w:line="240" w:lineRule="auto"/>
        <w:jc w:val="both"/>
        <w:rPr>
          <w:rFonts w:ascii="Times New Roman" w:hAnsi="Times New Roman"/>
          <w:b/>
          <w:sz w:val="28"/>
          <w:szCs w:val="28"/>
          <w:lang w:val="uk-UA"/>
        </w:rPr>
      </w:pPr>
      <w:bookmarkStart w:id="0" w:name="_GoBack"/>
      <w:bookmarkEnd w:id="0"/>
    </w:p>
    <w:p w:rsidR="00573AFC" w:rsidRPr="00573AFC" w:rsidRDefault="00573AFC" w:rsidP="00573AFC">
      <w:pPr>
        <w:shd w:val="clear" w:color="auto" w:fill="FFFFFF"/>
        <w:spacing w:after="0" w:line="240" w:lineRule="auto"/>
        <w:ind w:left="5664" w:firstLine="708"/>
        <w:jc w:val="both"/>
        <w:rPr>
          <w:rFonts w:ascii="Times New Roman" w:hAnsi="Times New Roman"/>
          <w:b/>
          <w:bCs/>
          <w:sz w:val="28"/>
          <w:szCs w:val="28"/>
          <w:lang w:val="uk-UA" w:eastAsia="ru-RU"/>
        </w:rPr>
      </w:pPr>
      <w:r w:rsidRPr="00573AFC">
        <w:rPr>
          <w:rFonts w:ascii="Times New Roman" w:hAnsi="Times New Roman"/>
          <w:b/>
          <w:sz w:val="28"/>
          <w:szCs w:val="28"/>
          <w:lang w:val="uk-UA"/>
        </w:rPr>
        <w:t>Верховна Рада України</w:t>
      </w:r>
    </w:p>
    <w:p w:rsidR="00573AFC" w:rsidRPr="00573AFC" w:rsidRDefault="00573AFC" w:rsidP="00573AFC">
      <w:pPr>
        <w:spacing w:after="0" w:line="240" w:lineRule="auto"/>
        <w:jc w:val="center"/>
        <w:rPr>
          <w:rFonts w:ascii="Times New Roman" w:hAnsi="Times New Roman"/>
          <w:sz w:val="28"/>
          <w:szCs w:val="24"/>
          <w:highlight w:val="yellow"/>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Комітет Верховної Ради України з питань фінансів, податкової та митної політики на своєму засіданні 21 січня 2021 року (Протокол №55) розглянув проекти Законів «Про внесення змін до Податкового кодексу України щодо упорядкування структури акцизного податку» (реєстр. № 3704 від 19.06.2020),  «Про внесення змін до Податкового кодексу України щодо упорядкування структури акцизного податку» (реєстр. № 3704-1 від 03.07.2020), «Про внесення змін до Податкового кодексу України щодо надання учасникам антитерористичної операції та заходів із забезпечення національної безпеки і оборони України розстрочки зі сплати податку на додану вартість та акцизного податку при ввезенні на митну територію України в митному режимі імпорту транспортних засобів особистого користування»  (реєстр. № 3093 від 20.02.2020) та «Про внесення змін до Податкового кодексу України щодо спрощення умов ввезення на митну територію України транспортних засобів та приведення умов оподаткування до загального режиму акцизних зборів Європейського Союзу» (реєстр. №2342 від 29.10.2019).</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Всі законопроекти за своєю суттю є альтернативними, адже містять положення, що регулюють однакове коло питань та повторюють за суттю положення щодо регулювання одних і тих же суспільних відносин: зокрема, ними пропонується створення правових передумов для розмитнення автомобілів на іноземній реєстрації, раніше ввезених на митну територію України, спрощення митних процедур їх оформлення та реєстрації в Україні.</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1.</w:t>
      </w:r>
      <w:r w:rsidRPr="00AC44E7">
        <w:rPr>
          <w:rFonts w:ascii="Times New Roman" w:hAnsi="Times New Roman"/>
          <w:sz w:val="28"/>
          <w:szCs w:val="28"/>
          <w:lang w:val="uk-UA" w:eastAsia="ru-RU"/>
        </w:rPr>
        <w:tab/>
        <w:t xml:space="preserve">До законопроекту (реєстр.№3704):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Метою законопроекту, як зазначається у пояснювальній записці до нього, є наближення податкового  законодавства України до acquis ЄС, зокрема Директиви Ради ЄС № 2008/118/ЄС, встановлення сприятливих умов для ввезення у 2020 році на митну територію України транспортних засобів особами з інвалідністю, учасниками ліквідації наслідків аварії на Чорнобильській АЕС, учасниками бойових дій та інвалідами війни з числа  учасників антитерористичної операції та заходів із забезпечення національної безпеки і оборони України; створення правових передумов для розмитнення автомобілів на іноземній реєстрації, раніше ввезених на митну територію України, спрощення митних процедур їх оформлення та реєстрації в Україні; оновлення наявного  парку автотранспортних засобів українських </w:t>
      </w:r>
      <w:r w:rsidRPr="00AC44E7">
        <w:rPr>
          <w:rFonts w:ascii="Times New Roman" w:hAnsi="Times New Roman"/>
          <w:sz w:val="28"/>
          <w:szCs w:val="28"/>
          <w:lang w:val="uk-UA" w:eastAsia="ru-RU"/>
        </w:rPr>
        <w:lastRenderedPageBreak/>
        <w:t>перевізників; збільшення доходів місцевих бюджетів за рахунок перегляду об’єктів оподаткування транспортним податком та врахування  специфіки окремих транспортних засобів  при застосуванні до них чинних екологічних стандартів.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У законопроекті, зокрема, передбачається: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виключити з переліку підакцизних товарів (із скасуванням відповідних ставок акцизного податку) автомобілі легкові, кузови до них, причепи та напівпричепи, мотоцикли, транспортні засоби, призначені для перевезення</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10 осіб i більше;</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виключити надходження від акцизного податку із джерел формування Державного дорожнього фонду;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звільнити з 1 січня 2021 року від сплати податку на додану вартість операції з ввезення на митну територію України у митному режимі імпорту транспортних засобів особистого користування, що класифікуються за товарними позиціями 8702 (автобуси), 8703 (легкові автомобілі), 8704 (вантажні автомобілі загальною масою до 3,5 тони) та причепів до них (товарна позиція 8716) згідно з УКТ ЗЕД, у кількості не більше однієї одиниці на кожну товарну позицію учасниками бойових дій;</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звільнити до 31 грудня 2020 року (включно) від сплати акцизного податку операції з ввезення на митну територію України у митному режимі імпорту транспортних засобів особистого користування, що класифікуються за товарними позиціями 8702 (автобуси), 8703 (легкові автомобілі), 8704 (вантажні автомобілі загальною масою до 3,5 тони) та причепів до них (товарна позиція 8716) згідно з УКТ ЗЕД, у кількості не більше однієї одиниці на кожну товарну позицію учасниками бойових дій;</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віднести до переліку об’єктів оподаткування транспортним податком мотоцикли, а також водні види транспорту (зареєстровані у Державному судновому реєстрі України або Судновій книзі України яхти, судна та катери моторні);</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виключити з об’єктів оподаткування транспортним податком транспортні засоби спеціального та спеціалізованого призначення, транспортні засоби, що входять до складу Збройних Сил України, інших, утворених відповідно до законів України, військових формувань та правоохоронних органів, підрозділів цивільного захисту населення, транспортні засоби об’єктів соціальної та спортивної сфер, а також водний транспорт комерційного призначення;</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встановити ставку оподаткування цим податком з розрахунку на календарний рік на рівні 6 розмірів мінімальної заробітної плати, встановленої законом на 1 січня податкового (звітного) періоду (як приклад, станом                          на 2020 рік це 28,3 тис. грн.) замість чинної на сьогодні ставки у розмірі                        25 тис. гривень. При цьому, повна ставка буде сплачуватися за транспорті </w:t>
      </w:r>
      <w:r w:rsidRPr="00AC44E7">
        <w:rPr>
          <w:rFonts w:ascii="Times New Roman" w:hAnsi="Times New Roman"/>
          <w:sz w:val="28"/>
          <w:szCs w:val="28"/>
          <w:lang w:val="uk-UA" w:eastAsia="ru-RU"/>
        </w:rPr>
        <w:lastRenderedPageBreak/>
        <w:t>засоби за роком виготовлення не старіше 5 років, а за роками виготовлення транспортних засобів від 8 до 5 років до повної ставки встановлюється понижуючий коефіцієнт 0,5 (тобто, як приклад, на 20020 рік – 14,15 тис. грн.);</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для легкових автомобілів, що були у використанні, які ввезені на митну територію України, оформлені для вільного обігу і зареєстровані в Україні, та які не відповідають екологічному стандарту «ЄВРО-4», пропонується встановити обов’язок проведення технічного огляду протягом 3 місяців з дня їх державної реєстрації та у подальшому 1 раз у 2 роки тощо.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Відповідні зміни пропонуються до Податкового кодексу України, а також до законів України «Про дорожній рух», «Про джерела фінансування дорожнього господарства», «Про деякі питання ввезення на митну територію України та проведення першої державної реєстрації транспортних засобів», «Про реабілітацію осіб з інвалідністю в Україні».</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2.</w:t>
      </w:r>
      <w:r w:rsidRPr="00AC44E7">
        <w:rPr>
          <w:rFonts w:ascii="Times New Roman" w:hAnsi="Times New Roman"/>
          <w:sz w:val="28"/>
          <w:szCs w:val="28"/>
          <w:lang w:val="uk-UA" w:eastAsia="ru-RU"/>
        </w:rPr>
        <w:tab/>
        <w:t xml:space="preserve">До законопроекту (реєстр.№3704-1):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Метою законопроекту, як зазначається у пояснювальній записці до нього, є заміна діючої системи оподаткування акцизним податком легкових транспортних засобів, ліквідацію дисбалансу у встановлених формулою розрахунку акцизного податку в залежності від об'єму циліндрів двигуна транспортних засобів та їх віку, стимулювання до придбання більш нових транспортних засобів та створення умов для розмитнення раніше ввезених на митну територію України автомобілів з іноземною реєстрацією, а також унеможливить виконання будь-яких маніпуляцій та зловживань при розмитненні транспортних засобів.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У законопроекті передбачається встановити єдині ставки акцизного податку на рівні 0,1 євро та ввізного мита на рівні 0,75 євро за 1 куб. см об’єму циліндрів двигуна для моторних транспортних засобів, призначених для перевезення людей, що відповідають товарній позиції 8703 згідно з УКТ ЗЕД.</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Відповідні зміни пропонуються до Податкового кодексу України, а також до Митного тарифу України, встановленого Законом України «Про Митний тариф України» від 04.06.2020 № 674-IX.</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Відповідно до умов вступу України до СОТ ввізне мито на автомобілі встановлене, в середньому, на рівні 10% від митної вартості автомобіля і не може бути підвищеними в односторонньому порядку.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У разі запровадження ставки ввізного мита на рівні 0,75 євро за 1 куб. см об’єму циліндрів двигуна виникає ситуація, за якої ввізне мито може перевищувати рівень, погоджений із СОТ, що має результатом порушення міжнародних зобов’язань, в іншому випадку, призведе до різкого зниження надходжень до державного бюджету.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lastRenderedPageBreak/>
        <w:t xml:space="preserve"> З аналогічних міркувань, законодавча ініціатива також не узгоджується з Угодою про Асоціацію між Україною та ЄС в частині застосування ввізних мит на автомобілі.</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3.</w:t>
      </w:r>
      <w:r w:rsidRPr="00AC44E7">
        <w:rPr>
          <w:rFonts w:ascii="Times New Roman" w:hAnsi="Times New Roman"/>
          <w:sz w:val="28"/>
          <w:szCs w:val="28"/>
          <w:lang w:val="uk-UA" w:eastAsia="ru-RU"/>
        </w:rPr>
        <w:tab/>
        <w:t xml:space="preserve">До законопроекту (реєстр.№3093):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Метою законопроекту, як зазначається у пояснювальній записці до нього, є надання додаткового фінансового інструменту для розмитнення транспортних засобів окремими категоріями громадян, які захищали незалежність, суверенітет та територіальну цілісність України.</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Законопроектом, зокрема, пропонується тимчасово, до 1 січня 2025 року, один раз на 5 років надати учасникам антитерористичної операції та заходів із забезпечення національної безпеки і оборони України за їх заявою розстрочення сплати ПДВ та акцизного податку на термін не більше 36 календарних місяців (без нарахування процентів, пені та штрафів) при ввезенні на митну територію України у митному режимі імпорту транспортних засобів особистого користування, що класифікуються за товарними позиціями 8702 (автобуси), 8703 (легкові автомобілі), 8704 (вантажні автомобілі загальною масою до 3,5 тонни), 8711 (мотоцикли) згідно з УКТ ЗЕД, та причепів до них, у кількості не більше однієї одиниці на кожну товарну позицію.</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На даний час розстрочення сплати ПДВ при ввезенні на митну територію України товарів застосовується тільки для суб’єктів господарювання, які здійснюють постійне обов’язкове звітування контролюючим органам, і тому такі операції не потребують додаткового адміністрування. Запровадження розстрочення сплати ПДВ та акцизного податку при ввезені транспортних засобів для фізичних осіб не зареєстрованих платниками ПДВ, призведе до ускладнення (унеможливить) адміністрування цих податків.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Законопроектом пропонується надати можливість забезпечення сплати митних платежів шляхом застави транспортних засобів. При цьому, статтю 306 Митного кодексу України визначено виключний перелік способів забезпечення сплати митних платежів: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фінансові гарантії;</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гарантування на умовах Митної конвенції про міжнародне перевезення вантажів із застосуванням книжки МДП (Конвенції МДП) 1975 року;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гарантування на умовах Конвенції про тимчасове ввезення (Стамбул, 1990 рік) із застосуванням книжки (карнету) А.Т.А.</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Можливості забезпечення сплати митних платежів шляхом застави транспортних засобів Митним кодексом України не передбачено. Крім того, Митним кодексом України не надано право Кабінету Міністрів України  встановлювати додаткові способи забезпечення сплати митних платежів.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lastRenderedPageBreak/>
        <w:t>4.</w:t>
      </w:r>
      <w:r w:rsidRPr="00AC44E7">
        <w:rPr>
          <w:rFonts w:ascii="Times New Roman" w:hAnsi="Times New Roman"/>
          <w:sz w:val="28"/>
          <w:szCs w:val="28"/>
          <w:lang w:val="uk-UA" w:eastAsia="ru-RU"/>
        </w:rPr>
        <w:tab/>
        <w:t xml:space="preserve">До законопроекту (реєстр.№2342):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Метою законопроекту, як зазначається у пояснювальній записці до нього, є створення передумов для комплексного врегулювання питання розмитнення автомобілів з іноземною реєстрацією в Україні, дотримання митних правил при переміщенні транспортних засобів у митних режимах тимчасового ввезення і транзиту, а також врахування інтересів усіх верств населення при вирішенні вказаного питання.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Законопроектом, зокрема, пропонується:</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виключити з переліку підакцизних товарів (із скасуванням відповідних ставок акцизного податку) автомобілі легкові, кузови до них, причепи та напівпричепи, мотоцикли, транспортні засоби, призначені для перевезення 10 осіб i більше, транспортні засоби для перевезення вантажів;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 встановити, що не є об'єктом оподаткування операції з переобладнання ввезеного на митну територію України транспортного засобу у підакцизний легковий автомобіль та, відповідно, особа - власник ввезеного на митну територію України вантажного транспортного засобу, що переобладнується у легковий автомобіль, не є платником акцизного податку.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 - встановити тимчасово, протягом 180 календарних днів з дати набрання чинності відповідної законодавчої ініціативи, не застосовувати коефіцієнт віку при визначенні ставки акцизного податку транспортного засобу, що був ввезений на митну територію України до дня набрання чинності зазначеної законодавчої ініціативи.</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не застосовувати екологічні вимоги «ЄВРО» для транспортних засобів, як вироблених в Україні, так і ввезених на митну територію України, для митного оформлення з метою вільного обігу та першої державної реєстрації в Україні для: автомобілів швидкої медичної допомоги, транспортних засобів спеціального призначення - пересувних медичних клінік, пожежних автомобілів, якщо замовником (отримувачем) такої продукції є держава; транспортних засобів, що використовувалися понад 30 років, або належать до предметів колекціонування або антикваріату.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Комітет з питань з питань інтеграції України з Європейським Союзом у своїх висновках зазначив: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№2342) – положення  проєкту не стосуються міжнародно-правових зобов’язань України в сфері європейської інтеграції та регулюються на рівні національного законодавства країн-членів Європейського Союзу, а акти acquis ЄС, на які автори посилаються у пояснювальній записці, не мають відношення до предмету регулювання законопроекту.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Комітет Верховної Ради України з питань бюджету у своїх висновках зазначив: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lastRenderedPageBreak/>
        <w:t>до законопроекту (реєстр. №3704) – матиме вплив на показники бюджету (призведе до зменшення доходів загального фонду державного бюджету від податку на додану вартість, зменшення доходів спеціального фонду державного бюджету від акцизного податку та зменшення надходжень і витрат державного дорожнього фонду, а також може призвести до збільшення доходів місцевих бюджетів від транспортного податку);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№3093) - матиме вплив на показники бюджету (призведе до зменшення доходів державного бюджету від податку на додану вартість та акцизного податку у середньостроковій перспективі, а також може потребувати додаткових видатків державного бюджету на функціонування відповідних контролюючих органів залежно від вжиття заходів щодо економного і ефективного використання бюджетних коштів, передбачених на функціонування цих органів);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№2342) - матиме вплив на показники бюджету (призведе до зменшення доходів державного бюджету від акцизного податку та зменшення надходжень і витрат державного дорожнього фонду).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Головне науково-експертне управління Верховної Ради України – у своїх висновках (додаються):</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№3704) – висловило ряд суттєвих зауважень та запропонувало отримати висновок Уряду;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№3704-1) – висловило зауваження та запропонувало отримати висновок Уряду;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№3093) – висловило зауваження та запропонувало отримати висновок Уряду та розглянути разом із законопроектами реєстр. №№3704, 3704-1, 2342;</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№2342) – висловило ряд суттєвих зауважень та запропонувало отримати висновок Уряду.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КМУ – у своїх висновках:</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до законопроекту (реєстр. №3704) – не підтримує, оскільки положення проекту не узгоджуються з основним принципом ПДВ – нейтральність для впливу на конкурентне середовище, матимуть негативний вплив на навколишнє природне середовище та безпеку дорожнього руху та призведуть до втрат державного бюджету  з податку на доладну вартість та акцизного податку;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№3704-1) – не підтримує, оскільки положення проекту призведуть до недофінансування державного дорожнього фонду, збільшить негативний вплив на навколишнє природне середовище та безпеку дорожнього руху;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lastRenderedPageBreak/>
        <w:t xml:space="preserve">МФУ – за оперативними даними, не підтримує запропоновані зміни, оскільки, за експертною оцінкою, у разі збереження тенденції 2019 щодо ввезення на митну територію України транспортних засобів, прийняття законопроекту призведе до зменшення надходжень до державного бюджету в сумі близько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6,6 млрд грн в розрахунку на рік (акцизного податку – 6,2 млрд грн та ввізного мита – 0,4 млрд грн).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Мінекономіки – не підтримує законопроект.</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№3093):</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МФУ – надання преференційного режиму оподаткування при імпортуванні товарів на митну територію України може призвести не тільки до недонадходження податку на додану вартість та акцизного податку до державного бюджету, а також до вишукування додаткових джерел фінансування для здійснення контролю за використанням ввезених товарів за призначенням.</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Мінекономіки - відповідно до діючих норм акцизний податок на новий легковий автомобіль з двигуном внутрішнього згоряння з іскровим запалюванням та кривошипно-шатунним механізмом з об’ємом циліндрів 2000 куб. сантиметрів складає 50*2000/1000=100 євро. При цьому, відповідно до норм Податкового кодексу України (далі – Кодекс), що діяли до набрання чинності Законом, сума акцизного податку на такий автомобіль складала 0,267*2000=534 євро.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Таким чином, на сьогодні діють цілком сприятливі умови оподаткування акцизним податком при виробництві в Україні та ввезенні на митну територію України транспортних засобів. Також, на даний час розстрочення сплати податків застосовується тільки для суб’єктів господарювання, які здійснюють постійне обов’язкове звітування контролюючим органам, і тому такі операції не потребують додаткового адміністрування, разом з цим запровадження розстрочення сплати ПДВ та акцизного податку при ввезені транспортних засобів для фізичних осіб – учасників ООС призведе до ускладнення адміністрування податків.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Міністерство у справах ветеранів, тимчасово окупованих територій та внутрішньо переміщених осіб – поділяє важливість законодавчого врегулювання додаткового фінансового інструменту для розмитнення транспортних засобів окремими категоріями громадян, які захищали незалежність, суверенітет та територіальну цілісність України. Але реалізація законопроекту може призвести до впливу на показники бюджету в частині зменшення надходжень до загального фонду як державного так і місцевих бюджетів. Крім того, додаткового посилення соціального захисту потребують більш вразливі категорії громадян, як особи з інвалідністю внаслідок війни, члени сімей загиблих чи померлих учасників АТО.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до законопроекту (реєстр. №2342):</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lastRenderedPageBreak/>
        <w:t xml:space="preserve">МФУ –  не підтримує, оскільки за даними Державної казначейської служби України, за перше півріччя 2020 року надходження акцизного податку з транспортних засобів та кузовів до них до державного бюджету становили 4 млрд грн (3,9 млрд грн акцизного податку з транспортних засобів та 0,1 млрд грн акцизного податку з кузовів для моторних транспортних засобів).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Мінекономіки –  не підтримує,  оскільки положення проекту призведуть до недофінансування державного дорожнього фонду.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Оскільки всі законопроекти, що розглядаються за своєю суттю є альтернативними, адже містять положення, що регулюють однакове коло питань та повторюють за суттю положення щодо регулювання одних і тих же суспільних відносин, зокрема, створення правових передумов для розмитнення автомобілів на іноземній реєстрації, раніше ввезених на митну територію України, спрощення митних процедур їх оформлення та реєстрації в Україні, то  відповідно до частини першої статті 100 Регламенту Верховної Ради України, до них може бути застосована процедура, передбачена частиною другою статті 110 Регламенту, яка передбачає, що 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народними депутатами - членами цього комітету.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Пункти 1 і 2 частини першої статті 12 Закону України «Про комітети Верховної Ради України» визначають, що законопроектна функція комітетів, зокрема, полягає в розробці проектів законів та у попередньому розгляді та підготовці висновків і пропозицій щодо законопроектів, внесених суб'єктами законодавчої ініціативи на розгляд Верховної Ради. При цьому пункт 1 частини першої статті 15 названого Закону України надає Комітету право при здійсненні законопроектної функції, зокрема, розробляти з власної ініціативи проекти законів з питань, що віднесені до предметів відання, з наступним внесенням їх на розгляд Верховної Ради членами Комітету за його рішенням.</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Під час проведення засідання Комітету було заслухано інформацію заступника Голови Комітету Ковальчука О.В. про результати проведених засідань робочої групи та обговорено доопрацьований у Комітеті відповідно до частини другої статті 110 Регламенту Верховною Ради України на основі всіх законопроектів, які врегульовують таке ж коло питань, новий проект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Новим законопроектом пропонується доповнити підрозділи 2 та 5 розділу ХХ «Перехідні положення» Податкового кодексу України, положенням згідно з яким, передбачається тимчасово, протягом 180 днів з дня набрання чинності цього Закону для транспортних засобів ввезених на митну територію України в період до 31 грудня 2020 року, встановити, що: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lastRenderedPageBreak/>
        <w:t xml:space="preserve">- базою оподаткування податком на додану вартість для транспортних засобів (транспортних засобів, що класифікуються за товарними позиціями 8702 (автобуси), 8703 (легкові автомобілі), 8704 (вантажівки - загальною масою до 3,5 тони), 8711 (мотоцикли) згідно з УКТ ЗЕД, та причепів до них, що класифікуються за товарною позицією 8716 (причепи та напівпричепи ) згідно з УКТ ЗЕД,) буде сума акцизного податку, нарахованого відповідно до пункту 36 підрозділу 5 цього розділу;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сума акцизного податку визначається платником податку, на якого поширюється дія цього пункту, за ставкою розрахованою згідно з запропонованою формулою:</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Ставка = Ставка базова + Vе + Fе,</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де Ставка базова - ставка податку в євро за 1 штуку транспортного засобу, що визначається виходячи з кількості років, що минула з року виготовлення транспортного засобу, до року визначення ставки податку та становить:</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62"/>
        <w:gridCol w:w="2552"/>
      </w:tblGrid>
      <w:tr w:rsidR="00690A82" w:rsidRPr="00F1274C" w:rsidTr="00690A82">
        <w:trPr>
          <w:trHeight w:val="300"/>
        </w:trPr>
        <w:tc>
          <w:tcPr>
            <w:tcW w:w="666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Кількість років, що минула з року виготовлення транспортного засобу</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 xml:space="preserve">Ставка базова, євро </w:t>
            </w:r>
          </w:p>
        </w:tc>
      </w:tr>
      <w:tr w:rsidR="00690A82" w:rsidRPr="00F1274C" w:rsidTr="00690A82">
        <w:trPr>
          <w:trHeight w:val="300"/>
        </w:trPr>
        <w:tc>
          <w:tcPr>
            <w:tcW w:w="666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0-9</w:t>
            </w:r>
          </w:p>
        </w:tc>
        <w:tc>
          <w:tcPr>
            <w:tcW w:w="255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0</w:t>
            </w:r>
          </w:p>
        </w:tc>
      </w:tr>
      <w:tr w:rsidR="00690A82" w:rsidRPr="00F1274C" w:rsidTr="00690A82">
        <w:trPr>
          <w:trHeight w:val="300"/>
        </w:trPr>
        <w:tc>
          <w:tcPr>
            <w:tcW w:w="666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10</w:t>
            </w:r>
          </w:p>
        </w:tc>
        <w:tc>
          <w:tcPr>
            <w:tcW w:w="255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25</w:t>
            </w:r>
          </w:p>
        </w:tc>
      </w:tr>
      <w:tr w:rsidR="00690A82" w:rsidRPr="00F1274C" w:rsidTr="00690A82">
        <w:trPr>
          <w:trHeight w:val="300"/>
        </w:trPr>
        <w:tc>
          <w:tcPr>
            <w:tcW w:w="666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11</w:t>
            </w:r>
          </w:p>
        </w:tc>
        <w:tc>
          <w:tcPr>
            <w:tcW w:w="255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50</w:t>
            </w:r>
          </w:p>
        </w:tc>
      </w:tr>
      <w:tr w:rsidR="00690A82" w:rsidRPr="00F1274C" w:rsidTr="00690A82">
        <w:trPr>
          <w:trHeight w:val="300"/>
        </w:trPr>
        <w:tc>
          <w:tcPr>
            <w:tcW w:w="666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12</w:t>
            </w:r>
          </w:p>
        </w:tc>
        <w:tc>
          <w:tcPr>
            <w:tcW w:w="255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75</w:t>
            </w:r>
          </w:p>
        </w:tc>
      </w:tr>
      <w:tr w:rsidR="00690A82" w:rsidRPr="00F1274C" w:rsidTr="00690A82">
        <w:trPr>
          <w:trHeight w:val="300"/>
        </w:trPr>
        <w:tc>
          <w:tcPr>
            <w:tcW w:w="666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13</w:t>
            </w:r>
          </w:p>
        </w:tc>
        <w:tc>
          <w:tcPr>
            <w:tcW w:w="255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100</w:t>
            </w:r>
          </w:p>
        </w:tc>
      </w:tr>
      <w:tr w:rsidR="00690A82" w:rsidRPr="00F1274C" w:rsidTr="00690A82">
        <w:trPr>
          <w:trHeight w:val="300"/>
        </w:trPr>
        <w:tc>
          <w:tcPr>
            <w:tcW w:w="666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14</w:t>
            </w:r>
          </w:p>
        </w:tc>
        <w:tc>
          <w:tcPr>
            <w:tcW w:w="255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125</w:t>
            </w:r>
          </w:p>
        </w:tc>
      </w:tr>
      <w:tr w:rsidR="00690A82" w:rsidRPr="00F1274C" w:rsidTr="00690A82">
        <w:trPr>
          <w:trHeight w:val="300"/>
        </w:trPr>
        <w:tc>
          <w:tcPr>
            <w:tcW w:w="666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15 і більше</w:t>
            </w:r>
          </w:p>
        </w:tc>
        <w:tc>
          <w:tcPr>
            <w:tcW w:w="2552" w:type="dxa"/>
            <w:tcBorders>
              <w:top w:val="single" w:sz="4" w:space="0" w:color="000000"/>
              <w:left w:val="single" w:sz="4" w:space="0" w:color="000000"/>
              <w:bottom w:val="single" w:sz="4" w:space="0" w:color="000000"/>
              <w:right w:val="single" w:sz="4" w:space="0" w:color="000000"/>
            </w:tcBorders>
            <w:vAlign w:val="bottom"/>
            <w:hideMark/>
          </w:tcPr>
          <w:p w:rsidR="00690A82" w:rsidRPr="00F1274C" w:rsidRDefault="00690A82" w:rsidP="00DF16BB">
            <w:pPr>
              <w:jc w:val="center"/>
              <w:rPr>
                <w:rFonts w:ascii="Times New Roman" w:hAnsi="Times New Roman"/>
                <w:color w:val="000000" w:themeColor="text1"/>
                <w:sz w:val="28"/>
                <w:szCs w:val="28"/>
              </w:rPr>
            </w:pPr>
            <w:r w:rsidRPr="00F1274C">
              <w:rPr>
                <w:rFonts w:ascii="Times New Roman" w:hAnsi="Times New Roman"/>
                <w:color w:val="000000" w:themeColor="text1"/>
                <w:sz w:val="28"/>
                <w:szCs w:val="28"/>
              </w:rPr>
              <w:t>150</w:t>
            </w:r>
          </w:p>
        </w:tc>
      </w:tr>
    </w:tbl>
    <w:p w:rsidR="00AC44E7" w:rsidRDefault="00AC44E7" w:rsidP="00AC44E7">
      <w:pPr>
        <w:spacing w:before="120" w:after="0" w:line="240" w:lineRule="auto"/>
        <w:ind w:firstLine="708"/>
        <w:jc w:val="both"/>
        <w:rPr>
          <w:rFonts w:ascii="Times New Roman" w:hAnsi="Times New Roman"/>
          <w:sz w:val="28"/>
          <w:szCs w:val="28"/>
          <w:lang w:val="uk-UA" w:eastAsia="ru-RU"/>
        </w:rPr>
      </w:pPr>
    </w:p>
    <w:p w:rsidR="00690A82" w:rsidRPr="00AC44E7" w:rsidRDefault="00690A82"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Vе – ставка податку в євро за 1 штуку транспортного засобу, що визначається множенням об’єму циліндрів двигуна внутрішнього згоряння відповідного транспортного засобу в куб. сантиметрах на коефіцієнт, який становить:</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0,25 євро за 1 куб. см об'єму циліндрів двигуна - для транспортного засобу з об’єм двигуна внутрішнього згоряння до 2000 куб. сантиметрів (включно);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lastRenderedPageBreak/>
        <w:t>0,2 євро за 1 куб. см об'єму циліндрів двигуна - для транспортного засобу з об’єм двигуна внутрішнього згоряння від 2001 куб. сантиметрів до 3000 куб. сантиметрів (включно);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0,25 євро за 1 куб. см об'єму циліндрів двигуна - для транспортного засобу з об’єм двигуна внутрішнього згоряння від 3001 куб. сантиметрів до 4000 куб. сантиметрів (включно);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0,35 євро за 1 куб. см об'єму циліндрів двигуна - для транспортного засобу з об’єм двигуна внутрішнього згоряння від 4001 куб. сантиметрів до 5000 куб. сантиметрів (включно);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xml:space="preserve">0,5 євро за 1 куб. см об'єму циліндрів двигуна -  для транспортного засобу з об’єм двигуна внутрішнього згоряння понад 5000 куб. сантиметрів. </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Fе – ставка податку в євро за 1 штуку транспортного засобу, що становить:</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для транспортних засобів, оснащених двигуном внутрішнього згоряння з іскровим запалюванням та кривошипно-шатунним механізмом – 0,0 євро;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для транспортних засобів, оснащених двигуном внутрішнього згоряння із запалюванням від стиснення (дизелем або напівдизелем) – 100,0 євро;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для транспортних засобів, оснащених двигуном внутрішнього згоряння з іскровим запалюванням та кривошипно-шатунним механізмом або двигуном внутрішнього згоряння із запалюванням від стиснення (дизелем або напівдизелем) та електричним двигуном (одним чи кількома) - 0,0 євро.</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Дія цього пункту поширюється на транспортні засоби, що були у використанні і класифікуються за товарними позиціями 8702, 8703, 8704 (загальною масою до 3,5 тони), 8711 згідно з УКТ ЗЕД, та причепи до них, що класифікуються за товарною позицією 8716 згідно з УКТ ЗЕД, які ввезені фізичними особами на митну територію України в період до 31 грудня 2020 року і перебувають у митних режимах тимчасового ввезення або транзиту, у кількості не більше однієї одиниці на кожну товарну позицію.</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Дія цього пункту не поширюється на транспортні засоби, якщо вони не відповідають екологічним нормам "ЄВРО-2" і вище та/або мають походження з країни, визнаної державою-окупантом згідно із законом України та/або визнаної державою-агресором по відношенню до України згідно із законодавством, або ввозяться з території такої держави-окупанта (агресора) та/або з окупованої території України, визначеної такою згідно із законом України.</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Обговоривши положення підготовленого доопрацьованого проекту Закону, народні депутати – члени Комітету висловили підтримку запропонованій редакції законопроекту.</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Зважаючи на викладене, Комітет прийняв рішення:</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lastRenderedPageBreak/>
        <w:t>1.</w:t>
      </w:r>
      <w:r w:rsidRPr="00AC44E7">
        <w:rPr>
          <w:rFonts w:ascii="Times New Roman" w:hAnsi="Times New Roman"/>
          <w:sz w:val="28"/>
          <w:szCs w:val="28"/>
          <w:lang w:val="uk-UA" w:eastAsia="ru-RU"/>
        </w:rPr>
        <w:tab/>
        <w:t>Підтримати редакцію доопрацьованого у Комітеті проекту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 доручити народним депутатам України – членам Комітету, відповідно до частини другої статті 110 Регламенту Верховною Ради України, оформити та в установленому порядку зареєструвати цей проект та внести його на розгляд Верховної Ради України.</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2.</w:t>
      </w:r>
      <w:r w:rsidRPr="00AC44E7">
        <w:rPr>
          <w:rFonts w:ascii="Times New Roman" w:hAnsi="Times New Roman"/>
          <w:sz w:val="28"/>
          <w:szCs w:val="28"/>
          <w:lang w:val="uk-UA" w:eastAsia="ru-RU"/>
        </w:rPr>
        <w:tab/>
        <w:t>Рекомендувати Верховній Раді України:</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включити проект Закону 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 до Порядку денного четвертої сесії Верховної Ради України;</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 за наслідками розгляду в першому читанні прийняти за основу проект Закону 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r w:rsidRPr="00AC44E7">
        <w:rPr>
          <w:rFonts w:ascii="Times New Roman" w:hAnsi="Times New Roman"/>
          <w:sz w:val="28"/>
          <w:szCs w:val="28"/>
          <w:lang w:val="uk-UA" w:eastAsia="ru-RU"/>
        </w:rPr>
        <w:t>3.</w:t>
      </w:r>
      <w:r w:rsidRPr="00AC44E7">
        <w:rPr>
          <w:rFonts w:ascii="Times New Roman" w:hAnsi="Times New Roman"/>
          <w:sz w:val="28"/>
          <w:szCs w:val="28"/>
          <w:lang w:val="uk-UA" w:eastAsia="ru-RU"/>
        </w:rPr>
        <w:tab/>
        <w:t>Доповідати позицію Комітету щодо цього питання на пленарному засіданні сесії Верховної Ради України доручити Заступнику - Голови Комітету, народному депутату України Ковальчуку О.В.</w:t>
      </w:r>
    </w:p>
    <w:p w:rsidR="00AC44E7" w:rsidRPr="00AC44E7" w:rsidRDefault="00AC44E7" w:rsidP="00AC44E7">
      <w:pPr>
        <w:spacing w:before="120" w:after="0" w:line="240" w:lineRule="auto"/>
        <w:ind w:firstLine="708"/>
        <w:jc w:val="both"/>
        <w:rPr>
          <w:rFonts w:ascii="Times New Roman" w:hAnsi="Times New Roman"/>
          <w:sz w:val="28"/>
          <w:szCs w:val="28"/>
          <w:lang w:val="uk-UA" w:eastAsia="ru-RU"/>
        </w:rPr>
      </w:pPr>
    </w:p>
    <w:p w:rsidR="00573AFC" w:rsidRPr="00573AFC" w:rsidRDefault="00573AFC" w:rsidP="00573AFC">
      <w:pPr>
        <w:spacing w:before="120" w:after="0" w:line="240" w:lineRule="auto"/>
        <w:ind w:firstLine="708"/>
        <w:jc w:val="both"/>
        <w:rPr>
          <w:rFonts w:ascii="Times New Roman" w:hAnsi="Times New Roman"/>
          <w:sz w:val="28"/>
          <w:szCs w:val="28"/>
          <w:lang w:val="uk-UA" w:eastAsia="ru-RU"/>
        </w:rPr>
      </w:pPr>
      <w:r w:rsidRPr="00573AFC">
        <w:rPr>
          <w:rFonts w:ascii="Times New Roman" w:hAnsi="Times New Roman"/>
          <w:sz w:val="28"/>
          <w:szCs w:val="28"/>
          <w:lang w:val="uk-UA" w:eastAsia="ru-RU"/>
        </w:rPr>
        <w:t xml:space="preserve">Додатки:  </w:t>
      </w:r>
    </w:p>
    <w:p w:rsidR="00573AFC" w:rsidRPr="00573AFC" w:rsidRDefault="00573AFC" w:rsidP="00573AFC">
      <w:pPr>
        <w:spacing w:before="120" w:after="0" w:line="240" w:lineRule="auto"/>
        <w:ind w:firstLine="708"/>
        <w:jc w:val="both"/>
        <w:rPr>
          <w:rFonts w:ascii="Times New Roman" w:hAnsi="Times New Roman"/>
          <w:sz w:val="28"/>
          <w:szCs w:val="28"/>
          <w:lang w:val="uk-UA" w:eastAsia="ru-RU"/>
        </w:rPr>
      </w:pPr>
      <w:r w:rsidRPr="00573AFC">
        <w:rPr>
          <w:rFonts w:ascii="Times New Roman" w:hAnsi="Times New Roman"/>
          <w:sz w:val="28"/>
          <w:szCs w:val="28"/>
          <w:lang w:val="uk-UA" w:eastAsia="ru-RU"/>
        </w:rPr>
        <w:t xml:space="preserve">1. Проект Закону – на </w:t>
      </w:r>
      <w:r w:rsidR="00AC44E7" w:rsidRPr="007E1177">
        <w:rPr>
          <w:rFonts w:ascii="Times New Roman" w:hAnsi="Times New Roman"/>
          <w:sz w:val="28"/>
          <w:szCs w:val="28"/>
          <w:lang w:eastAsia="ru-RU"/>
        </w:rPr>
        <w:t>3</w:t>
      </w:r>
      <w:r w:rsidRPr="00573AFC">
        <w:rPr>
          <w:rFonts w:ascii="Times New Roman" w:hAnsi="Times New Roman"/>
          <w:sz w:val="28"/>
          <w:szCs w:val="28"/>
          <w:lang w:val="uk-UA" w:eastAsia="ru-RU"/>
        </w:rPr>
        <w:t xml:space="preserve"> арк.</w:t>
      </w:r>
    </w:p>
    <w:p w:rsidR="00573AFC" w:rsidRPr="00573AFC" w:rsidRDefault="00573AFC" w:rsidP="00573AFC">
      <w:pPr>
        <w:spacing w:before="120" w:after="0" w:line="240" w:lineRule="auto"/>
        <w:ind w:firstLine="708"/>
        <w:jc w:val="both"/>
        <w:rPr>
          <w:rFonts w:ascii="Times New Roman" w:hAnsi="Times New Roman"/>
          <w:sz w:val="28"/>
          <w:szCs w:val="28"/>
          <w:lang w:val="uk-UA" w:eastAsia="ru-RU"/>
        </w:rPr>
      </w:pPr>
      <w:r w:rsidRPr="00573AFC">
        <w:rPr>
          <w:rFonts w:ascii="Times New Roman" w:hAnsi="Times New Roman"/>
          <w:sz w:val="28"/>
          <w:szCs w:val="28"/>
          <w:lang w:val="uk-UA" w:eastAsia="ru-RU"/>
        </w:rPr>
        <w:t xml:space="preserve">2. Пояснювальна записка до Закону - на </w:t>
      </w:r>
      <w:r w:rsidR="00814487">
        <w:rPr>
          <w:rFonts w:ascii="Times New Roman" w:hAnsi="Times New Roman"/>
          <w:sz w:val="28"/>
          <w:szCs w:val="28"/>
          <w:lang w:val="uk-UA" w:eastAsia="ru-RU"/>
        </w:rPr>
        <w:t>4</w:t>
      </w:r>
      <w:r w:rsidRPr="00573AFC">
        <w:rPr>
          <w:rFonts w:ascii="Times New Roman" w:hAnsi="Times New Roman"/>
          <w:sz w:val="28"/>
          <w:szCs w:val="28"/>
          <w:lang w:val="uk-UA" w:eastAsia="ru-RU"/>
        </w:rPr>
        <w:t xml:space="preserve"> арк.</w:t>
      </w:r>
    </w:p>
    <w:p w:rsidR="00573AFC" w:rsidRPr="00573AFC" w:rsidRDefault="00814487" w:rsidP="00573AFC">
      <w:pPr>
        <w:spacing w:before="120" w:after="0" w:line="24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 xml:space="preserve">3. Порівняльна таблиця  на </w:t>
      </w:r>
      <w:r w:rsidR="007E1177" w:rsidRPr="00690A82">
        <w:rPr>
          <w:rFonts w:ascii="Times New Roman" w:hAnsi="Times New Roman"/>
          <w:sz w:val="28"/>
          <w:szCs w:val="28"/>
          <w:lang w:eastAsia="ru-RU"/>
        </w:rPr>
        <w:t>4</w:t>
      </w:r>
      <w:r w:rsidR="00573AFC" w:rsidRPr="00573AFC">
        <w:rPr>
          <w:rFonts w:ascii="Times New Roman" w:hAnsi="Times New Roman"/>
          <w:sz w:val="28"/>
          <w:szCs w:val="28"/>
          <w:lang w:val="uk-UA" w:eastAsia="ru-RU"/>
        </w:rPr>
        <w:t xml:space="preserve"> арк.</w:t>
      </w:r>
    </w:p>
    <w:p w:rsidR="00573AFC" w:rsidRPr="00573AFC" w:rsidRDefault="00814487" w:rsidP="00573AFC">
      <w:pPr>
        <w:spacing w:before="120" w:after="0" w:line="24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4. Проект Постанови на 1</w:t>
      </w:r>
      <w:r w:rsidR="00573AFC" w:rsidRPr="00573AFC">
        <w:rPr>
          <w:rFonts w:ascii="Times New Roman" w:hAnsi="Times New Roman"/>
          <w:sz w:val="28"/>
          <w:szCs w:val="28"/>
          <w:lang w:val="uk-UA" w:eastAsia="ru-RU"/>
        </w:rPr>
        <w:t xml:space="preserve"> арк.</w:t>
      </w:r>
    </w:p>
    <w:p w:rsidR="00573AFC" w:rsidRPr="00573AFC" w:rsidRDefault="00573AFC" w:rsidP="00573AFC">
      <w:pPr>
        <w:spacing w:before="120" w:after="0" w:line="240" w:lineRule="auto"/>
        <w:ind w:firstLine="708"/>
        <w:jc w:val="both"/>
        <w:rPr>
          <w:rFonts w:ascii="Times New Roman" w:hAnsi="Times New Roman"/>
          <w:sz w:val="28"/>
          <w:szCs w:val="28"/>
          <w:lang w:val="uk-UA" w:eastAsia="ru-RU"/>
        </w:rPr>
      </w:pPr>
      <w:r w:rsidRPr="00573AFC">
        <w:rPr>
          <w:rFonts w:ascii="Times New Roman" w:hAnsi="Times New Roman"/>
          <w:sz w:val="28"/>
          <w:szCs w:val="28"/>
          <w:lang w:val="uk-UA" w:eastAsia="ru-RU"/>
        </w:rPr>
        <w:t>5. Зазначені документи в електронній формі.</w:t>
      </w:r>
    </w:p>
    <w:p w:rsidR="00573AFC" w:rsidRPr="00573AFC" w:rsidRDefault="00573AFC" w:rsidP="00573AFC">
      <w:pPr>
        <w:spacing w:before="120" w:after="0" w:line="240" w:lineRule="auto"/>
        <w:ind w:firstLine="708"/>
        <w:jc w:val="both"/>
        <w:rPr>
          <w:rFonts w:ascii="Times New Roman" w:hAnsi="Times New Roman"/>
          <w:sz w:val="24"/>
          <w:szCs w:val="24"/>
          <w:lang w:val="uk-UA" w:eastAsia="ru-RU"/>
        </w:rPr>
      </w:pPr>
    </w:p>
    <w:p w:rsidR="00AC44E7" w:rsidRPr="00573AFC" w:rsidRDefault="007F27DC" w:rsidP="007F27DC">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t xml:space="preserve">Заступник </w:t>
      </w:r>
      <w:r w:rsidR="00AC44E7" w:rsidRPr="00AC44E7">
        <w:rPr>
          <w:rFonts w:ascii="Times New Roman" w:hAnsi="Times New Roman"/>
          <w:b/>
          <w:sz w:val="28"/>
          <w:szCs w:val="28"/>
          <w:lang w:val="uk-UA" w:eastAsia="ru-RU"/>
        </w:rPr>
        <w:t>Голов</w:t>
      </w:r>
      <w:r>
        <w:rPr>
          <w:rFonts w:ascii="Times New Roman" w:hAnsi="Times New Roman"/>
          <w:b/>
          <w:sz w:val="28"/>
          <w:szCs w:val="28"/>
          <w:lang w:val="uk-UA" w:eastAsia="ru-RU"/>
        </w:rPr>
        <w:t>и</w:t>
      </w:r>
      <w:r w:rsidR="00AC44E7" w:rsidRPr="00AC44E7">
        <w:rPr>
          <w:rFonts w:ascii="Times New Roman" w:hAnsi="Times New Roman"/>
          <w:b/>
          <w:sz w:val="28"/>
          <w:szCs w:val="28"/>
          <w:lang w:val="uk-UA" w:eastAsia="ru-RU"/>
        </w:rPr>
        <w:t xml:space="preserve"> Комітету                          </w:t>
      </w:r>
      <w:r>
        <w:rPr>
          <w:rFonts w:ascii="Times New Roman" w:hAnsi="Times New Roman"/>
          <w:b/>
          <w:sz w:val="28"/>
          <w:szCs w:val="28"/>
          <w:lang w:val="uk-UA" w:eastAsia="ru-RU"/>
        </w:rPr>
        <w:t xml:space="preserve">                                </w:t>
      </w:r>
      <w:r w:rsidR="00AC44E7" w:rsidRPr="00AC44E7">
        <w:rPr>
          <w:rFonts w:ascii="Times New Roman" w:hAnsi="Times New Roman"/>
          <w:b/>
          <w:sz w:val="28"/>
          <w:szCs w:val="28"/>
          <w:lang w:val="uk-UA" w:eastAsia="ru-RU"/>
        </w:rPr>
        <w:t xml:space="preserve"> </w:t>
      </w:r>
      <w:r w:rsidRPr="007F27DC">
        <w:rPr>
          <w:rFonts w:ascii="Times New Roman" w:hAnsi="Times New Roman"/>
          <w:b/>
          <w:sz w:val="28"/>
          <w:szCs w:val="28"/>
          <w:lang w:val="uk-UA" w:eastAsia="ru-RU"/>
        </w:rPr>
        <w:t>О.В.</w:t>
      </w:r>
      <w:r>
        <w:rPr>
          <w:rFonts w:ascii="Times New Roman" w:hAnsi="Times New Roman"/>
          <w:b/>
          <w:sz w:val="28"/>
          <w:szCs w:val="28"/>
          <w:lang w:val="uk-UA" w:eastAsia="ru-RU"/>
        </w:rPr>
        <w:t xml:space="preserve"> </w:t>
      </w:r>
      <w:r w:rsidRPr="007F27DC">
        <w:rPr>
          <w:rFonts w:ascii="Times New Roman" w:hAnsi="Times New Roman"/>
          <w:b/>
          <w:sz w:val="28"/>
          <w:szCs w:val="28"/>
          <w:lang w:val="uk-UA" w:eastAsia="ru-RU"/>
        </w:rPr>
        <w:t xml:space="preserve">Ковальчук </w:t>
      </w:r>
    </w:p>
    <w:p w:rsidR="00573AFC" w:rsidRDefault="00573AFC" w:rsidP="00573AFC">
      <w:pPr>
        <w:spacing w:after="0" w:line="240" w:lineRule="auto"/>
        <w:jc w:val="both"/>
        <w:rPr>
          <w:rFonts w:ascii="Times New Roman" w:hAnsi="Times New Roman"/>
          <w:sz w:val="28"/>
          <w:szCs w:val="28"/>
          <w:lang w:val="uk-UA" w:eastAsia="uk-UA"/>
        </w:rPr>
      </w:pPr>
    </w:p>
    <w:p w:rsidR="007F27DC" w:rsidRPr="00573AFC" w:rsidRDefault="007F27DC" w:rsidP="00573AFC">
      <w:pPr>
        <w:spacing w:after="0" w:line="240" w:lineRule="auto"/>
        <w:jc w:val="both"/>
        <w:rPr>
          <w:rFonts w:ascii="Times New Roman" w:hAnsi="Times New Roman"/>
          <w:sz w:val="28"/>
          <w:szCs w:val="28"/>
          <w:lang w:val="uk-UA" w:eastAsia="uk-UA"/>
        </w:rPr>
      </w:pPr>
    </w:p>
    <w:p w:rsidR="00690A82" w:rsidRDefault="00573AFC" w:rsidP="00B20CE7">
      <w:pPr>
        <w:spacing w:after="0" w:line="240" w:lineRule="auto"/>
        <w:jc w:val="both"/>
        <w:rPr>
          <w:rFonts w:ascii="Times New Roman" w:hAnsi="Times New Roman"/>
          <w:sz w:val="18"/>
          <w:szCs w:val="18"/>
          <w:lang w:val="uk-UA" w:eastAsia="uk-UA"/>
        </w:rPr>
      </w:pPr>
      <w:r w:rsidRPr="00573AFC">
        <w:rPr>
          <w:rFonts w:ascii="Times New Roman" w:hAnsi="Times New Roman"/>
          <w:sz w:val="18"/>
          <w:szCs w:val="18"/>
          <w:lang w:val="uk-UA" w:eastAsia="uk-UA"/>
        </w:rPr>
        <w:t>Ющенко В.П.</w:t>
      </w:r>
      <w:r w:rsidR="00690A82">
        <w:rPr>
          <w:rFonts w:ascii="Times New Roman" w:hAnsi="Times New Roman"/>
          <w:sz w:val="18"/>
          <w:szCs w:val="18"/>
          <w:lang w:val="uk-UA" w:eastAsia="uk-UA"/>
        </w:rPr>
        <w:t xml:space="preserve"> </w:t>
      </w:r>
    </w:p>
    <w:p w:rsidR="00A7635E" w:rsidRPr="00690A82" w:rsidRDefault="00573AFC" w:rsidP="00B20CE7">
      <w:pPr>
        <w:spacing w:after="0" w:line="240" w:lineRule="auto"/>
        <w:jc w:val="both"/>
        <w:rPr>
          <w:rFonts w:ascii="Times New Roman" w:hAnsi="Times New Roman"/>
          <w:sz w:val="18"/>
          <w:szCs w:val="18"/>
          <w:lang w:val="uk-UA" w:eastAsia="uk-UA"/>
        </w:rPr>
      </w:pPr>
      <w:r w:rsidRPr="00573AFC">
        <w:rPr>
          <w:rFonts w:ascii="Times New Roman" w:hAnsi="Times New Roman"/>
          <w:sz w:val="18"/>
          <w:szCs w:val="18"/>
          <w:lang w:val="uk-UA" w:eastAsia="uk-UA"/>
        </w:rPr>
        <w:t>255-2459</w:t>
      </w:r>
    </w:p>
    <w:sectPr w:rsidR="00A7635E" w:rsidRPr="00690A82" w:rsidSect="00340E70">
      <w:headerReference w:type="default" r:id="rId10"/>
      <w:headerReference w:type="first" r:id="rId11"/>
      <w:footerReference w:type="first" r:id="rId12"/>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756B" w:rsidRDefault="00C7756B" w:rsidP="005E306B">
      <w:pPr>
        <w:spacing w:after="0" w:line="240" w:lineRule="auto"/>
      </w:pPr>
      <w:r>
        <w:separator/>
      </w:r>
    </w:p>
  </w:endnote>
  <w:endnote w:type="continuationSeparator" w:id="0">
    <w:p w:rsidR="00C7756B" w:rsidRDefault="00C7756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C7756B">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756B" w:rsidRDefault="00C7756B" w:rsidP="005E306B">
      <w:pPr>
        <w:spacing w:after="0" w:line="240" w:lineRule="auto"/>
      </w:pPr>
      <w:r>
        <w:separator/>
      </w:r>
    </w:p>
  </w:footnote>
  <w:footnote w:type="continuationSeparator" w:id="0">
    <w:p w:rsidR="00C7756B" w:rsidRDefault="00C7756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40E70" w:rsidRPr="00053776" w:rsidTr="003E0669">
      <w:tc>
        <w:tcPr>
          <w:tcW w:w="1087"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14"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1086"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A071C"/>
    <w:rsid w:val="000F1586"/>
    <w:rsid w:val="000F445D"/>
    <w:rsid w:val="00141617"/>
    <w:rsid w:val="0019108F"/>
    <w:rsid w:val="001966F0"/>
    <w:rsid w:val="001D3C24"/>
    <w:rsid w:val="0021032F"/>
    <w:rsid w:val="00235CD7"/>
    <w:rsid w:val="002A5D4C"/>
    <w:rsid w:val="002B4E4E"/>
    <w:rsid w:val="002B5FC1"/>
    <w:rsid w:val="002D0561"/>
    <w:rsid w:val="002E0A18"/>
    <w:rsid w:val="002E31BF"/>
    <w:rsid w:val="002E44DA"/>
    <w:rsid w:val="00340E70"/>
    <w:rsid w:val="003A554E"/>
    <w:rsid w:val="003C210F"/>
    <w:rsid w:val="003D1CBA"/>
    <w:rsid w:val="00434B81"/>
    <w:rsid w:val="00451750"/>
    <w:rsid w:val="004852FA"/>
    <w:rsid w:val="004867A1"/>
    <w:rsid w:val="004E4F5C"/>
    <w:rsid w:val="004F7B8A"/>
    <w:rsid w:val="0050620F"/>
    <w:rsid w:val="0055005A"/>
    <w:rsid w:val="0056039F"/>
    <w:rsid w:val="0056352F"/>
    <w:rsid w:val="00573AFC"/>
    <w:rsid w:val="005A2970"/>
    <w:rsid w:val="005A4728"/>
    <w:rsid w:val="005B71F5"/>
    <w:rsid w:val="005E306B"/>
    <w:rsid w:val="005F20B5"/>
    <w:rsid w:val="00626A3E"/>
    <w:rsid w:val="006312B2"/>
    <w:rsid w:val="00660B13"/>
    <w:rsid w:val="0066623D"/>
    <w:rsid w:val="00690A82"/>
    <w:rsid w:val="006A4344"/>
    <w:rsid w:val="006F10E8"/>
    <w:rsid w:val="00713E93"/>
    <w:rsid w:val="00720DBD"/>
    <w:rsid w:val="0073224C"/>
    <w:rsid w:val="007E1177"/>
    <w:rsid w:val="007F27DC"/>
    <w:rsid w:val="007F5D91"/>
    <w:rsid w:val="0080545D"/>
    <w:rsid w:val="00814487"/>
    <w:rsid w:val="00945B68"/>
    <w:rsid w:val="00957D31"/>
    <w:rsid w:val="009A720A"/>
    <w:rsid w:val="00A00059"/>
    <w:rsid w:val="00A345D7"/>
    <w:rsid w:val="00A60747"/>
    <w:rsid w:val="00A7635E"/>
    <w:rsid w:val="00A833C8"/>
    <w:rsid w:val="00AB2825"/>
    <w:rsid w:val="00AC44E7"/>
    <w:rsid w:val="00AD7F82"/>
    <w:rsid w:val="00B20CE7"/>
    <w:rsid w:val="00B311E8"/>
    <w:rsid w:val="00BD0801"/>
    <w:rsid w:val="00BD17D3"/>
    <w:rsid w:val="00BF1E95"/>
    <w:rsid w:val="00C11FB6"/>
    <w:rsid w:val="00C27AE9"/>
    <w:rsid w:val="00C7756B"/>
    <w:rsid w:val="00C86266"/>
    <w:rsid w:val="00CA1E82"/>
    <w:rsid w:val="00CA7044"/>
    <w:rsid w:val="00CC39A1"/>
    <w:rsid w:val="00CD1020"/>
    <w:rsid w:val="00CD4A38"/>
    <w:rsid w:val="00CE3E1B"/>
    <w:rsid w:val="00CE6A4B"/>
    <w:rsid w:val="00D242C2"/>
    <w:rsid w:val="00D37FA2"/>
    <w:rsid w:val="00D52549"/>
    <w:rsid w:val="00D57E1B"/>
    <w:rsid w:val="00DF0115"/>
    <w:rsid w:val="00EA090B"/>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A6271-D926-4423-860C-45A4B6F3E1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3E01FB-490D-45AB-84B5-8865A3806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FB02CD-5623-4DDC-BB62-06B037F2B32D}">
  <ds:schemaRefs>
    <ds:schemaRef ds:uri="http://schemas.microsoft.com/sharepoint/v3/contenttype/forms"/>
  </ds:schemaRefs>
</ds:datastoreItem>
</file>

<file path=customXml/itemProps4.xml><?xml version="1.0" encoding="utf-8"?>
<ds:datastoreItem xmlns:ds="http://schemas.openxmlformats.org/officeDocument/2006/customXml" ds:itemID="{52BAF956-C2C6-41C5-9303-BCAA474BD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16135</Words>
  <Characters>9198</Characters>
  <Application>Microsoft Office Word</Application>
  <DocSecurity>0</DocSecurity>
  <Lines>76</Lines>
  <Paragraphs>50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2021-01-26T13:07:00Z</dcterms:created>
  <dcterms:modified xsi:type="dcterms:W3CDTF">2021-01-26T13:07:00Z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