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4253" w:type="dxa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9E0E79" w14:paraId="74D63549" w14:textId="77777777" w:rsidTr="00CA0AEE">
        <w:tc>
          <w:tcPr>
            <w:tcW w:w="4253" w:type="dxa"/>
          </w:tcPr>
          <w:p w14:paraId="79663D2B" w14:textId="77777777" w:rsidR="009E0E79" w:rsidRDefault="009E0E79" w:rsidP="00CA0AEE">
            <w:pPr>
              <w:spacing w:after="0" w:line="240" w:lineRule="auto"/>
              <w:jc w:val="right"/>
              <w:textAlignment w:val="baseline"/>
              <w:rPr>
                <w:rFonts w:ascii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ПРОЕКТ</w:t>
            </w:r>
          </w:p>
          <w:p w14:paraId="7321DADD" w14:textId="728C6948" w:rsidR="009E0E79" w:rsidRDefault="009E0E79" w:rsidP="00CA0AEE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9413D">
              <w:rPr>
                <w:rFonts w:ascii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вноситься </w:t>
            </w:r>
            <w:r w:rsidRPr="009E0E79">
              <w:rPr>
                <w:rFonts w:ascii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народним депутат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ом</w:t>
            </w:r>
            <w:r w:rsidRPr="009E0E79">
              <w:rPr>
                <w:rFonts w:ascii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України Радуцьким М.Б. та іншими народними депутатами України</w:t>
            </w:r>
          </w:p>
        </w:tc>
      </w:tr>
    </w:tbl>
    <w:p w14:paraId="77F4C009" w14:textId="77777777" w:rsidR="00B86F3D" w:rsidRDefault="00B86F3D" w:rsidP="00B86F3D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14:paraId="03780266" w14:textId="77777777" w:rsidR="003D506C" w:rsidRDefault="003D506C" w:rsidP="00B86F3D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14:paraId="2E00B08A" w14:textId="77777777" w:rsidR="00786548" w:rsidRDefault="00786548" w:rsidP="00B86F3D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14:paraId="6B815B6C" w14:textId="77777777" w:rsidR="003D506C" w:rsidRPr="00392B2B" w:rsidRDefault="003D506C" w:rsidP="00B86F3D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14:paraId="5C9D2E67" w14:textId="77777777" w:rsidR="00B86F3D" w:rsidRPr="00392B2B" w:rsidRDefault="00B86F3D" w:rsidP="00CA0AEE">
      <w:pPr>
        <w:spacing w:after="120" w:line="240" w:lineRule="auto"/>
        <w:jc w:val="center"/>
        <w:textAlignment w:val="baseline"/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392B2B"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>ЗАКОН УКРАЇНИ</w:t>
      </w:r>
    </w:p>
    <w:p w14:paraId="7FAB9F5F" w14:textId="6CA697F0" w:rsidR="003D506C" w:rsidRPr="00C520BE" w:rsidRDefault="003D506C" w:rsidP="00B971D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335F3">
        <w:rPr>
          <w:rFonts w:ascii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про внесення змін</w:t>
      </w:r>
      <w:r w:rsidR="0078265A" w:rsidRPr="00BF6225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и</w:t>
      </w:r>
      <w:r w:rsidRPr="001335F3">
        <w:rPr>
          <w:rFonts w:ascii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до</w:t>
      </w:r>
      <w:r w:rsidR="002F4762">
        <w:rPr>
          <w:rFonts w:ascii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B971D2" w:rsidRPr="00B971D2">
        <w:rPr>
          <w:rFonts w:ascii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розділу X </w:t>
      </w:r>
      <w:r w:rsidR="00B971D2" w:rsidRPr="00933105">
        <w:rPr>
          <w:rFonts w:ascii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="00B971D2" w:rsidRPr="00B971D2">
        <w:rPr>
          <w:rFonts w:ascii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Прикінцеві та перехідні положення</w:t>
      </w:r>
      <w:r w:rsidR="00B971D2" w:rsidRPr="00933105">
        <w:rPr>
          <w:rFonts w:ascii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="002F4762">
        <w:rPr>
          <w:rFonts w:ascii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335F3">
        <w:rPr>
          <w:rFonts w:ascii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Закону </w:t>
      </w:r>
      <w:r w:rsidRPr="00CF3FFA">
        <w:rPr>
          <w:rFonts w:ascii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України «Про публічні закупівлі» щодо забезпечення </w:t>
      </w:r>
      <w:r w:rsidRPr="00CF3FF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можливості закупівель лікарських засобів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за договорами керованого доступу</w:t>
      </w:r>
      <w:r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60DEC14" w14:textId="77777777" w:rsidR="00B86F3D" w:rsidRPr="00392B2B" w:rsidRDefault="00B86F3D" w:rsidP="00786548">
      <w:pPr>
        <w:spacing w:after="0" w:line="240" w:lineRule="auto"/>
        <w:jc w:val="center"/>
        <w:textAlignment w:val="baseline"/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14:paraId="0F26C31D" w14:textId="5EB01725" w:rsidR="00B86F3D" w:rsidRDefault="00B86F3D" w:rsidP="00172E7C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392B2B"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>Верховна Рада України п о с т а н о в л я є:</w:t>
      </w:r>
    </w:p>
    <w:p w14:paraId="2474C634" w14:textId="2EE4719D" w:rsidR="006951EF" w:rsidRDefault="006951EF" w:rsidP="00172E7C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14:paraId="122F9292" w14:textId="01079E5E" w:rsidR="00B971D2" w:rsidRPr="00B971D2" w:rsidRDefault="000D332D" w:rsidP="00503B91">
      <w:pPr>
        <w:spacing w:after="12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277ACE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</w:t>
      </w:r>
      <w:r w:rsidR="00B86F3D" w:rsidRPr="00BF6225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</w:t>
      </w:r>
      <w:r w:rsidR="00273107" w:rsidRPr="00BF6225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</w:t>
      </w:r>
      <w:r w:rsidR="00B971D2" w:rsidRPr="00B971D2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озділ X </w:t>
      </w:r>
      <w:r w:rsidR="00B971D2" w:rsidRPr="00BF6225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="00B971D2" w:rsidRPr="00B971D2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Прикінцеві та перехідні положення</w:t>
      </w:r>
      <w:r w:rsidR="00B971D2" w:rsidRPr="00BF6225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="00B971D2" w:rsidRPr="00B971D2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Закону України </w:t>
      </w:r>
      <w:r w:rsidR="00C10DD1" w:rsidRPr="00BF6225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="00B971D2" w:rsidRPr="00B971D2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Про публічні закупівлі</w:t>
      </w:r>
      <w:r w:rsidR="00C10DD1" w:rsidRPr="00BF6225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="00B971D2" w:rsidRPr="00B971D2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273107" w:rsidRPr="0027310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(Відомості Верховної Ради України, 2016 р., № 19, ст. 89 із наступними змінами)</w:t>
      </w:r>
      <w:r w:rsidR="00273107" w:rsidRPr="00BF6225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B971D2" w:rsidRPr="00B971D2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доповнити пунктом 3</w:t>
      </w:r>
      <w:r w:rsidR="00C10DD1" w:rsidRPr="00BF6225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="00B971D2" w:rsidRPr="00B971D2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такого змісту:</w:t>
      </w:r>
    </w:p>
    <w:p w14:paraId="1A86B146" w14:textId="2D8ECC80" w:rsidR="00C10DD1" w:rsidRDefault="00C10DD1" w:rsidP="00C10DD1">
      <w:pPr>
        <w:spacing w:after="12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BF6225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="00B971D2" w:rsidRPr="00B971D2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3</w:t>
      </w:r>
      <w:r w:rsidRPr="00BF6225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="00B971D2" w:rsidRPr="00B971D2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Установити, що </w:t>
      </w:r>
      <w:r w:rsidR="00D9065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до 31 </w:t>
      </w:r>
      <w:r w:rsidR="0058388E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грудня </w:t>
      </w:r>
      <w:r w:rsidR="00D9065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202</w:t>
      </w:r>
      <w:r w:rsidR="00703CE6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3</w:t>
      </w:r>
      <w:r w:rsidR="00D9065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року </w:t>
      </w:r>
      <w:r w:rsidR="00B971D2" w:rsidRPr="00B971D2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дія цього Закону не поширюється на випадки, якщо предметом закупівлі є </w:t>
      </w:r>
      <w:r w:rsidRPr="00C10DD1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оригінальні (інноваційні) лікарські засоби, що підлягають закупівлі за договорами керованого доступу, які укладаються відповідно до закону центральним органом виконавчої влади, що забезпечує формування та реалізує державну політику у сфері охорони здоров’я, або за його дорученням особою, уповноваженою на здійснення закупівель у сфері охорони здоров’я, з власником реєстраційного посвідчення на оригінальний (інноваційний) лікарський засіб або уповноваженим ним представником.</w:t>
      </w:r>
    </w:p>
    <w:p w14:paraId="6E9E70E1" w14:textId="22899506" w:rsidR="00DB5F06" w:rsidRPr="00C10DD1" w:rsidRDefault="004D5A9F" w:rsidP="00DB5F06">
      <w:pPr>
        <w:spacing w:after="12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4D5A9F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Інформація про міжнародну непатентовану назву (за наявності), торговельну назву, форму випуску та дозування лікарського засобу, щодо якого укладено договір керованого доступу, а також про заявника, уповноваженого представника заявника (за наявності), строк дії договору керованого доступу оприлюднюється в електронній системі закупівель</w:t>
      </w:r>
      <w:r w:rsidRPr="00E710EF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val="ru-RU" w:eastAsia="ru-RU"/>
        </w:rPr>
        <w:t xml:space="preserve"> </w:t>
      </w:r>
      <w:r w:rsidRPr="004D5A9F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протягом трьох робочих днів з дня укладення відповідного договору керованого доступу.</w:t>
      </w:r>
      <w:r w:rsidR="00DB5F06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Щорічний звіт за результатами моніторингу договору керованого доступу оприлюднюється </w:t>
      </w:r>
      <w:r w:rsidR="00DB5F06" w:rsidRPr="00DB5F06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в електронній системі закупівель </w:t>
      </w:r>
      <w:r w:rsidR="00DB5F06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протягом трьох робочих днів з дня проведення моніторингу</w:t>
      </w:r>
      <w:r w:rsidR="00E1681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14:paraId="271F3D2D" w14:textId="3C4B8194" w:rsidR="00C10DD1" w:rsidRDefault="00C10DD1" w:rsidP="00C10DD1">
      <w:pPr>
        <w:spacing w:after="12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C10DD1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Значення терміну «оригінальні (інноваційні) лікарські засоби» визначається законодавством.».</w:t>
      </w:r>
    </w:p>
    <w:p w14:paraId="1BFCE36F" w14:textId="77777777" w:rsidR="00067951" w:rsidRPr="00067951" w:rsidRDefault="00067951" w:rsidP="00067951">
      <w:pPr>
        <w:spacing w:after="12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067951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II. Прикінцеві положення</w:t>
      </w:r>
    </w:p>
    <w:p w14:paraId="65361384" w14:textId="740788DD" w:rsidR="00B86F3D" w:rsidRDefault="00067951" w:rsidP="00172E7C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val="ru-RU" w:eastAsia="ru-RU"/>
        </w:rPr>
        <w:t>1</w:t>
      </w:r>
      <w:r w:rsidR="00B86F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</w:t>
      </w:r>
      <w:r w:rsidR="00B86F3D" w:rsidRPr="00392B2B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Цей Закон набирає чинності з дня, наступного за днем його опублікування.</w:t>
      </w:r>
    </w:p>
    <w:p w14:paraId="0AF6090E" w14:textId="0406B0AD" w:rsidR="007D271E" w:rsidRDefault="007D271E" w:rsidP="00CA0AEE">
      <w:pPr>
        <w:spacing w:after="12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val="ru-RU" w:eastAsia="ru-RU"/>
        </w:rPr>
        <w:lastRenderedPageBreak/>
        <w:t>2.</w:t>
      </w:r>
      <w:r w:rsidRPr="007D271E">
        <w:t xml:space="preserve"> </w:t>
      </w:r>
      <w:bookmarkStart w:id="1" w:name="_Hlk57379402"/>
      <w:r w:rsidRPr="00C520BE">
        <w:rPr>
          <w:rFonts w:ascii="Times New Roman" w:hAnsi="Times New Roman"/>
          <w:sz w:val="28"/>
          <w:szCs w:val="28"/>
        </w:rPr>
        <w:t>Внести зм</w:t>
      </w:r>
      <w:r w:rsidRPr="00C24475">
        <w:rPr>
          <w:rFonts w:ascii="Times New Roman" w:hAnsi="Times New Roman"/>
          <w:sz w:val="28"/>
          <w:szCs w:val="28"/>
        </w:rPr>
        <w:t>іни до</w:t>
      </w:r>
      <w:r w:rsidRPr="00C520BE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Основ</w:t>
      </w:r>
      <w:r w:rsidR="00B42EB6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520BE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законодавства України про охорону здоров’я (Відомості Верховної Ради України, 1993 р., № 4, ст. 19 із наступними змінами):</w:t>
      </w:r>
    </w:p>
    <w:p w14:paraId="3BDFE40D" w14:textId="62AC4C8B" w:rsidR="00273107" w:rsidRPr="00BF6225" w:rsidRDefault="00273107" w:rsidP="00CA0AEE">
      <w:pPr>
        <w:spacing w:after="12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val="ru-RU"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val="ru-RU" w:eastAsia="ru-RU"/>
        </w:rPr>
        <w:t xml:space="preserve">1) у </w:t>
      </w:r>
      <w:r w:rsidRPr="0027310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статті 79</w:t>
      </w:r>
      <w:r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vertAlign w:val="superscript"/>
          <w:lang w:val="ru-RU" w:eastAsia="ru-RU"/>
        </w:rPr>
        <w:t>1</w:t>
      </w:r>
      <w:r w:rsidRPr="0027310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розділу ХІ</w:t>
      </w:r>
      <w:r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val="ru-RU" w:eastAsia="ru-RU"/>
        </w:rPr>
        <w:t>:</w:t>
      </w:r>
    </w:p>
    <w:p w14:paraId="72A91E8B" w14:textId="0FB49679" w:rsidR="007B4F64" w:rsidRDefault="007B4F64" w:rsidP="00CA0AEE">
      <w:pPr>
        <w:spacing w:after="12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C520BE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частину першу </w:t>
      </w:r>
      <w:r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викласти в такій редакції:</w:t>
      </w:r>
    </w:p>
    <w:p w14:paraId="6A0B6675" w14:textId="45D6555C" w:rsidR="00C520BE" w:rsidRPr="00C520BE" w:rsidRDefault="007B4F64" w:rsidP="00CA0AEE">
      <w:pPr>
        <w:spacing w:after="12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shd w:val="clear" w:color="auto" w:fill="FFFFFF"/>
        </w:rPr>
      </w:pPr>
      <w:r w:rsidRPr="00C520BE">
        <w:rPr>
          <w:rFonts w:ascii="Times New Roman" w:hAnsi="Times New Roman"/>
          <w:sz w:val="28"/>
          <w:szCs w:val="28"/>
          <w:shd w:val="clear" w:color="auto" w:fill="FFFFFF"/>
        </w:rPr>
        <w:t xml:space="preserve">«Центральний орган виконавчої влади, що забезпечує формування та реалізує державну політику у сфері охорони здоров’я, за власною ініціативою або за його дорученням особа, уповноважена на здійснення закупівель у сфері охорони здоров’я, та/або за ініціативою власника реєстраційного посвідчення на оригінальний (інноваційний) лікарський засіб/або уповноваженого ним представника (далі - заявник) має право укладати договори керованого доступу із заявником з метою забезпечення доступності таких лікарських засобів для пацієнтів </w:t>
      </w:r>
      <w:r w:rsidR="009D3070" w:rsidRPr="009D3070">
        <w:rPr>
          <w:rFonts w:ascii="Times New Roman" w:hAnsi="Times New Roman"/>
          <w:sz w:val="28"/>
          <w:szCs w:val="28"/>
          <w:shd w:val="clear" w:color="auto" w:fill="FFFFFF"/>
        </w:rPr>
        <w:t xml:space="preserve">за </w:t>
      </w:r>
      <w:r w:rsidR="009D3070">
        <w:rPr>
          <w:rFonts w:ascii="Times New Roman" w:hAnsi="Times New Roman"/>
          <w:sz w:val="28"/>
          <w:szCs w:val="28"/>
          <w:shd w:val="clear" w:color="auto" w:fill="FFFFFF"/>
        </w:rPr>
        <w:t xml:space="preserve">бюджетні кошти </w:t>
      </w:r>
      <w:r w:rsidRPr="00C520BE">
        <w:rPr>
          <w:rFonts w:ascii="Times New Roman" w:hAnsi="Times New Roman"/>
          <w:sz w:val="28"/>
          <w:szCs w:val="28"/>
          <w:shd w:val="clear" w:color="auto" w:fill="FFFFFF"/>
        </w:rPr>
        <w:t>(далі - договір керованого доступу).</w:t>
      </w:r>
      <w:r w:rsidR="00E5580A" w:rsidRPr="00FF509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26EC2" w:rsidRPr="00626EC2">
        <w:rPr>
          <w:rFonts w:ascii="Times New Roman" w:hAnsi="Times New Roman"/>
          <w:sz w:val="28"/>
          <w:szCs w:val="28"/>
          <w:shd w:val="clear" w:color="auto" w:fill="FFFFFF"/>
        </w:rPr>
        <w:t>Перелік лікарських засобів, що закуповуються за договорами керованого доступу, затверджується Кабінетом Міністрів України за погодженням з Комітетом Верховної Ради України з питань здоров’я нації, медичної допомоги та медичного страхування.</w:t>
      </w:r>
      <w:r w:rsidR="00626E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520BE" w:rsidRPr="00C520BE">
        <w:rPr>
          <w:rFonts w:ascii="Times New Roman" w:hAnsi="Times New Roman"/>
          <w:sz w:val="28"/>
          <w:szCs w:val="28"/>
          <w:shd w:val="clear" w:color="auto" w:fill="FFFFFF"/>
        </w:rPr>
        <w:t>Для визначення доцільності укладення договору керованого доступу проводиться державна оцінка медичних технологій щодо лікарського засобу, що може постачатися відповідно до такого договору.»</w:t>
      </w:r>
      <w:r w:rsidR="00E5580A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14:paraId="0D956B73" w14:textId="18A21014" w:rsidR="00F97775" w:rsidRPr="006951EF" w:rsidRDefault="00F97775" w:rsidP="00CA0AEE">
      <w:pPr>
        <w:spacing w:after="12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shd w:val="clear" w:color="auto" w:fill="FFFFFF"/>
        </w:rPr>
      </w:pPr>
      <w:r w:rsidRPr="006951EF">
        <w:rPr>
          <w:rFonts w:ascii="Times New Roman" w:hAnsi="Times New Roman"/>
          <w:sz w:val="28"/>
          <w:szCs w:val="28"/>
          <w:shd w:val="clear" w:color="auto" w:fill="FFFFFF"/>
        </w:rPr>
        <w:t>друге речення</w:t>
      </w:r>
      <w:r w:rsidR="002341E5" w:rsidRPr="006951EF">
        <w:rPr>
          <w:rFonts w:ascii="Times New Roman" w:hAnsi="Times New Roman"/>
          <w:sz w:val="28"/>
          <w:szCs w:val="28"/>
          <w:shd w:val="clear" w:color="auto" w:fill="FFFFFF"/>
        </w:rPr>
        <w:t xml:space="preserve"> частини </w:t>
      </w:r>
      <w:r w:rsidR="00E5580A" w:rsidRPr="006951EF">
        <w:rPr>
          <w:rFonts w:ascii="Times New Roman" w:hAnsi="Times New Roman"/>
          <w:sz w:val="28"/>
          <w:szCs w:val="28"/>
          <w:shd w:val="clear" w:color="auto" w:fill="FFFFFF"/>
        </w:rPr>
        <w:t xml:space="preserve">четвертої </w:t>
      </w:r>
      <w:r w:rsidRPr="006951EF">
        <w:rPr>
          <w:rFonts w:ascii="Times New Roman" w:hAnsi="Times New Roman"/>
          <w:sz w:val="28"/>
          <w:szCs w:val="28"/>
          <w:shd w:val="clear" w:color="auto" w:fill="FFFFFF"/>
        </w:rPr>
        <w:t>викласти в такій редакції:</w:t>
      </w:r>
    </w:p>
    <w:p w14:paraId="265966E0" w14:textId="1C7D2B64" w:rsidR="00F97775" w:rsidRDefault="00F97775" w:rsidP="00CA0AEE">
      <w:pPr>
        <w:spacing w:after="120" w:line="240" w:lineRule="auto"/>
        <w:ind w:firstLine="709"/>
        <w:jc w:val="both"/>
        <w:textAlignment w:val="baseline"/>
        <w:rPr>
          <w:rFonts w:ascii="Times New Roman" w:hAnsi="Times New Roman"/>
          <w:iCs/>
          <w:sz w:val="28"/>
          <w:szCs w:val="28"/>
          <w:shd w:val="clear" w:color="auto" w:fill="FFFFFF"/>
        </w:rPr>
      </w:pPr>
      <w:r w:rsidRPr="006951EF">
        <w:rPr>
          <w:rFonts w:ascii="Times New Roman" w:hAnsi="Times New Roman"/>
          <w:iCs/>
          <w:sz w:val="28"/>
          <w:szCs w:val="28"/>
          <w:shd w:val="clear" w:color="auto" w:fill="FFFFFF"/>
        </w:rPr>
        <w:t>«</w:t>
      </w:r>
      <w:r w:rsidR="008C71C6" w:rsidRPr="006951EF">
        <w:rPr>
          <w:rFonts w:ascii="Times New Roman" w:hAnsi="Times New Roman"/>
          <w:iCs/>
          <w:sz w:val="28"/>
          <w:szCs w:val="28"/>
          <w:shd w:val="clear" w:color="auto" w:fill="FFFFFF"/>
        </w:rPr>
        <w:t>У разі державної реєстрації в Україні генеричного лікарського</w:t>
      </w:r>
      <w:r w:rsidR="008C71C6" w:rsidRPr="008C71C6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 засобу із </w:t>
      </w:r>
      <w:r w:rsidR="008C71C6" w:rsidRPr="001F0A92">
        <w:rPr>
          <w:rFonts w:ascii="Times New Roman" w:hAnsi="Times New Roman"/>
          <w:iCs/>
          <w:sz w:val="28"/>
          <w:szCs w:val="28"/>
          <w:shd w:val="clear" w:color="auto" w:fill="FFFFFF"/>
        </w:rPr>
        <w:t>такою самою міжнародною непатентованою назвою</w:t>
      </w:r>
      <w:r w:rsidR="00857882" w:rsidRPr="001F0A92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 (</w:t>
      </w:r>
      <w:r w:rsidR="00532F72" w:rsidRPr="001F0A92">
        <w:rPr>
          <w:rFonts w:ascii="Times New Roman" w:hAnsi="Times New Roman"/>
          <w:iCs/>
          <w:sz w:val="28"/>
          <w:szCs w:val="28"/>
          <w:shd w:val="clear" w:color="auto" w:fill="FFFFFF"/>
        </w:rPr>
        <w:t>за</w:t>
      </w:r>
      <w:r w:rsidR="00857882" w:rsidRPr="001F0A92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 наявності</w:t>
      </w:r>
      <w:r w:rsidR="00E05B4E" w:rsidRPr="001F0A92">
        <w:rPr>
          <w:rFonts w:ascii="Times New Roman" w:hAnsi="Times New Roman"/>
          <w:iCs/>
          <w:sz w:val="28"/>
          <w:szCs w:val="28"/>
          <w:shd w:val="clear" w:color="auto" w:fill="FFFFFF"/>
        </w:rPr>
        <w:t>)</w:t>
      </w:r>
      <w:r w:rsidR="00E16818" w:rsidRPr="001F0A92">
        <w:t xml:space="preserve"> </w:t>
      </w:r>
      <w:r w:rsidR="00E16818" w:rsidRPr="001F0A92">
        <w:rPr>
          <w:rFonts w:ascii="Times New Roman" w:hAnsi="Times New Roman"/>
          <w:iCs/>
          <w:sz w:val="28"/>
          <w:szCs w:val="28"/>
          <w:shd w:val="clear" w:color="auto" w:fill="FFFFFF"/>
        </w:rPr>
        <w:t>та показаннями для застосування</w:t>
      </w:r>
      <w:r w:rsidR="008C71C6" w:rsidRPr="001F0A92">
        <w:rPr>
          <w:rFonts w:ascii="Times New Roman" w:hAnsi="Times New Roman"/>
          <w:iCs/>
          <w:sz w:val="28"/>
          <w:szCs w:val="28"/>
          <w:shd w:val="clear" w:color="auto" w:fill="FFFFFF"/>
        </w:rPr>
        <w:t>,</w:t>
      </w:r>
      <w:r w:rsidRPr="001F0A92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 що і лікарський засіб, щодо якого укладено договір керованого доступу,</w:t>
      </w:r>
      <w:r w:rsidRPr="003A5B0E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 договір керованого доступу підлягає достроковому розірванню 31 грудня поточного бюджетного року</w:t>
      </w:r>
      <w:r w:rsidR="00CF781B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 </w:t>
      </w:r>
      <w:r w:rsidR="00CF781B" w:rsidRPr="00CF781B">
        <w:rPr>
          <w:rFonts w:ascii="Times New Roman" w:hAnsi="Times New Roman"/>
          <w:iCs/>
          <w:sz w:val="28"/>
          <w:szCs w:val="28"/>
          <w:shd w:val="clear" w:color="auto" w:fill="FFFFFF"/>
        </w:rPr>
        <w:t>за відповідними результатами  державної оцінки медичних технологій</w:t>
      </w:r>
      <w:r w:rsidR="00CF781B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 за скороченою процедурою</w:t>
      </w:r>
      <w:r w:rsidRPr="003A5B0E">
        <w:rPr>
          <w:rFonts w:ascii="Times New Roman" w:hAnsi="Times New Roman"/>
          <w:iCs/>
          <w:sz w:val="28"/>
          <w:szCs w:val="28"/>
          <w:shd w:val="clear" w:color="auto" w:fill="FFFFFF"/>
        </w:rPr>
        <w:t>, якщо строк дії такого договору не закінчується раніше зазначеної дати.</w:t>
      </w:r>
      <w:r>
        <w:rPr>
          <w:rFonts w:ascii="Times New Roman" w:hAnsi="Times New Roman"/>
          <w:iCs/>
          <w:sz w:val="28"/>
          <w:szCs w:val="28"/>
          <w:shd w:val="clear" w:color="auto" w:fill="FFFFFF"/>
        </w:rPr>
        <w:t>»</w:t>
      </w:r>
      <w:r w:rsidR="00B438F6">
        <w:rPr>
          <w:rFonts w:ascii="Times New Roman" w:hAnsi="Times New Roman"/>
          <w:iCs/>
          <w:sz w:val="28"/>
          <w:szCs w:val="28"/>
          <w:shd w:val="clear" w:color="auto" w:fill="FFFFFF"/>
        </w:rPr>
        <w:t>.</w:t>
      </w:r>
    </w:p>
    <w:p w14:paraId="3F8478A2" w14:textId="4B5CA2E2" w:rsidR="00B438F6" w:rsidRPr="007B4F64" w:rsidRDefault="00B438F6" w:rsidP="00CA0AEE">
      <w:pPr>
        <w:spacing w:after="12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E05B4E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3. Кабінету Міністрів України у тримісячний строк із дня набрання чинності цим Законом привести свої нормативно-правові акти у відповідність із цим Законом.</w:t>
      </w:r>
    </w:p>
    <w:bookmarkEnd w:id="1"/>
    <w:p w14:paraId="72BB789F" w14:textId="77777777" w:rsidR="00C24475" w:rsidRPr="000B3B62" w:rsidRDefault="00C24475" w:rsidP="00C520BE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14:paraId="5EFFFE90" w14:textId="77777777" w:rsidR="00B86F3D" w:rsidRPr="00392B2B" w:rsidRDefault="00B86F3D" w:rsidP="00B86F3D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bookmarkStart w:id="2" w:name="n861"/>
      <w:bookmarkStart w:id="3" w:name="n862"/>
      <w:bookmarkEnd w:id="2"/>
      <w:bookmarkEnd w:id="3"/>
      <w:r w:rsidRPr="00392B2B">
        <w:rPr>
          <w:rFonts w:ascii="Times New Roman" w:hAnsi="Times New Roman"/>
          <w:b/>
          <w:color w:val="000000" w:themeColor="text1"/>
          <w:sz w:val="28"/>
          <w:szCs w:val="28"/>
        </w:rPr>
        <w:t>Голова Верховної Ради</w:t>
      </w:r>
    </w:p>
    <w:p w14:paraId="1DD5BF78" w14:textId="77777777" w:rsidR="00B86F3D" w:rsidRPr="00F30326" w:rsidRDefault="00B86F3D" w:rsidP="00B86F3D">
      <w:pPr>
        <w:spacing w:after="0" w:line="240" w:lineRule="auto"/>
        <w:ind w:left="708" w:firstLine="708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92B2B">
        <w:rPr>
          <w:rFonts w:ascii="Times New Roman" w:hAnsi="Times New Roman"/>
          <w:b/>
          <w:color w:val="000000" w:themeColor="text1"/>
          <w:sz w:val="28"/>
          <w:szCs w:val="28"/>
        </w:rPr>
        <w:t>України</w:t>
      </w:r>
      <w:r w:rsidRPr="00392B2B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392B2B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392B2B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392B2B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392B2B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392B2B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392B2B">
        <w:rPr>
          <w:rFonts w:ascii="Times New Roman" w:hAnsi="Times New Roman"/>
          <w:b/>
          <w:color w:val="000000" w:themeColor="text1"/>
          <w:sz w:val="28"/>
          <w:szCs w:val="28"/>
        </w:rPr>
        <w:tab/>
      </w:r>
    </w:p>
    <w:p w14:paraId="2C1F1A50" w14:textId="77777777" w:rsidR="00B823AA" w:rsidRPr="00C520BE" w:rsidRDefault="00B823AA">
      <w:pPr>
        <w:rPr>
          <w:lang w:val="ru-RU"/>
        </w:rPr>
      </w:pPr>
    </w:p>
    <w:sectPr w:rsidR="00B823AA" w:rsidRPr="00C520BE" w:rsidSect="005D7283">
      <w:pgSz w:w="11906" w:h="16838"/>
      <w:pgMar w:top="1134" w:right="851" w:bottom="1134" w:left="1701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4E8BF" w14:textId="77777777" w:rsidR="005D1526" w:rsidRDefault="005D1526">
      <w:pPr>
        <w:spacing w:after="0" w:line="240" w:lineRule="auto"/>
      </w:pPr>
      <w:r>
        <w:separator/>
      </w:r>
    </w:p>
  </w:endnote>
  <w:endnote w:type="continuationSeparator" w:id="0">
    <w:p w14:paraId="7A6DED73" w14:textId="77777777" w:rsidR="005D1526" w:rsidRDefault="005D1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B74B54" w14:textId="77777777" w:rsidR="005D1526" w:rsidRDefault="005D1526">
      <w:pPr>
        <w:spacing w:after="0" w:line="240" w:lineRule="auto"/>
      </w:pPr>
      <w:r>
        <w:separator/>
      </w:r>
    </w:p>
  </w:footnote>
  <w:footnote w:type="continuationSeparator" w:id="0">
    <w:p w14:paraId="3FA11408" w14:textId="77777777" w:rsidR="005D1526" w:rsidRDefault="005D15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F3D"/>
    <w:rsid w:val="00001F2C"/>
    <w:rsid w:val="00015348"/>
    <w:rsid w:val="000676CC"/>
    <w:rsid w:val="00067951"/>
    <w:rsid w:val="0008174C"/>
    <w:rsid w:val="000833C1"/>
    <w:rsid w:val="000B3B62"/>
    <w:rsid w:val="000D332D"/>
    <w:rsid w:val="000E49CD"/>
    <w:rsid w:val="000F7D8E"/>
    <w:rsid w:val="0010390C"/>
    <w:rsid w:val="00112298"/>
    <w:rsid w:val="0011275A"/>
    <w:rsid w:val="001335F3"/>
    <w:rsid w:val="00163C7A"/>
    <w:rsid w:val="001649A4"/>
    <w:rsid w:val="001650A3"/>
    <w:rsid w:val="00170B4D"/>
    <w:rsid w:val="00172E7C"/>
    <w:rsid w:val="001A72ED"/>
    <w:rsid w:val="001F0A92"/>
    <w:rsid w:val="00216BAE"/>
    <w:rsid w:val="002341E5"/>
    <w:rsid w:val="0023512F"/>
    <w:rsid w:val="00241F28"/>
    <w:rsid w:val="0025351E"/>
    <w:rsid w:val="00273107"/>
    <w:rsid w:val="00277ACE"/>
    <w:rsid w:val="00287A78"/>
    <w:rsid w:val="00293715"/>
    <w:rsid w:val="002D541A"/>
    <w:rsid w:val="002F4762"/>
    <w:rsid w:val="00302446"/>
    <w:rsid w:val="00307D06"/>
    <w:rsid w:val="00392B2B"/>
    <w:rsid w:val="003A0094"/>
    <w:rsid w:val="003D09E9"/>
    <w:rsid w:val="003D506C"/>
    <w:rsid w:val="00415C08"/>
    <w:rsid w:val="00421302"/>
    <w:rsid w:val="0042221F"/>
    <w:rsid w:val="00426861"/>
    <w:rsid w:val="00477025"/>
    <w:rsid w:val="0049122E"/>
    <w:rsid w:val="004931A4"/>
    <w:rsid w:val="0049646C"/>
    <w:rsid w:val="004D5A9F"/>
    <w:rsid w:val="00503B91"/>
    <w:rsid w:val="00532F72"/>
    <w:rsid w:val="00581B79"/>
    <w:rsid w:val="0058388E"/>
    <w:rsid w:val="005850D4"/>
    <w:rsid w:val="005C4E9F"/>
    <w:rsid w:val="005C65ED"/>
    <w:rsid w:val="005D1526"/>
    <w:rsid w:val="005D7283"/>
    <w:rsid w:val="00602387"/>
    <w:rsid w:val="00624264"/>
    <w:rsid w:val="00626EC2"/>
    <w:rsid w:val="006579C3"/>
    <w:rsid w:val="00672DBA"/>
    <w:rsid w:val="00675E20"/>
    <w:rsid w:val="00684D46"/>
    <w:rsid w:val="0069413D"/>
    <w:rsid w:val="006951EF"/>
    <w:rsid w:val="006A46FA"/>
    <w:rsid w:val="006B1068"/>
    <w:rsid w:val="006D1504"/>
    <w:rsid w:val="00703CE6"/>
    <w:rsid w:val="00704D05"/>
    <w:rsid w:val="007537FC"/>
    <w:rsid w:val="00780874"/>
    <w:rsid w:val="0078265A"/>
    <w:rsid w:val="00786548"/>
    <w:rsid w:val="007B4F64"/>
    <w:rsid w:val="007C062D"/>
    <w:rsid w:val="007C782E"/>
    <w:rsid w:val="007D271E"/>
    <w:rsid w:val="007E4ACC"/>
    <w:rsid w:val="00815C45"/>
    <w:rsid w:val="00842681"/>
    <w:rsid w:val="00857882"/>
    <w:rsid w:val="00870CE2"/>
    <w:rsid w:val="00893BF8"/>
    <w:rsid w:val="008C71C6"/>
    <w:rsid w:val="008D1E8C"/>
    <w:rsid w:val="008F0433"/>
    <w:rsid w:val="00900ECF"/>
    <w:rsid w:val="00933105"/>
    <w:rsid w:val="00943BD8"/>
    <w:rsid w:val="0094642F"/>
    <w:rsid w:val="00984AAF"/>
    <w:rsid w:val="009A4B28"/>
    <w:rsid w:val="009D2D77"/>
    <w:rsid w:val="009D3070"/>
    <w:rsid w:val="009E0E79"/>
    <w:rsid w:val="009F0346"/>
    <w:rsid w:val="00A00999"/>
    <w:rsid w:val="00A27269"/>
    <w:rsid w:val="00A3329E"/>
    <w:rsid w:val="00A33801"/>
    <w:rsid w:val="00AA1E9D"/>
    <w:rsid w:val="00AA61EA"/>
    <w:rsid w:val="00AC4332"/>
    <w:rsid w:val="00B01B60"/>
    <w:rsid w:val="00B045FF"/>
    <w:rsid w:val="00B30EA8"/>
    <w:rsid w:val="00B42EB6"/>
    <w:rsid w:val="00B438F6"/>
    <w:rsid w:val="00B823AA"/>
    <w:rsid w:val="00B86F3D"/>
    <w:rsid w:val="00B971D2"/>
    <w:rsid w:val="00BA0940"/>
    <w:rsid w:val="00BA308C"/>
    <w:rsid w:val="00BB14A3"/>
    <w:rsid w:val="00BD1758"/>
    <w:rsid w:val="00BD1B4F"/>
    <w:rsid w:val="00BE0F61"/>
    <w:rsid w:val="00BE64B4"/>
    <w:rsid w:val="00BF6225"/>
    <w:rsid w:val="00C10DD1"/>
    <w:rsid w:val="00C24475"/>
    <w:rsid w:val="00C338B6"/>
    <w:rsid w:val="00C50C7A"/>
    <w:rsid w:val="00C520BE"/>
    <w:rsid w:val="00C54284"/>
    <w:rsid w:val="00C729F7"/>
    <w:rsid w:val="00C76022"/>
    <w:rsid w:val="00C9559A"/>
    <w:rsid w:val="00CA0AEE"/>
    <w:rsid w:val="00CA6551"/>
    <w:rsid w:val="00CF3FFA"/>
    <w:rsid w:val="00CF781B"/>
    <w:rsid w:val="00D02D86"/>
    <w:rsid w:val="00D67C2E"/>
    <w:rsid w:val="00D9065D"/>
    <w:rsid w:val="00DA29EF"/>
    <w:rsid w:val="00DB1B1C"/>
    <w:rsid w:val="00DB5F06"/>
    <w:rsid w:val="00E05B4E"/>
    <w:rsid w:val="00E16818"/>
    <w:rsid w:val="00E2506C"/>
    <w:rsid w:val="00E35259"/>
    <w:rsid w:val="00E42D43"/>
    <w:rsid w:val="00E4339A"/>
    <w:rsid w:val="00E43A6C"/>
    <w:rsid w:val="00E5580A"/>
    <w:rsid w:val="00E60505"/>
    <w:rsid w:val="00E63E60"/>
    <w:rsid w:val="00E710EF"/>
    <w:rsid w:val="00E74905"/>
    <w:rsid w:val="00E8075E"/>
    <w:rsid w:val="00E93CEF"/>
    <w:rsid w:val="00EA55CE"/>
    <w:rsid w:val="00EF74CD"/>
    <w:rsid w:val="00EF7597"/>
    <w:rsid w:val="00F07F7D"/>
    <w:rsid w:val="00F16E77"/>
    <w:rsid w:val="00F30326"/>
    <w:rsid w:val="00F34A70"/>
    <w:rsid w:val="00F74885"/>
    <w:rsid w:val="00F8529B"/>
    <w:rsid w:val="00F90CA5"/>
    <w:rsid w:val="00F92EB5"/>
    <w:rsid w:val="00F97775"/>
    <w:rsid w:val="00FA77BE"/>
    <w:rsid w:val="00FB0160"/>
    <w:rsid w:val="00FB64F9"/>
    <w:rsid w:val="00FE1E50"/>
    <w:rsid w:val="00FF5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87EE38"/>
  <w14:defaultImageDpi w14:val="0"/>
  <w15:docId w15:val="{66259653-30D9-45D7-A1A3-28EE6F741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6F3D"/>
    <w:pPr>
      <w:spacing w:after="200" w:line="276" w:lineRule="auto"/>
    </w:pPr>
    <w:rPr>
      <w:rFonts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86F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locked/>
    <w:rsid w:val="00B86F3D"/>
    <w:rPr>
      <w:rFonts w:eastAsia="Times New Roman" w:cs="Times New Roman"/>
      <w:lang w:val="uk-UA" w:eastAsia="x-none"/>
    </w:rPr>
  </w:style>
  <w:style w:type="paragraph" w:styleId="a5">
    <w:name w:val="List Paragraph"/>
    <w:basedOn w:val="a"/>
    <w:uiPriority w:val="34"/>
    <w:qFormat/>
    <w:rsid w:val="00BB14A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93CE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E93CEF"/>
    <w:rPr>
      <w:rFonts w:cs="Times New Roman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067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067951"/>
    <w:rPr>
      <w:rFonts w:ascii="Segoe UI" w:hAnsi="Segoe UI" w:cs="Segoe UI"/>
      <w:sz w:val="18"/>
      <w:szCs w:val="18"/>
      <w:lang w:val="uk-UA"/>
    </w:rPr>
  </w:style>
  <w:style w:type="table" w:styleId="aa">
    <w:name w:val="Table Grid"/>
    <w:basedOn w:val="a1"/>
    <w:uiPriority w:val="39"/>
    <w:rsid w:val="009E0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69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564CAB-2106-4408-BBEB-0F25203FA5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E3709E1-9A3D-4514-A300-0201C439D5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5A234F-E5BD-49DD-89F5-63E12EEA60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2508</Words>
  <Characters>1431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2021-01-29T14:29:00Z</dcterms:created>
  <dcterms:modified xsi:type="dcterms:W3CDTF">2021-01-29T14:29:00Z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