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43BF" w:rsidRPr="00CF0756" w:rsidRDefault="003E43BF" w:rsidP="005B76BB">
      <w:pPr>
        <w:spacing w:after="0" w:line="240" w:lineRule="auto"/>
        <w:ind w:firstLine="709"/>
        <w:rPr>
          <w:szCs w:val="28"/>
        </w:rPr>
      </w:pPr>
    </w:p>
    <w:p w:rsidR="003E43BF" w:rsidRPr="00CF0756" w:rsidRDefault="003E43BF" w:rsidP="005B76BB">
      <w:pPr>
        <w:widowControl w:val="0"/>
        <w:tabs>
          <w:tab w:val="left" w:pos="5328"/>
        </w:tabs>
        <w:spacing w:after="0" w:line="240" w:lineRule="auto"/>
        <w:ind w:firstLine="709"/>
        <w:rPr>
          <w:rFonts w:ascii="Arial" w:eastAsia="Times New Roman" w:hAnsi="Arial" w:cs="Arial"/>
          <w:color w:val="333333"/>
          <w:sz w:val="36"/>
          <w:szCs w:val="26"/>
        </w:rPr>
      </w:pPr>
    </w:p>
    <w:p w:rsidR="003E43BF" w:rsidRPr="00CF0756" w:rsidRDefault="003E43BF" w:rsidP="005B76BB">
      <w:pPr>
        <w:widowControl w:val="0"/>
        <w:tabs>
          <w:tab w:val="left" w:pos="5328"/>
        </w:tabs>
        <w:spacing w:after="0" w:line="240" w:lineRule="auto"/>
        <w:ind w:firstLine="709"/>
        <w:rPr>
          <w:szCs w:val="28"/>
        </w:rPr>
      </w:pPr>
    </w:p>
    <w:p w:rsidR="003E43BF" w:rsidRPr="00CF0756" w:rsidRDefault="003E43BF" w:rsidP="00ED027E">
      <w:pPr>
        <w:pStyle w:val="7"/>
        <w:keepNext w:val="0"/>
        <w:widowControl w:val="0"/>
        <w:ind w:firstLine="0"/>
        <w:rPr>
          <w:rFonts w:ascii="Times New Roman" w:hAnsi="Times New Roman" w:cs="Times New Roman"/>
        </w:rPr>
      </w:pPr>
      <w:r w:rsidRPr="00CF0756">
        <w:rPr>
          <w:rFonts w:ascii="Times New Roman" w:hAnsi="Times New Roman" w:cs="Times New Roman"/>
        </w:rPr>
        <w:t>ВИСНОВОК</w:t>
      </w:r>
    </w:p>
    <w:p w:rsidR="00C31B04" w:rsidRPr="00CF0756" w:rsidRDefault="003E43BF" w:rsidP="00ED027E">
      <w:pPr>
        <w:pStyle w:val="a3"/>
        <w:widowControl w:val="0"/>
        <w:ind w:firstLine="0"/>
        <w:jc w:val="center"/>
        <w:rPr>
          <w:rFonts w:ascii="Times New Roman" w:hAnsi="Times New Roman" w:cs="Times New Roman"/>
          <w:b/>
        </w:rPr>
      </w:pPr>
      <w:r w:rsidRPr="00CF0756">
        <w:rPr>
          <w:rFonts w:ascii="Times New Roman" w:hAnsi="Times New Roman" w:cs="Times New Roman"/>
          <w:b/>
        </w:rPr>
        <w:t xml:space="preserve">на проект Закону України </w:t>
      </w:r>
    </w:p>
    <w:p w:rsidR="00CD3832" w:rsidRPr="00CF0756" w:rsidRDefault="003E43BF" w:rsidP="002D5D36">
      <w:pPr>
        <w:pStyle w:val="a3"/>
        <w:widowControl w:val="0"/>
        <w:ind w:firstLine="0"/>
        <w:jc w:val="center"/>
        <w:rPr>
          <w:rFonts w:ascii="Times New Roman" w:hAnsi="Times New Roman" w:cs="Times New Roman"/>
          <w:b/>
        </w:rPr>
      </w:pPr>
      <w:r w:rsidRPr="00CF0756">
        <w:rPr>
          <w:rFonts w:ascii="Times New Roman" w:hAnsi="Times New Roman" w:cs="Times New Roman"/>
          <w:b/>
        </w:rPr>
        <w:t>«Про</w:t>
      </w:r>
      <w:r w:rsidR="00C54D66" w:rsidRPr="00CF0756">
        <w:rPr>
          <w:rFonts w:ascii="Times New Roman" w:hAnsi="Times New Roman" w:cs="Times New Roman"/>
          <w:b/>
        </w:rPr>
        <w:t xml:space="preserve"> внесення змін до Кодексу адміністративного судочинства </w:t>
      </w:r>
    </w:p>
    <w:p w:rsidR="003E43BF" w:rsidRPr="00CF0756" w:rsidRDefault="00C54D66" w:rsidP="002D5D36">
      <w:pPr>
        <w:pStyle w:val="a3"/>
        <w:widowControl w:val="0"/>
        <w:ind w:firstLine="0"/>
        <w:jc w:val="center"/>
        <w:rPr>
          <w:rFonts w:ascii="Times New Roman" w:hAnsi="Times New Roman" w:cs="Times New Roman"/>
          <w:b/>
        </w:rPr>
      </w:pPr>
      <w:r w:rsidRPr="00CF0756">
        <w:rPr>
          <w:rFonts w:ascii="Times New Roman" w:hAnsi="Times New Roman" w:cs="Times New Roman"/>
          <w:b/>
        </w:rPr>
        <w:t>України щодо підсудності справ</w:t>
      </w:r>
      <w:r w:rsidR="003E43BF" w:rsidRPr="00CF0756">
        <w:rPr>
          <w:rFonts w:ascii="Times New Roman" w:hAnsi="Times New Roman" w:cs="Times New Roman"/>
          <w:b/>
          <w:bCs/>
        </w:rPr>
        <w:t>»</w:t>
      </w:r>
    </w:p>
    <w:p w:rsidR="003E43BF" w:rsidRPr="00CF0756" w:rsidRDefault="003B26A5" w:rsidP="003B26A5">
      <w:pPr>
        <w:pStyle w:val="a3"/>
        <w:tabs>
          <w:tab w:val="left" w:pos="6768"/>
        </w:tabs>
        <w:ind w:firstLine="0"/>
        <w:rPr>
          <w:rFonts w:ascii="Times New Roman" w:hAnsi="Times New Roman" w:cs="Times New Roman"/>
        </w:rPr>
      </w:pPr>
      <w:r w:rsidRPr="00CF0756">
        <w:rPr>
          <w:rFonts w:ascii="Times New Roman" w:hAnsi="Times New Roman" w:cs="Times New Roman"/>
        </w:rPr>
        <w:tab/>
      </w:r>
    </w:p>
    <w:p w:rsidR="001E04C0" w:rsidRPr="00CF0756" w:rsidRDefault="003E43BF" w:rsidP="005F1C7A">
      <w:pPr>
        <w:pStyle w:val="a3"/>
        <w:ind w:firstLine="709"/>
        <w:rPr>
          <w:rFonts w:ascii="Times New Roman" w:hAnsi="Times New Roman" w:cs="Times New Roman"/>
          <w:highlight w:val="yellow"/>
        </w:rPr>
      </w:pPr>
      <w:r w:rsidRPr="00CF0756">
        <w:rPr>
          <w:rFonts w:ascii="Times New Roman" w:hAnsi="Times New Roman" w:cs="Times New Roman"/>
        </w:rPr>
        <w:t>Поданий законопроект розроблено</w:t>
      </w:r>
      <w:r w:rsidR="007033D8" w:rsidRPr="00CF0756">
        <w:rPr>
          <w:rFonts w:ascii="Times New Roman" w:hAnsi="Times New Roman" w:cs="Times New Roman"/>
        </w:rPr>
        <w:t>, як це зазначено у пояснювальній записці до нього,</w:t>
      </w:r>
      <w:r w:rsidRPr="00CF0756">
        <w:rPr>
          <w:rFonts w:ascii="Times New Roman" w:hAnsi="Times New Roman" w:cs="Times New Roman"/>
        </w:rPr>
        <w:t xml:space="preserve"> з метою </w:t>
      </w:r>
      <w:r w:rsidR="003D09BC" w:rsidRPr="00CF0756">
        <w:rPr>
          <w:rFonts w:ascii="Times New Roman" w:hAnsi="Times New Roman" w:cs="Times New Roman"/>
        </w:rPr>
        <w:t>попередження та уникнення випадків можливих маніпуляцій з рішеннями суб’єктів владних повноважень, які можуть провокуватися через їх оскарження в судовому порядку.</w:t>
      </w:r>
    </w:p>
    <w:p w:rsidR="005F1C7A" w:rsidRPr="00CF0756" w:rsidRDefault="003E43BF" w:rsidP="00490359">
      <w:pPr>
        <w:pStyle w:val="a3"/>
        <w:ind w:firstLine="709"/>
        <w:rPr>
          <w:rFonts w:ascii="Times New Roman" w:hAnsi="Times New Roman" w:cs="Times New Roman"/>
        </w:rPr>
      </w:pPr>
      <w:r w:rsidRPr="00CF0756">
        <w:rPr>
          <w:rFonts w:ascii="Times New Roman" w:hAnsi="Times New Roman" w:cs="Times New Roman"/>
        </w:rPr>
        <w:t>Для досягнення вказаної мети у законопроекті пропонується</w:t>
      </w:r>
      <w:r w:rsidR="00490359" w:rsidRPr="00CF0756">
        <w:rPr>
          <w:rFonts w:ascii="Times New Roman" w:hAnsi="Times New Roman" w:cs="Times New Roman"/>
        </w:rPr>
        <w:t xml:space="preserve"> визначити, що </w:t>
      </w:r>
      <w:r w:rsidR="00CF0756" w:rsidRPr="00CF0756">
        <w:rPr>
          <w:rFonts w:ascii="Times New Roman" w:hAnsi="Times New Roman" w:cs="Times New Roman"/>
        </w:rPr>
        <w:t>а</w:t>
      </w:r>
      <w:r w:rsidR="00DE7BD5" w:rsidRPr="00CF0756">
        <w:rPr>
          <w:rFonts w:ascii="Times New Roman" w:hAnsi="Times New Roman" w:cs="Times New Roman"/>
        </w:rPr>
        <w:t xml:space="preserve">пеляційному адміністративному суду в апеляційному окрузі, що включає місто Київ, як суду першої інстанції підсудні справи щодо оскарження актів, дій чи бездіяльності Верховної Ради України, Президента України, Вищої ради правосуддя, Вищої кваліфікаційної комісії суддів України, а також справи щодо оскарження нормативно-правових актів Кабінету Міністрів України (див. абз. 2 ч. 4 ст. 22, ч. 1 ст. 27 Кодексу адміністративного судочинства України </w:t>
      </w:r>
      <w:r w:rsidR="005E50FF" w:rsidRPr="005E50FF">
        <w:rPr>
          <w:rFonts w:ascii="Times New Roman" w:hAnsi="Times New Roman" w:cs="Times New Roman"/>
        </w:rPr>
        <w:t xml:space="preserve">                                </w:t>
      </w:r>
      <w:r w:rsidR="00DE7BD5" w:rsidRPr="00CF0756">
        <w:rPr>
          <w:rFonts w:ascii="Times New Roman" w:hAnsi="Times New Roman" w:cs="Times New Roman"/>
        </w:rPr>
        <w:t>(далі – КАСУ) в редакції проекту).</w:t>
      </w:r>
      <w:r w:rsidR="00591B69" w:rsidRPr="00CF0756">
        <w:rPr>
          <w:rFonts w:ascii="Times New Roman" w:hAnsi="Times New Roman" w:cs="Times New Roman"/>
        </w:rPr>
        <w:t xml:space="preserve"> Пропонується встановити, що адміністративні справи, зазначені у п. п. 1</w:t>
      </w:r>
      <w:r w:rsidR="00CF0756" w:rsidRPr="00CF0756">
        <w:rPr>
          <w:rFonts w:ascii="Times New Roman" w:hAnsi="Times New Roman" w:cs="Times New Roman"/>
        </w:rPr>
        <w:t xml:space="preserve"> – </w:t>
      </w:r>
      <w:r w:rsidR="00591B69" w:rsidRPr="00CF0756">
        <w:rPr>
          <w:rFonts w:ascii="Times New Roman" w:hAnsi="Times New Roman" w:cs="Times New Roman"/>
        </w:rPr>
        <w:t>3 ч. 1 ст. 266 КАСУ (в редакції проекту), розглядаються у порядку спрощеного позовного провадження апеляційним адміністративним судом в апеляційному окрузі, що включає місто Київ, у складі колегії не менше ніж з трьох суддів (ч. 2 ст. 266 КАСУ в редакції проекту).</w:t>
      </w:r>
      <w:r w:rsidR="00591B69" w:rsidRPr="00CF0756">
        <w:t xml:space="preserve"> </w:t>
      </w:r>
      <w:r w:rsidR="00591B69" w:rsidRPr="00CF0756">
        <w:rPr>
          <w:rFonts w:ascii="Times New Roman" w:hAnsi="Times New Roman" w:cs="Times New Roman"/>
        </w:rPr>
        <w:t xml:space="preserve">Судом апеляційної інстанції у справах, визначених </w:t>
      </w:r>
      <w:r w:rsidR="00CD3832" w:rsidRPr="00CF0756">
        <w:rPr>
          <w:rFonts w:ascii="Times New Roman" w:hAnsi="Times New Roman" w:cs="Times New Roman"/>
        </w:rPr>
        <w:t>ч. 2 ст. 266 КАСУ (у редакції проекту)</w:t>
      </w:r>
      <w:r w:rsidR="00591B69" w:rsidRPr="00CF0756">
        <w:rPr>
          <w:rFonts w:ascii="Times New Roman" w:hAnsi="Times New Roman" w:cs="Times New Roman"/>
        </w:rPr>
        <w:t xml:space="preserve">, є Верховний Суд. Судове рішення апеляційного адміністративного суду в апеляційному окрузі, що включає місто Київ, у таких справах набирає законної сили після закінчення строку подання апеляційної скарги, якщо таку скаргу не було подано (ч. 5 ст. 266 КАСУ в редакції проекту). </w:t>
      </w:r>
      <w:r w:rsidR="00C150F9" w:rsidRPr="00CF0756">
        <w:rPr>
          <w:rFonts w:ascii="Times New Roman" w:hAnsi="Times New Roman" w:cs="Times New Roman"/>
        </w:rPr>
        <w:t xml:space="preserve">Крім того, </w:t>
      </w:r>
      <w:r w:rsidR="00490359" w:rsidRPr="00CF0756">
        <w:rPr>
          <w:rFonts w:ascii="Times New Roman" w:hAnsi="Times New Roman" w:cs="Times New Roman"/>
        </w:rPr>
        <w:t xml:space="preserve">законопроектом </w:t>
      </w:r>
      <w:r w:rsidR="00CF0756" w:rsidRPr="00CF0756">
        <w:rPr>
          <w:rFonts w:ascii="Times New Roman" w:hAnsi="Times New Roman" w:cs="Times New Roman"/>
        </w:rPr>
        <w:t>уточн</w:t>
      </w:r>
      <w:r w:rsidR="0031277E">
        <w:rPr>
          <w:rFonts w:ascii="Times New Roman" w:hAnsi="Times New Roman" w:cs="Times New Roman"/>
        </w:rPr>
        <w:t>ю</w:t>
      </w:r>
      <w:r w:rsidR="00CF0756" w:rsidRPr="00CF0756">
        <w:rPr>
          <w:rFonts w:ascii="Times New Roman" w:hAnsi="Times New Roman" w:cs="Times New Roman"/>
        </w:rPr>
        <w:t>ється</w:t>
      </w:r>
      <w:r w:rsidR="00490359" w:rsidRPr="00CF0756">
        <w:rPr>
          <w:rFonts w:ascii="Times New Roman" w:hAnsi="Times New Roman" w:cs="Times New Roman"/>
        </w:rPr>
        <w:t xml:space="preserve"> </w:t>
      </w:r>
      <w:r w:rsidR="00C150F9" w:rsidRPr="00CF0756">
        <w:rPr>
          <w:rFonts w:ascii="Times New Roman" w:hAnsi="Times New Roman" w:cs="Times New Roman"/>
        </w:rPr>
        <w:t>ви</w:t>
      </w:r>
      <w:r w:rsidR="00490359" w:rsidRPr="00CF0756">
        <w:rPr>
          <w:rFonts w:ascii="Times New Roman" w:hAnsi="Times New Roman" w:cs="Times New Roman"/>
        </w:rPr>
        <w:t xml:space="preserve">значення терміну </w:t>
      </w:r>
      <w:r w:rsidR="00C150F9" w:rsidRPr="00CF0756">
        <w:rPr>
          <w:rFonts w:ascii="Times New Roman" w:hAnsi="Times New Roman" w:cs="Times New Roman"/>
        </w:rPr>
        <w:t>«</w:t>
      </w:r>
      <w:r w:rsidR="00490359" w:rsidRPr="00CF0756">
        <w:rPr>
          <w:rFonts w:ascii="Times New Roman" w:hAnsi="Times New Roman" w:cs="Times New Roman"/>
        </w:rPr>
        <w:t>нормативно-правовий акт</w:t>
      </w:r>
      <w:r w:rsidR="00C150F9" w:rsidRPr="00CF0756">
        <w:rPr>
          <w:rFonts w:ascii="Times New Roman" w:hAnsi="Times New Roman" w:cs="Times New Roman"/>
        </w:rPr>
        <w:t>»</w:t>
      </w:r>
      <w:r w:rsidR="00490359" w:rsidRPr="00CF0756">
        <w:rPr>
          <w:rFonts w:ascii="Times New Roman" w:hAnsi="Times New Roman" w:cs="Times New Roman"/>
        </w:rPr>
        <w:t xml:space="preserve"> для цілей </w:t>
      </w:r>
      <w:r w:rsidR="00CD3832" w:rsidRPr="00CF0756">
        <w:rPr>
          <w:rFonts w:ascii="Times New Roman" w:hAnsi="Times New Roman" w:cs="Times New Roman"/>
        </w:rPr>
        <w:t>КАСУ</w:t>
      </w:r>
      <w:r w:rsidR="00C150F9" w:rsidRPr="00CF0756">
        <w:rPr>
          <w:rFonts w:ascii="Times New Roman" w:hAnsi="Times New Roman" w:cs="Times New Roman"/>
        </w:rPr>
        <w:t xml:space="preserve">, </w:t>
      </w:r>
      <w:r w:rsidR="003D70CD" w:rsidRPr="00CF0756">
        <w:rPr>
          <w:rFonts w:ascii="Times New Roman" w:hAnsi="Times New Roman" w:cs="Times New Roman"/>
        </w:rPr>
        <w:t xml:space="preserve">під яким </w:t>
      </w:r>
      <w:r w:rsidR="0031277E">
        <w:rPr>
          <w:rFonts w:ascii="Times New Roman" w:hAnsi="Times New Roman" w:cs="Times New Roman"/>
        </w:rPr>
        <w:t>пропонується</w:t>
      </w:r>
      <w:r w:rsidR="003D70CD" w:rsidRPr="00CF0756">
        <w:rPr>
          <w:rFonts w:ascii="Times New Roman" w:hAnsi="Times New Roman" w:cs="Times New Roman"/>
        </w:rPr>
        <w:t xml:space="preserve"> розуміти </w:t>
      </w:r>
      <w:r w:rsidR="00591B69" w:rsidRPr="00CF0756">
        <w:rPr>
          <w:rFonts w:ascii="Times New Roman" w:hAnsi="Times New Roman" w:cs="Times New Roman"/>
        </w:rPr>
        <w:t xml:space="preserve">акт управління (рішення) суб'єкта владних повноважень, який встановлює, змінює, припиняє (скасовує) загальні правила регулювання однотипних відносин, і який розрахований на довгострокове та неодноразове застосування, у тому числі акт, який відповідно до закону є регуляторним актом, та рішення з питань встановлення тарифів на товари (послуги) </w:t>
      </w:r>
      <w:r w:rsidR="0031277E">
        <w:rPr>
          <w:rFonts w:ascii="Times New Roman" w:hAnsi="Times New Roman" w:cs="Times New Roman"/>
        </w:rPr>
        <w:t xml:space="preserve">суб’єктів </w:t>
      </w:r>
      <w:r w:rsidR="00591B69" w:rsidRPr="00CF0756">
        <w:rPr>
          <w:rFonts w:ascii="Times New Roman" w:hAnsi="Times New Roman" w:cs="Times New Roman"/>
        </w:rPr>
        <w:t xml:space="preserve"> природних монополій, цін (тарифів) для населення (якщо відповідні повноваження щодо встановлення цін (тарифів) надані спеціальними законами) </w:t>
      </w:r>
      <w:r w:rsidR="00CF0756">
        <w:rPr>
          <w:rFonts w:ascii="Times New Roman" w:hAnsi="Times New Roman" w:cs="Times New Roman"/>
        </w:rPr>
        <w:t>(п. 18. ч. 1 ст. 4</w:t>
      </w:r>
      <w:r w:rsidR="00C150F9" w:rsidRPr="00CF0756">
        <w:rPr>
          <w:rFonts w:ascii="Times New Roman" w:hAnsi="Times New Roman" w:cs="Times New Roman"/>
        </w:rPr>
        <w:t xml:space="preserve"> КАСУ)</w:t>
      </w:r>
      <w:r w:rsidR="00490359" w:rsidRPr="00CF0756">
        <w:rPr>
          <w:rFonts w:ascii="Times New Roman" w:hAnsi="Times New Roman" w:cs="Times New Roman"/>
        </w:rPr>
        <w:t>.</w:t>
      </w:r>
    </w:p>
    <w:p w:rsidR="00815C30" w:rsidRPr="00CF0756" w:rsidRDefault="004C004E" w:rsidP="004C004E">
      <w:pPr>
        <w:tabs>
          <w:tab w:val="left" w:pos="284"/>
          <w:tab w:val="left" w:pos="709"/>
          <w:tab w:val="left" w:pos="7938"/>
        </w:tabs>
        <w:spacing w:after="0" w:line="240" w:lineRule="auto"/>
        <w:ind w:firstLine="709"/>
        <w:jc w:val="both"/>
        <w:rPr>
          <w:rStyle w:val="rvts9"/>
          <w:bCs/>
          <w:szCs w:val="28"/>
        </w:rPr>
      </w:pPr>
      <w:r w:rsidRPr="00CF0756">
        <w:rPr>
          <w:rStyle w:val="rvts9"/>
          <w:bCs/>
          <w:szCs w:val="28"/>
        </w:rPr>
        <w:t>Законопроект на момент його внесення до Верховної Ради України</w:t>
      </w:r>
      <w:r w:rsidR="009A7AF9">
        <w:rPr>
          <w:rStyle w:val="rvts9"/>
          <w:bCs/>
          <w:szCs w:val="28"/>
          <w:lang w:val="ru-RU"/>
        </w:rPr>
        <w:t xml:space="preserve">                                 </w:t>
      </w:r>
      <w:r w:rsidRPr="00CF0756">
        <w:rPr>
          <w:rStyle w:val="rvts9"/>
          <w:bCs/>
          <w:szCs w:val="28"/>
        </w:rPr>
        <w:t xml:space="preserve"> не включений до Плану законопроектної роботи Верховної Ради України</w:t>
      </w:r>
      <w:r w:rsidR="009A7AF9">
        <w:rPr>
          <w:rStyle w:val="rvts9"/>
          <w:bCs/>
          <w:szCs w:val="28"/>
          <w:lang w:val="ru-RU"/>
        </w:rPr>
        <w:t xml:space="preserve">                                  </w:t>
      </w:r>
      <w:r w:rsidRPr="00CF0756">
        <w:rPr>
          <w:rStyle w:val="rvts9"/>
          <w:bCs/>
          <w:szCs w:val="28"/>
        </w:rPr>
        <w:t xml:space="preserve"> на 2020 рік, затвердженого постановою Верховної Ради України від 16 червня 2020 року № 689-IX. Також вказаний законопроект не включений до Плану законопроектної роботи Верховної Ради України на 2021 рік, затвердженого постановою Верховної Ради України від 02.02.2021 № 1165-ІХ.</w:t>
      </w:r>
    </w:p>
    <w:p w:rsidR="00FC1A48" w:rsidRPr="00CF0756" w:rsidRDefault="00FC1A48" w:rsidP="00FC1A48">
      <w:pPr>
        <w:pStyle w:val="a3"/>
        <w:ind w:firstLine="709"/>
        <w:rPr>
          <w:rFonts w:ascii="Times New Roman" w:hAnsi="Times New Roman" w:cs="Times New Roman"/>
        </w:rPr>
      </w:pPr>
      <w:r w:rsidRPr="00CF0756">
        <w:rPr>
          <w:rFonts w:ascii="Times New Roman" w:hAnsi="Times New Roman" w:cs="Times New Roman"/>
        </w:rPr>
        <w:lastRenderedPageBreak/>
        <w:t>Головне управління, розглянувши поданий проект, вважає за доцільне висловити щодо його змісту наступні зауваження та пропозиції.</w:t>
      </w:r>
    </w:p>
    <w:p w:rsidR="00FC1A48" w:rsidRPr="00CF0756" w:rsidRDefault="00FC1A48" w:rsidP="00FC1A48">
      <w:pPr>
        <w:spacing w:after="0" w:line="240" w:lineRule="auto"/>
        <w:ind w:firstLine="709"/>
        <w:jc w:val="both"/>
        <w:rPr>
          <w:szCs w:val="28"/>
        </w:rPr>
      </w:pPr>
      <w:r w:rsidRPr="00CF0756">
        <w:rPr>
          <w:b/>
          <w:bCs/>
          <w:szCs w:val="28"/>
        </w:rPr>
        <w:t>1.</w:t>
      </w:r>
      <w:r w:rsidRPr="00CF0756">
        <w:rPr>
          <w:szCs w:val="28"/>
        </w:rPr>
        <w:t xml:space="preserve"> Відповідно до </w:t>
      </w:r>
      <w:r w:rsidR="00CF0756">
        <w:t>п. 18. ч. 1 ст. 4</w:t>
      </w:r>
      <w:r w:rsidRPr="00CF0756">
        <w:t xml:space="preserve"> КАСУ</w:t>
      </w:r>
      <w:r w:rsidRPr="00CF0756">
        <w:rPr>
          <w:szCs w:val="28"/>
        </w:rPr>
        <w:t xml:space="preserve"> (у редакції проекту) під «нормативно-правовим актом» для цілей КАСУ, окрім акту управління (рішення) суб’єкта владних повноважень, який встановлює, змінює, припиняє (скасовує) загальні правила регулювання однотипних відносин, і який розрахований на довгострокове та неодноразове застосування, пропонується розуміти «у тому числі </w:t>
      </w:r>
      <w:r w:rsidRPr="00CF0756">
        <w:rPr>
          <w:i/>
          <w:iCs/>
          <w:szCs w:val="28"/>
        </w:rPr>
        <w:t>акт, який відповідно до закону є регуляторним актом, та рішення з питань встановлення тарифів на товари (послуги) суб’єктів природних монополій, цін (тарифів) для населення (якщо відповідні повноваження щодо встановлення цін (тарифів) надані спеціальними законами)</w:t>
      </w:r>
      <w:r w:rsidRPr="00CF0756">
        <w:rPr>
          <w:iCs/>
          <w:szCs w:val="28"/>
        </w:rPr>
        <w:t>»</w:t>
      </w:r>
      <w:r w:rsidRPr="00CF0756">
        <w:rPr>
          <w:szCs w:val="28"/>
        </w:rPr>
        <w:t>. Доцільність цього законодавчого кроку, на наш погляд, є доволі сумнівною.</w:t>
      </w:r>
    </w:p>
    <w:p w:rsidR="00FC1A48" w:rsidRPr="00CF0756" w:rsidRDefault="00FC1A48" w:rsidP="00FC1A48">
      <w:pPr>
        <w:spacing w:after="0" w:line="240" w:lineRule="auto"/>
        <w:ind w:firstLine="709"/>
        <w:jc w:val="both"/>
        <w:rPr>
          <w:szCs w:val="28"/>
        </w:rPr>
      </w:pPr>
      <w:r w:rsidRPr="00CF0756">
        <w:rPr>
          <w:i/>
          <w:iCs/>
          <w:szCs w:val="28"/>
        </w:rPr>
        <w:t>По-перше</w:t>
      </w:r>
      <w:r w:rsidRPr="00CF0756">
        <w:rPr>
          <w:szCs w:val="28"/>
        </w:rPr>
        <w:t xml:space="preserve">, термін «нормативно-правовий акт» в КАСУ визначений і надмірна його деталізація лише обтяжує цей Кодекс, ускладнює сприйняття відповідної норми. </w:t>
      </w:r>
      <w:r w:rsidRPr="00CF0756">
        <w:rPr>
          <w:i/>
          <w:iCs/>
          <w:szCs w:val="28"/>
        </w:rPr>
        <w:t>По-друге</w:t>
      </w:r>
      <w:r w:rsidRPr="00CF0756">
        <w:rPr>
          <w:szCs w:val="28"/>
        </w:rPr>
        <w:t>, повноваженнями щодо встановлення тарифів на комунальні послуги наразі наділені Національна комісія, що здійснює державне регулювання у сферах енергетики та комунальних послуг (далі – НКРЕКП) та органи місцевого самоврядування.</w:t>
      </w:r>
    </w:p>
    <w:p w:rsidR="00FC1A48" w:rsidRPr="00CF0756" w:rsidRDefault="00FC1A48" w:rsidP="00FC1A48">
      <w:pPr>
        <w:spacing w:after="0" w:line="240" w:lineRule="auto"/>
        <w:ind w:firstLine="709"/>
        <w:jc w:val="both"/>
      </w:pPr>
      <w:r w:rsidRPr="00CF0756">
        <w:t>Відповідно до ч. 2 ст. 3 Закону України «Про Національну комісію, що здійснює державне регулювання у сферах енергетики та комунальних послуг» та ч. 1 ст. 3 Закону України «Про державне регулювання у сфері комунальних послуг» НКРЕКП встановлює тарифи на теплову енергію та комунальні послуги тим суб’єктам природних монополій та суб’єктам господарювання на суміжних ринках, ліцензування діяльності яких вона здійснює.</w:t>
      </w:r>
    </w:p>
    <w:p w:rsidR="00FC1A48" w:rsidRPr="00CF0756" w:rsidRDefault="00FC1A48" w:rsidP="00FC1A48">
      <w:pPr>
        <w:spacing w:after="0" w:line="240" w:lineRule="auto"/>
        <w:ind w:firstLine="709"/>
        <w:jc w:val="both"/>
      </w:pPr>
      <w:r w:rsidRPr="00CF0756">
        <w:t xml:space="preserve">У той же час щодо суб’єктів господарювання, які не належать до сфери регулювання НКРЕКП, тарифи на теплову енергію та комунальні послуги встановлюють органи місцевого самоврядування. Так, згідно з пп. 2 п. «а» ч. 1 ст. 28 Закону України «Про місцеве самоврядування в Україні» до відання виконавчих органів сільських, селищних, міських рад належить встановлення в порядку і межах, визначених законодавством, тарифів на побутові, комунальні (крім тарифів на теплову енергію, централізоване водопостачання та централізоване </w:t>
      </w:r>
      <w:r w:rsidRPr="00E57BFE">
        <w:t xml:space="preserve">водовідведення, послуги з постачання гарячої води, які встановлюються </w:t>
      </w:r>
      <w:r w:rsidR="00F55777" w:rsidRPr="00E57BFE">
        <w:t>НКРЕКП</w:t>
      </w:r>
      <w:r w:rsidRPr="00E57BFE">
        <w:t xml:space="preserve">), транспортні та інші послуги. Відтак, </w:t>
      </w:r>
      <w:r w:rsidRPr="00E57BFE">
        <w:rPr>
          <w:szCs w:val="28"/>
        </w:rPr>
        <w:t>зі змісту законопроекту незрозуміло</w:t>
      </w:r>
      <w:r w:rsidRPr="00CF0756">
        <w:rPr>
          <w:szCs w:val="28"/>
        </w:rPr>
        <w:t>, про яке саме рішення з питань встановле</w:t>
      </w:r>
      <w:r w:rsidR="00E57BFE">
        <w:rPr>
          <w:szCs w:val="28"/>
        </w:rPr>
        <w:t>ння тарифів на товари (послуги)</w:t>
      </w:r>
      <w:r w:rsidRPr="00CF0756">
        <w:rPr>
          <w:szCs w:val="28"/>
        </w:rPr>
        <w:t xml:space="preserve"> йдеться у п. 18 ч. 1 ст. 4 КАСУ (у редакції проекту), що не дозволяє оцінити обґрунтованість запропонованих змін.</w:t>
      </w:r>
    </w:p>
    <w:p w:rsidR="00481C33" w:rsidRPr="00CF0756" w:rsidRDefault="00FC1A48" w:rsidP="00726B90">
      <w:pPr>
        <w:spacing w:after="0" w:line="240" w:lineRule="auto"/>
        <w:ind w:firstLine="709"/>
        <w:jc w:val="both"/>
      </w:pPr>
      <w:r w:rsidRPr="00CF0756">
        <w:rPr>
          <w:b/>
          <w:bCs/>
        </w:rPr>
        <w:t>2</w:t>
      </w:r>
      <w:r w:rsidR="00F15459" w:rsidRPr="00CF0756">
        <w:rPr>
          <w:b/>
          <w:bCs/>
        </w:rPr>
        <w:t>.</w:t>
      </w:r>
      <w:r w:rsidR="00F15459" w:rsidRPr="00CF0756">
        <w:t xml:space="preserve"> </w:t>
      </w:r>
      <w:r w:rsidR="00B07D67" w:rsidRPr="00CF0756">
        <w:t xml:space="preserve">У законопроекті пропонується визначити, що </w:t>
      </w:r>
      <w:r w:rsidR="00B07D67" w:rsidRPr="00CF0756">
        <w:rPr>
          <w:i/>
          <w:iCs/>
        </w:rPr>
        <w:t>апеляційному адміністративному суду в апеляційному окрузі, що включає місто Київ</w:t>
      </w:r>
      <w:r w:rsidR="00B07D67" w:rsidRPr="00CF0756">
        <w:t xml:space="preserve">, як суду першої інстанції підсудні справи щодо </w:t>
      </w:r>
      <w:r w:rsidR="00B07D67" w:rsidRPr="00CF0756">
        <w:rPr>
          <w:i/>
        </w:rPr>
        <w:t>оскарження актів, дій чи бездіяльності</w:t>
      </w:r>
      <w:r w:rsidR="00B07D67" w:rsidRPr="00CF0756">
        <w:t xml:space="preserve"> Верховної Ради України, Президента України, Вищої ради правосуддя, Вищої кваліфікаційної комісії суддів України, а також справи щодо оскарження </w:t>
      </w:r>
      <w:r w:rsidR="00B07D67" w:rsidRPr="00CF0756">
        <w:rPr>
          <w:i/>
        </w:rPr>
        <w:t>нормативно-правових актів</w:t>
      </w:r>
      <w:r w:rsidR="00B07D67" w:rsidRPr="00CF0756">
        <w:t xml:space="preserve"> Кабінету Міністрів України</w:t>
      </w:r>
      <w:r w:rsidR="00481C33" w:rsidRPr="00CF0756">
        <w:t xml:space="preserve"> (див. абз. 2 ч. 4 ст. 22, </w:t>
      </w:r>
      <w:bookmarkStart w:id="0" w:name="_GoBack"/>
      <w:bookmarkEnd w:id="0"/>
      <w:r w:rsidR="00481C33" w:rsidRPr="00CF0756">
        <w:t>ч. 1 ст. 27 КАСУ в редакції проекту)</w:t>
      </w:r>
      <w:r w:rsidR="00B07D67" w:rsidRPr="00CF0756">
        <w:t>.</w:t>
      </w:r>
    </w:p>
    <w:p w:rsidR="00726B90" w:rsidRPr="00CF0756" w:rsidRDefault="001E246C" w:rsidP="00726B90">
      <w:pPr>
        <w:spacing w:after="0" w:line="240" w:lineRule="auto"/>
        <w:ind w:firstLine="709"/>
        <w:jc w:val="both"/>
      </w:pPr>
      <w:r w:rsidRPr="00CF0756">
        <w:rPr>
          <w:i/>
        </w:rPr>
        <w:lastRenderedPageBreak/>
        <w:t>П</w:t>
      </w:r>
      <w:r w:rsidR="00481C33" w:rsidRPr="00CF0756">
        <w:rPr>
          <w:i/>
        </w:rPr>
        <w:t>о-перше</w:t>
      </w:r>
      <w:r w:rsidR="00481C33" w:rsidRPr="00CF0756">
        <w:t xml:space="preserve">, </w:t>
      </w:r>
      <w:r w:rsidRPr="00CF0756">
        <w:t>запропоновані у проекті</w:t>
      </w:r>
      <w:r w:rsidR="00481C33" w:rsidRPr="00CF0756">
        <w:t xml:space="preserve"> змін</w:t>
      </w:r>
      <w:r w:rsidRPr="00CF0756">
        <w:t>и до</w:t>
      </w:r>
      <w:r w:rsidR="00481C33" w:rsidRPr="00CF0756">
        <w:t xml:space="preserve"> </w:t>
      </w:r>
      <w:r w:rsidRPr="00CF0756">
        <w:t xml:space="preserve">абз. 2 ч. 4 ст. 22, ч. 1 ст. 27 КАСУ не узгоджуються із приписами </w:t>
      </w:r>
      <w:r w:rsidR="00481C33" w:rsidRPr="00CF0756">
        <w:t>ч. 1 ст. 33 КАСУ, відповідно до якої а</w:t>
      </w:r>
      <w:r w:rsidR="00726B90" w:rsidRPr="00CF0756">
        <w:t xml:space="preserve">дміністративні справи, предметом оскарження в яких є </w:t>
      </w:r>
      <w:r w:rsidR="00726B90" w:rsidRPr="00CF0756">
        <w:rPr>
          <w:i/>
          <w:iCs/>
        </w:rPr>
        <w:t>рішення</w:t>
      </w:r>
      <w:r w:rsidR="00726B90" w:rsidRPr="00CF0756">
        <w:t xml:space="preserve">, дії чи бездіяльність </w:t>
      </w:r>
      <w:r w:rsidR="00726B90" w:rsidRPr="00CF0756">
        <w:rPr>
          <w:i/>
          <w:iCs/>
        </w:rPr>
        <w:t>Кабінету Міністрів України</w:t>
      </w:r>
      <w:r w:rsidR="00726B90" w:rsidRPr="00CF0756">
        <w:t>, Національного банку України, окружної виборчої комісії (окружної комісії з референдуму), розглядаються і вирішуються в адміністративному суді першої інстанції колегією у складі трьох суддів.</w:t>
      </w:r>
    </w:p>
    <w:p w:rsidR="000424A2" w:rsidRPr="00CF0756" w:rsidRDefault="000424A2" w:rsidP="00F15459">
      <w:pPr>
        <w:spacing w:after="0" w:line="240" w:lineRule="auto"/>
        <w:ind w:firstLine="709"/>
        <w:jc w:val="both"/>
      </w:pPr>
      <w:r w:rsidRPr="00CF0756">
        <w:t>З</w:t>
      </w:r>
      <w:r w:rsidR="00F15459" w:rsidRPr="00CF0756">
        <w:t xml:space="preserve">гідно з ч. 1 ст. 49 Закону України «Про Кабінет Міністрів України» </w:t>
      </w:r>
      <w:r w:rsidR="009E1204" w:rsidRPr="00CF0756">
        <w:t>Кабінет Міністрів України</w:t>
      </w:r>
      <w:r w:rsidR="00F15459" w:rsidRPr="00CF0756">
        <w:t xml:space="preserve"> </w:t>
      </w:r>
      <w:r w:rsidR="009E1204" w:rsidRPr="00CF0756">
        <w:t xml:space="preserve">(далі – КМУ) </w:t>
      </w:r>
      <w:r w:rsidR="00F15459" w:rsidRPr="00CF0756">
        <w:t xml:space="preserve">на основі та на виконання Конституції і законів України, актів Президента України, постанов Верховної Ради України, прийнятих відповідно до Конституції та законів України, видає обов’язкові для виконання акти – </w:t>
      </w:r>
      <w:r w:rsidR="00F15459" w:rsidRPr="00CF0756">
        <w:rPr>
          <w:i/>
        </w:rPr>
        <w:t>постанови і розпорядження</w:t>
      </w:r>
      <w:r w:rsidR="00F15459" w:rsidRPr="00CF0756">
        <w:t xml:space="preserve">. Акти КМУ нормативного характеру видаються у формі постанов КМУ. Акти КМУ з організаційно-розпорядчих та інших поточних питань видаються у формі розпоряджень КМУ. Тобто, у разі внесення запропонованих проектом змін справи щодо оскарження нормативно-правових актів КМУ будуть віднесені </w:t>
      </w:r>
      <w:r w:rsidRPr="00CF0756">
        <w:t xml:space="preserve">одночасно </w:t>
      </w:r>
      <w:r w:rsidR="00F15459" w:rsidRPr="00CF0756">
        <w:t xml:space="preserve">до підсудності </w:t>
      </w:r>
      <w:r w:rsidRPr="00CF0756">
        <w:t>як суду першої, так і суду апеляційної інстанцій.</w:t>
      </w:r>
    </w:p>
    <w:p w:rsidR="00FC1A48" w:rsidRPr="00E57BFE" w:rsidRDefault="000424A2" w:rsidP="007D4DBC">
      <w:pPr>
        <w:spacing w:after="0" w:line="240" w:lineRule="auto"/>
        <w:ind w:firstLine="709"/>
        <w:jc w:val="both"/>
        <w:rPr>
          <w:bCs/>
          <w:szCs w:val="28"/>
        </w:rPr>
      </w:pPr>
      <w:r w:rsidRPr="00CF0756">
        <w:rPr>
          <w:i/>
        </w:rPr>
        <w:t>По-друге</w:t>
      </w:r>
      <w:r w:rsidRPr="00CF0756">
        <w:t>, в</w:t>
      </w:r>
      <w:r w:rsidR="00F15459" w:rsidRPr="00CF0756">
        <w:t xml:space="preserve">ідповідно до ч. ч. 1, 2 ст. 36 Закону України «Про судоустрій і статус суддів» Верховний Суд як найвищий суд у системі правосуддя України, який забезпечує сталість та єдність судової практики у порядку та спосіб, визначені </w:t>
      </w:r>
      <w:r w:rsidR="00F15459" w:rsidRPr="00E57BFE">
        <w:t xml:space="preserve">процесуальним законом, уповноважений насамперед здійснювати правосуддя як суд касаційної інстанції, і лише у випадках, визначених процесуальним законом, </w:t>
      </w:r>
      <w:r w:rsidR="00FC1A48" w:rsidRPr="00E57BFE">
        <w:t>–</w:t>
      </w:r>
      <w:r w:rsidR="00F15459" w:rsidRPr="00E57BFE">
        <w:t xml:space="preserve"> як суд першої або апеляційної інстанції в порядку, встановленому процесуальним законом. </w:t>
      </w:r>
      <w:r w:rsidRPr="00E57BFE">
        <w:t>З метою уникнення надмірного навантаження на Верховний Суд, що може негативно позначит</w:t>
      </w:r>
      <w:r w:rsidR="00F55777" w:rsidRPr="00E57BFE">
        <w:t>и</w:t>
      </w:r>
      <w:r w:rsidRPr="00E57BFE">
        <w:t xml:space="preserve">ся на якості виконання </w:t>
      </w:r>
      <w:r w:rsidR="0031277E" w:rsidRPr="00E57BFE">
        <w:t xml:space="preserve">його </w:t>
      </w:r>
      <w:r w:rsidRPr="00E57BFE">
        <w:t>інших законодавчо визначених повноважень</w:t>
      </w:r>
      <w:r w:rsidR="00F55777" w:rsidRPr="00E57BFE">
        <w:t>,</w:t>
      </w:r>
      <w:r w:rsidR="00605047" w:rsidRPr="00E57BFE">
        <w:t xml:space="preserve"> цілком послідовною видається пропозиція </w:t>
      </w:r>
      <w:r w:rsidR="00FC1A48" w:rsidRPr="00E57BFE">
        <w:t xml:space="preserve">законопроекту </w:t>
      </w:r>
      <w:r w:rsidR="00605047" w:rsidRPr="00E57BFE">
        <w:t xml:space="preserve">передати окремі категорії спорів до підсудності </w:t>
      </w:r>
      <w:r w:rsidR="00605047" w:rsidRPr="00E57BFE">
        <w:rPr>
          <w:bCs/>
          <w:szCs w:val="28"/>
        </w:rPr>
        <w:t xml:space="preserve">апеляційного адміністративного суду в апеляційному окрузі, що включає місто Київ. </w:t>
      </w:r>
    </w:p>
    <w:p w:rsidR="00DC6205" w:rsidRDefault="00605047" w:rsidP="00DC6205">
      <w:pPr>
        <w:spacing w:after="0" w:line="240" w:lineRule="auto"/>
        <w:ind w:firstLine="709"/>
        <w:jc w:val="both"/>
      </w:pPr>
      <w:r w:rsidRPr="00E57BFE">
        <w:rPr>
          <w:bCs/>
          <w:szCs w:val="28"/>
        </w:rPr>
        <w:t xml:space="preserve">Водночас </w:t>
      </w:r>
      <w:r w:rsidR="00F15459" w:rsidRPr="00E57BFE">
        <w:t xml:space="preserve">з метою забезпечення однакового підходу до визначення підсудності судів кожної з судових ланок доцільно розглянути можливість віднесення </w:t>
      </w:r>
      <w:r w:rsidR="00CF5C9A" w:rsidRPr="00E57BFE">
        <w:t>до підсудності апеляційного</w:t>
      </w:r>
      <w:r w:rsidR="00CF5C9A" w:rsidRPr="00CF0756">
        <w:t xml:space="preserve"> адміністративного суду в апеляційному окрузі, що включає місто Київ</w:t>
      </w:r>
      <w:r w:rsidR="00DD15A2">
        <w:t>,</w:t>
      </w:r>
      <w:r w:rsidR="00CF5C9A" w:rsidRPr="00CF0756">
        <w:t xml:space="preserve"> справ щодо оскарження </w:t>
      </w:r>
      <w:r w:rsidR="00DC3726" w:rsidRPr="00CF0756">
        <w:t xml:space="preserve">не тільки </w:t>
      </w:r>
      <w:r w:rsidR="00CF5C9A" w:rsidRPr="00CF0756">
        <w:t>нормативно-</w:t>
      </w:r>
      <w:r w:rsidR="00DC3726">
        <w:t>правових актів</w:t>
      </w:r>
      <w:r w:rsidR="007D4DBC" w:rsidRPr="00CF0756">
        <w:t xml:space="preserve">, </w:t>
      </w:r>
      <w:r w:rsidR="00DC3726">
        <w:t>а</w:t>
      </w:r>
      <w:r w:rsidR="007D4DBC" w:rsidRPr="00CF0756">
        <w:t xml:space="preserve"> всіх</w:t>
      </w:r>
      <w:r w:rsidR="00F15459" w:rsidRPr="00CF0756">
        <w:t xml:space="preserve"> актів </w:t>
      </w:r>
      <w:r w:rsidR="00F60C36">
        <w:t>КМУ</w:t>
      </w:r>
      <w:r w:rsidR="00F15459" w:rsidRPr="00CF0756">
        <w:t xml:space="preserve">, </w:t>
      </w:r>
      <w:r w:rsidR="007D4DBC" w:rsidRPr="00CF0756">
        <w:t xml:space="preserve">а також </w:t>
      </w:r>
      <w:r w:rsidR="00F15459" w:rsidRPr="00CF0756">
        <w:t>міністерства чи іншого центрального органу виконавчої влади, Національного банку України чи іншого суб’єкта владних повноважень, повноваження якого поширюються на всю територію України</w:t>
      </w:r>
      <w:r w:rsidR="007D4DBC" w:rsidRPr="00CF0756">
        <w:t>.</w:t>
      </w:r>
    </w:p>
    <w:p w:rsidR="00DC6205" w:rsidRDefault="00DC6205" w:rsidP="00DC6205">
      <w:pPr>
        <w:spacing w:after="0" w:line="240" w:lineRule="auto"/>
        <w:ind w:firstLine="709"/>
        <w:jc w:val="both"/>
      </w:pPr>
      <w:r>
        <w:t xml:space="preserve">Що ж стосується </w:t>
      </w:r>
      <w:bookmarkStart w:id="1" w:name="_Hlk65586406"/>
      <w:r>
        <w:t>справ</w:t>
      </w:r>
      <w:r w:rsidRPr="00047545">
        <w:t xml:space="preserve"> щодо оскарження актів, дій чи безд</w:t>
      </w:r>
      <w:r w:rsidR="00DD15A2">
        <w:t>іяльності Вищої ради правосуддя та</w:t>
      </w:r>
      <w:r w:rsidRPr="00047545">
        <w:t xml:space="preserve"> Вищої кваліфікаційної комісії суддів України, </w:t>
      </w:r>
      <w:r w:rsidR="00DD15A2">
        <w:t>то оскільки вони</w:t>
      </w:r>
      <w:r w:rsidRPr="00047545">
        <w:t xml:space="preserve"> мають важливе значення для формування і функціонування суддівського корпусу, </w:t>
      </w:r>
      <w:r w:rsidR="00DD15A2">
        <w:t xml:space="preserve">підсудність таких справ, на наш погляд, слід залишити Верховному Суду як суду першої інстанції (див. чинну ч. 4 ст. 22 КАСУ). </w:t>
      </w:r>
    </w:p>
    <w:p w:rsidR="00DC4B8E" w:rsidRPr="00E57BFE" w:rsidRDefault="00A14CB3" w:rsidP="00DC4B8E">
      <w:pPr>
        <w:spacing w:after="0" w:line="240" w:lineRule="auto"/>
        <w:ind w:firstLine="709"/>
        <w:jc w:val="both"/>
        <w:rPr>
          <w:szCs w:val="28"/>
        </w:rPr>
      </w:pPr>
      <w:r w:rsidRPr="00CF0756">
        <w:rPr>
          <w:b/>
          <w:bCs/>
          <w:szCs w:val="28"/>
        </w:rPr>
        <w:t>3.</w:t>
      </w:r>
      <w:r w:rsidRPr="00CF0756">
        <w:rPr>
          <w:szCs w:val="28"/>
        </w:rPr>
        <w:t xml:space="preserve"> </w:t>
      </w:r>
      <w:r w:rsidR="00DC4B8E" w:rsidRPr="00CF0756">
        <w:rPr>
          <w:szCs w:val="28"/>
        </w:rPr>
        <w:t>Адміністративні справи, зазначені у п. п. 1</w:t>
      </w:r>
      <w:r w:rsidR="00910802" w:rsidRPr="00CF0756">
        <w:rPr>
          <w:szCs w:val="28"/>
        </w:rPr>
        <w:t xml:space="preserve"> – </w:t>
      </w:r>
      <w:r w:rsidR="00DC4B8E" w:rsidRPr="00CF0756">
        <w:rPr>
          <w:szCs w:val="28"/>
        </w:rPr>
        <w:t xml:space="preserve">3 ч. 1 </w:t>
      </w:r>
      <w:r w:rsidR="00910802" w:rsidRPr="00CF0756">
        <w:rPr>
          <w:szCs w:val="28"/>
        </w:rPr>
        <w:t xml:space="preserve">ст. 266 КАСУ, </w:t>
      </w:r>
      <w:r w:rsidR="00DC4B8E" w:rsidRPr="00CF0756">
        <w:rPr>
          <w:szCs w:val="28"/>
        </w:rPr>
        <w:t xml:space="preserve">розглядаються у порядку спрощеного позовного провадження </w:t>
      </w:r>
      <w:r w:rsidR="00DC4B8E" w:rsidRPr="00CF0756">
        <w:rPr>
          <w:i/>
          <w:iCs/>
          <w:szCs w:val="28"/>
        </w:rPr>
        <w:t>Верховним Судом</w:t>
      </w:r>
      <w:r w:rsidR="00DC4B8E" w:rsidRPr="00CF0756">
        <w:rPr>
          <w:szCs w:val="28"/>
        </w:rPr>
        <w:t xml:space="preserve"> у складі колегії Касаційного адміністративного суду не менше ніж з п’яти суддів. </w:t>
      </w:r>
      <w:r w:rsidR="00DC4B8E" w:rsidRPr="00CF0756">
        <w:rPr>
          <w:szCs w:val="28"/>
        </w:rPr>
        <w:lastRenderedPageBreak/>
        <w:t xml:space="preserve">На рішення Вищої ради правосуддя, ухвалене за результатами розгляду скарги на рішення </w:t>
      </w:r>
      <w:r w:rsidR="00DC4B8E" w:rsidRPr="00E57BFE">
        <w:rPr>
          <w:szCs w:val="28"/>
        </w:rPr>
        <w:t xml:space="preserve">її Дисциплінарних палат, може бути подана скарга до </w:t>
      </w:r>
      <w:r w:rsidR="00DC4B8E" w:rsidRPr="00E57BFE">
        <w:rPr>
          <w:i/>
          <w:iCs/>
          <w:szCs w:val="28"/>
        </w:rPr>
        <w:t>Великої Палати Верховного Суду</w:t>
      </w:r>
      <w:r w:rsidR="00DC4B8E" w:rsidRPr="00E57BFE">
        <w:rPr>
          <w:szCs w:val="28"/>
        </w:rPr>
        <w:t xml:space="preserve">. Така скарга розглядається за правилами касаційного провадження, встановленими </w:t>
      </w:r>
      <w:r w:rsidR="00F55777" w:rsidRPr="00E57BFE">
        <w:rPr>
          <w:szCs w:val="28"/>
        </w:rPr>
        <w:t>КАСУ</w:t>
      </w:r>
      <w:r w:rsidR="00E57BFE" w:rsidRPr="00E57BFE">
        <w:rPr>
          <w:szCs w:val="28"/>
        </w:rPr>
        <w:t xml:space="preserve"> </w:t>
      </w:r>
      <w:r w:rsidR="00DC4B8E" w:rsidRPr="00E57BFE">
        <w:rPr>
          <w:szCs w:val="28"/>
        </w:rPr>
        <w:t>(див. ч. ч. 2, 7 ст. 266 КАСУ).</w:t>
      </w:r>
    </w:p>
    <w:p w:rsidR="00D13285" w:rsidRPr="00CF0756" w:rsidRDefault="00DC4B8E" w:rsidP="005F1C7A">
      <w:pPr>
        <w:spacing w:after="0" w:line="240" w:lineRule="auto"/>
        <w:ind w:firstLine="709"/>
        <w:jc w:val="both"/>
        <w:rPr>
          <w:szCs w:val="28"/>
        </w:rPr>
      </w:pPr>
      <w:r w:rsidRPr="00E57BFE">
        <w:rPr>
          <w:szCs w:val="28"/>
        </w:rPr>
        <w:t>Законопроектом в</w:t>
      </w:r>
      <w:r w:rsidR="000436F4" w:rsidRPr="00E57BFE">
        <w:rPr>
          <w:szCs w:val="28"/>
        </w:rPr>
        <w:t xml:space="preserve"> ч. 2 ст. </w:t>
      </w:r>
      <w:r w:rsidR="002A1001" w:rsidRPr="00E57BFE">
        <w:rPr>
          <w:szCs w:val="28"/>
        </w:rPr>
        <w:t>266 КАСУ пропонується визначити, що а</w:t>
      </w:r>
      <w:r w:rsidR="000436F4" w:rsidRPr="00E57BFE">
        <w:rPr>
          <w:szCs w:val="28"/>
        </w:rPr>
        <w:t xml:space="preserve">дміністративні справи, зазначені у </w:t>
      </w:r>
      <w:r w:rsidR="000436F4" w:rsidRPr="00E57BFE">
        <w:rPr>
          <w:i/>
          <w:szCs w:val="28"/>
        </w:rPr>
        <w:t>п</w:t>
      </w:r>
      <w:r w:rsidR="002A1001" w:rsidRPr="00E57BFE">
        <w:rPr>
          <w:i/>
          <w:szCs w:val="28"/>
        </w:rPr>
        <w:t>. п.</w:t>
      </w:r>
      <w:r w:rsidR="000436F4" w:rsidRPr="00E57BFE">
        <w:rPr>
          <w:i/>
          <w:szCs w:val="28"/>
        </w:rPr>
        <w:t xml:space="preserve"> 1</w:t>
      </w:r>
      <w:r w:rsidR="00910802" w:rsidRPr="00E57BFE">
        <w:rPr>
          <w:i/>
          <w:szCs w:val="28"/>
        </w:rPr>
        <w:t xml:space="preserve"> </w:t>
      </w:r>
      <w:r w:rsidR="000436F4" w:rsidRPr="00E57BFE">
        <w:rPr>
          <w:i/>
          <w:szCs w:val="28"/>
        </w:rPr>
        <w:t>-</w:t>
      </w:r>
      <w:r w:rsidR="00910802" w:rsidRPr="00E57BFE">
        <w:rPr>
          <w:i/>
          <w:szCs w:val="28"/>
        </w:rPr>
        <w:t xml:space="preserve"> </w:t>
      </w:r>
      <w:r w:rsidR="000436F4" w:rsidRPr="00E57BFE">
        <w:rPr>
          <w:i/>
          <w:szCs w:val="28"/>
        </w:rPr>
        <w:t>3</w:t>
      </w:r>
      <w:r w:rsidR="000436F4" w:rsidRPr="00E57BFE">
        <w:rPr>
          <w:szCs w:val="28"/>
        </w:rPr>
        <w:t xml:space="preserve"> ч</w:t>
      </w:r>
      <w:r w:rsidR="002A1001" w:rsidRPr="00E57BFE">
        <w:rPr>
          <w:szCs w:val="28"/>
        </w:rPr>
        <w:t>. 1</w:t>
      </w:r>
      <w:r w:rsidR="000436F4" w:rsidRPr="00E57BFE">
        <w:rPr>
          <w:szCs w:val="28"/>
        </w:rPr>
        <w:t xml:space="preserve"> цієї статті, розглядаються у порядку спрощеного позовного провадження апеляційним адміністративним судом в апеляційному окрузі, що включає місто Київ, у складі колегії не менше ніж з трьох суддів.</w:t>
      </w:r>
      <w:r w:rsidRPr="00E57BFE">
        <w:rPr>
          <w:szCs w:val="28"/>
        </w:rPr>
        <w:t xml:space="preserve"> При цьому</w:t>
      </w:r>
      <w:r w:rsidR="00F55777" w:rsidRPr="00E57BFE">
        <w:rPr>
          <w:szCs w:val="28"/>
        </w:rPr>
        <w:t>,</w:t>
      </w:r>
      <w:r w:rsidRPr="00E57BFE">
        <w:rPr>
          <w:szCs w:val="28"/>
        </w:rPr>
        <w:t xml:space="preserve"> ч. 7 ст. 266 КАСУ пропонується виключити. </w:t>
      </w:r>
      <w:r w:rsidR="001718D7" w:rsidRPr="00E57BFE">
        <w:rPr>
          <w:szCs w:val="28"/>
        </w:rPr>
        <w:t>Відтак, залишається неврегульованим порядок</w:t>
      </w:r>
      <w:r w:rsidR="001718D7" w:rsidRPr="00CF0756">
        <w:rPr>
          <w:szCs w:val="28"/>
        </w:rPr>
        <w:t xml:space="preserve"> розгляду адміністративних справ, визначених в п. 4 ч. 1 ст. 266 КАСУ</w:t>
      </w:r>
      <w:r w:rsidR="00695F2F" w:rsidRPr="00CF0756">
        <w:rPr>
          <w:szCs w:val="28"/>
        </w:rPr>
        <w:t xml:space="preserve"> (щодо законності рішень Вищої ради правосуддя, ухвалених за результатами розгляду скарг на рішення її Дисциплінарних палат)</w:t>
      </w:r>
      <w:r w:rsidR="001718D7" w:rsidRPr="00CF0756">
        <w:rPr>
          <w:szCs w:val="28"/>
        </w:rPr>
        <w:t>.</w:t>
      </w:r>
    </w:p>
    <w:p w:rsidR="00DC4B8E" w:rsidRPr="00CF0756" w:rsidRDefault="00DC4B8E" w:rsidP="005F1C7A">
      <w:pPr>
        <w:spacing w:after="0" w:line="240" w:lineRule="auto"/>
        <w:ind w:firstLine="709"/>
        <w:jc w:val="both"/>
        <w:rPr>
          <w:szCs w:val="28"/>
        </w:rPr>
      </w:pPr>
    </w:p>
    <w:p w:rsidR="00DC4B8E" w:rsidRPr="00CF0756" w:rsidRDefault="00DC4B8E" w:rsidP="005F1C7A">
      <w:pPr>
        <w:spacing w:after="0" w:line="240" w:lineRule="auto"/>
        <w:ind w:firstLine="709"/>
        <w:jc w:val="both"/>
        <w:rPr>
          <w:szCs w:val="28"/>
        </w:rPr>
      </w:pPr>
    </w:p>
    <w:bookmarkEnd w:id="1"/>
    <w:p w:rsidR="003E43BF" w:rsidRPr="00CF0756" w:rsidRDefault="003E43BF" w:rsidP="005B76BB">
      <w:pPr>
        <w:pStyle w:val="a3"/>
        <w:ind w:firstLine="709"/>
        <w:rPr>
          <w:rFonts w:ascii="Times New Roman" w:eastAsia="Calibri" w:hAnsi="Times New Roman" w:cs="Times New Roman"/>
          <w:bCs/>
          <w:color w:val="000000"/>
          <w:lang w:eastAsia="en-US"/>
        </w:rPr>
      </w:pPr>
      <w:r w:rsidRPr="00CF0756">
        <w:rPr>
          <w:rFonts w:ascii="Times New Roman" w:eastAsia="Calibri" w:hAnsi="Times New Roman" w:cs="Times New Roman"/>
          <w:bCs/>
          <w:lang w:eastAsia="en-US"/>
        </w:rPr>
        <w:t xml:space="preserve">Керівник Головного управління                                               </w:t>
      </w:r>
      <w:r w:rsidR="00012FE7" w:rsidRPr="00CF0756">
        <w:rPr>
          <w:rFonts w:ascii="Times New Roman" w:eastAsia="Calibri" w:hAnsi="Times New Roman" w:cs="Times New Roman"/>
          <w:bCs/>
          <w:lang w:eastAsia="en-US"/>
        </w:rPr>
        <w:t xml:space="preserve">    </w:t>
      </w:r>
      <w:r w:rsidRPr="00CF0756">
        <w:rPr>
          <w:rFonts w:ascii="Times New Roman" w:eastAsia="Calibri" w:hAnsi="Times New Roman" w:cs="Times New Roman"/>
          <w:bCs/>
          <w:color w:val="000000"/>
          <w:lang w:eastAsia="en-US"/>
        </w:rPr>
        <w:t xml:space="preserve">С. Тихонюк     </w:t>
      </w:r>
    </w:p>
    <w:p w:rsidR="003E43BF" w:rsidRPr="00CF0756" w:rsidRDefault="003E43BF" w:rsidP="005B76BB">
      <w:pPr>
        <w:pStyle w:val="a3"/>
        <w:ind w:firstLine="709"/>
        <w:rPr>
          <w:rFonts w:ascii="Times New Roman" w:eastAsia="Calibri" w:hAnsi="Times New Roman" w:cs="Times New Roman"/>
          <w:bCs/>
          <w:color w:val="000000"/>
          <w:lang w:eastAsia="en-US"/>
        </w:rPr>
      </w:pPr>
    </w:p>
    <w:p w:rsidR="00D333DB" w:rsidRPr="00CF0756" w:rsidRDefault="00D333DB" w:rsidP="005B76BB">
      <w:pPr>
        <w:pStyle w:val="a3"/>
        <w:ind w:firstLine="709"/>
        <w:rPr>
          <w:rFonts w:ascii="Times New Roman" w:eastAsia="Calibri" w:hAnsi="Times New Roman" w:cs="Times New Roman"/>
          <w:bCs/>
          <w:color w:val="000000"/>
          <w:lang w:eastAsia="en-US"/>
        </w:rPr>
      </w:pPr>
    </w:p>
    <w:p w:rsidR="00614E83" w:rsidRPr="00CF0756" w:rsidRDefault="00614E83" w:rsidP="005B76BB">
      <w:pPr>
        <w:widowControl w:val="0"/>
        <w:spacing w:after="0" w:line="240" w:lineRule="auto"/>
        <w:ind w:firstLine="709"/>
        <w:jc w:val="both"/>
        <w:rPr>
          <w:color w:val="000000" w:themeColor="text1"/>
          <w:sz w:val="20"/>
          <w:szCs w:val="20"/>
        </w:rPr>
      </w:pPr>
      <w:r w:rsidRPr="00CF0756">
        <w:rPr>
          <w:color w:val="000000" w:themeColor="text1"/>
          <w:sz w:val="20"/>
          <w:szCs w:val="20"/>
        </w:rPr>
        <w:t>Вик.: В. Попович,</w:t>
      </w:r>
      <w:r w:rsidR="00D51ADD" w:rsidRPr="00CF0756">
        <w:rPr>
          <w:color w:val="000000" w:themeColor="text1"/>
          <w:sz w:val="20"/>
          <w:szCs w:val="20"/>
        </w:rPr>
        <w:t xml:space="preserve"> </w:t>
      </w:r>
      <w:r w:rsidR="00684B4A" w:rsidRPr="00CF0756">
        <w:rPr>
          <w:color w:val="000000" w:themeColor="text1"/>
          <w:sz w:val="20"/>
          <w:szCs w:val="20"/>
        </w:rPr>
        <w:t>І. Кунець</w:t>
      </w:r>
    </w:p>
    <w:p w:rsidR="003E43BF" w:rsidRPr="00CF0756" w:rsidRDefault="003E43BF" w:rsidP="005B76BB">
      <w:pPr>
        <w:widowControl w:val="0"/>
        <w:spacing w:after="0" w:line="240" w:lineRule="auto"/>
        <w:ind w:firstLine="709"/>
        <w:jc w:val="both"/>
        <w:rPr>
          <w:sz w:val="20"/>
          <w:szCs w:val="20"/>
        </w:rPr>
      </w:pPr>
    </w:p>
    <w:p w:rsidR="003A2A4C" w:rsidRPr="00CF0756" w:rsidRDefault="003A2A4C" w:rsidP="005B76BB">
      <w:pPr>
        <w:spacing w:after="0" w:line="240" w:lineRule="auto"/>
        <w:ind w:firstLine="709"/>
      </w:pPr>
    </w:p>
    <w:sectPr w:rsidR="003A2A4C" w:rsidRPr="00CF0756" w:rsidSect="005B76BB">
      <w:headerReference w:type="default" r:id="rId8"/>
      <w:footerReference w:type="even" r:id="rId9"/>
      <w:headerReference w:type="first" r:id="rId10"/>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4B72" w:rsidRDefault="00104B72" w:rsidP="003E43BF">
      <w:pPr>
        <w:spacing w:after="0" w:line="240" w:lineRule="auto"/>
      </w:pPr>
      <w:r>
        <w:separator/>
      </w:r>
    </w:p>
  </w:endnote>
  <w:endnote w:type="continuationSeparator" w:id="0">
    <w:p w:rsidR="00104B72" w:rsidRDefault="00104B72" w:rsidP="003E43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2593" w:rsidRDefault="00C874D3" w:rsidP="004B2593">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2</w:t>
    </w:r>
    <w:r>
      <w:rPr>
        <w:rStyle w:val="a9"/>
      </w:rPr>
      <w:fldChar w:fldCharType="end"/>
    </w:r>
  </w:p>
  <w:p w:rsidR="004B2593" w:rsidRDefault="00104B72" w:rsidP="004B2593">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4B72" w:rsidRDefault="00104B72" w:rsidP="003E43BF">
      <w:pPr>
        <w:spacing w:after="0" w:line="240" w:lineRule="auto"/>
      </w:pPr>
      <w:r>
        <w:separator/>
      </w:r>
    </w:p>
  </w:footnote>
  <w:footnote w:type="continuationSeparator" w:id="0">
    <w:p w:rsidR="00104B72" w:rsidRDefault="00104B72" w:rsidP="003E43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2593" w:rsidRDefault="00C874D3" w:rsidP="005B76BB">
    <w:pPr>
      <w:pStyle w:val="a5"/>
      <w:jc w:val="center"/>
    </w:pPr>
    <w:r>
      <w:fldChar w:fldCharType="begin"/>
    </w:r>
    <w:r>
      <w:instrText>PAGE   \* MERGEFORMAT</w:instrText>
    </w:r>
    <w:r>
      <w:fldChar w:fldCharType="separate"/>
    </w:r>
    <w:r w:rsidR="00C75202">
      <w:rPr>
        <w:noProof/>
      </w:rPr>
      <w:t>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2593" w:rsidRDefault="00C874D3" w:rsidP="0034099D">
    <w:pPr>
      <w:pStyle w:val="a5"/>
      <w:jc w:val="right"/>
      <w:rPr>
        <w:sz w:val="20"/>
        <w:szCs w:val="20"/>
      </w:rPr>
    </w:pPr>
    <w:r w:rsidRPr="009B655C">
      <w:rPr>
        <w:sz w:val="20"/>
        <w:szCs w:val="20"/>
      </w:rPr>
      <w:t xml:space="preserve">До </w:t>
    </w:r>
    <w:r>
      <w:rPr>
        <w:sz w:val="20"/>
        <w:szCs w:val="20"/>
      </w:rPr>
      <w:t xml:space="preserve">реєстр. № </w:t>
    </w:r>
    <w:r w:rsidR="001E04C0">
      <w:rPr>
        <w:sz w:val="20"/>
        <w:szCs w:val="20"/>
      </w:rPr>
      <w:t>5067</w:t>
    </w:r>
    <w:r w:rsidR="00C54D66">
      <w:rPr>
        <w:sz w:val="20"/>
        <w:szCs w:val="20"/>
      </w:rPr>
      <w:t>-1</w:t>
    </w:r>
    <w:r w:rsidRPr="009B655C">
      <w:rPr>
        <w:sz w:val="20"/>
        <w:szCs w:val="20"/>
        <w:lang w:val="ru-RU"/>
      </w:rPr>
      <w:t xml:space="preserve"> </w:t>
    </w:r>
    <w:r w:rsidRPr="009B655C">
      <w:rPr>
        <w:sz w:val="20"/>
        <w:szCs w:val="20"/>
      </w:rPr>
      <w:t xml:space="preserve">від </w:t>
    </w:r>
    <w:r w:rsidR="003E43BF" w:rsidRPr="003E43BF">
      <w:rPr>
        <w:sz w:val="20"/>
        <w:szCs w:val="20"/>
      </w:rPr>
      <w:t>1</w:t>
    </w:r>
    <w:r w:rsidR="00C54D66">
      <w:rPr>
        <w:sz w:val="20"/>
        <w:szCs w:val="20"/>
      </w:rPr>
      <w:t>7</w:t>
    </w:r>
    <w:r w:rsidR="003E43BF" w:rsidRPr="003E43BF">
      <w:rPr>
        <w:sz w:val="20"/>
        <w:szCs w:val="20"/>
      </w:rPr>
      <w:t>.</w:t>
    </w:r>
    <w:r w:rsidR="001E04C0">
      <w:rPr>
        <w:sz w:val="20"/>
        <w:szCs w:val="20"/>
      </w:rPr>
      <w:t>0</w:t>
    </w:r>
    <w:r w:rsidR="003E43BF" w:rsidRPr="003E43BF">
      <w:rPr>
        <w:sz w:val="20"/>
        <w:szCs w:val="20"/>
      </w:rPr>
      <w:t>2.202</w:t>
    </w:r>
    <w:r w:rsidR="001E04C0">
      <w:rPr>
        <w:sz w:val="20"/>
        <w:szCs w:val="20"/>
      </w:rPr>
      <w:t>1</w:t>
    </w:r>
  </w:p>
  <w:p w:rsidR="004B2593" w:rsidRDefault="00C54D66" w:rsidP="004B2593">
    <w:pPr>
      <w:pStyle w:val="a5"/>
      <w:jc w:val="right"/>
      <w:rPr>
        <w:sz w:val="20"/>
        <w:szCs w:val="20"/>
      </w:rPr>
    </w:pPr>
    <w:r>
      <w:rPr>
        <w:sz w:val="20"/>
        <w:szCs w:val="20"/>
      </w:rPr>
      <w:t xml:space="preserve">Народний депутат </w:t>
    </w:r>
    <w:r w:rsidR="00C874D3">
      <w:rPr>
        <w:sz w:val="20"/>
        <w:szCs w:val="20"/>
      </w:rPr>
      <w:t xml:space="preserve">України </w:t>
    </w:r>
  </w:p>
  <w:p w:rsidR="004B2593" w:rsidRPr="008B2099" w:rsidRDefault="00C54D66" w:rsidP="003E43BF">
    <w:pPr>
      <w:pStyle w:val="a5"/>
      <w:jc w:val="right"/>
      <w:rPr>
        <w:sz w:val="20"/>
        <w:szCs w:val="20"/>
      </w:rPr>
    </w:pPr>
    <w:r>
      <w:rPr>
        <w:sz w:val="20"/>
        <w:szCs w:val="20"/>
      </w:rPr>
      <w:t>Г. Мамка</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1A432A"/>
    <w:multiLevelType w:val="hybridMultilevel"/>
    <w:tmpl w:val="7102E34A"/>
    <w:numStyleLink w:val="8"/>
  </w:abstractNum>
  <w:abstractNum w:abstractNumId="1" w15:restartNumberingAfterBreak="0">
    <w:nsid w:val="7AF314E1"/>
    <w:multiLevelType w:val="hybridMultilevel"/>
    <w:tmpl w:val="7102E34A"/>
    <w:styleLink w:val="8"/>
    <w:lvl w:ilvl="0" w:tplc="4414136E">
      <w:start w:val="1"/>
      <w:numFmt w:val="decimal"/>
      <w:suff w:val="nothing"/>
      <w:lvlText w:val="%1)"/>
      <w:lvlJc w:val="left"/>
      <w:pPr>
        <w:tabs>
          <w:tab w:val="left" w:pos="142"/>
          <w:tab w:val="left" w:pos="567"/>
        </w:tabs>
        <w:ind w:left="142" w:firstLine="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98985E">
      <w:start w:val="1"/>
      <w:numFmt w:val="lowerLetter"/>
      <w:lvlText w:val="%2."/>
      <w:lvlJc w:val="left"/>
      <w:pPr>
        <w:tabs>
          <w:tab w:val="left" w:pos="142"/>
          <w:tab w:val="left" w:pos="567"/>
        </w:tabs>
        <w:ind w:left="840" w:hanging="27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44CF72E">
      <w:start w:val="1"/>
      <w:numFmt w:val="lowerRoman"/>
      <w:lvlText w:val="%3."/>
      <w:lvlJc w:val="left"/>
      <w:pPr>
        <w:tabs>
          <w:tab w:val="left" w:pos="142"/>
          <w:tab w:val="left" w:pos="567"/>
        </w:tabs>
        <w:ind w:left="1440" w:hanging="2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328BFC0">
      <w:start w:val="1"/>
      <w:numFmt w:val="decimal"/>
      <w:lvlText w:val="%4."/>
      <w:lvlJc w:val="left"/>
      <w:pPr>
        <w:tabs>
          <w:tab w:val="left" w:pos="142"/>
          <w:tab w:val="left" w:pos="567"/>
        </w:tabs>
        <w:ind w:left="2160" w:hanging="25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15065D2">
      <w:start w:val="1"/>
      <w:numFmt w:val="lowerLetter"/>
      <w:lvlText w:val="%5."/>
      <w:lvlJc w:val="left"/>
      <w:pPr>
        <w:tabs>
          <w:tab w:val="left" w:pos="142"/>
          <w:tab w:val="left" w:pos="567"/>
        </w:tabs>
        <w:ind w:left="2880" w:hanging="2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E746DE8">
      <w:start w:val="1"/>
      <w:numFmt w:val="lowerRoman"/>
      <w:lvlText w:val="%6."/>
      <w:lvlJc w:val="left"/>
      <w:pPr>
        <w:tabs>
          <w:tab w:val="left" w:pos="142"/>
          <w:tab w:val="left" w:pos="567"/>
          <w:tab w:val="num" w:pos="4167"/>
        </w:tabs>
        <w:ind w:left="3600"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6008AC4">
      <w:start w:val="1"/>
      <w:numFmt w:val="decimal"/>
      <w:lvlText w:val="%7."/>
      <w:lvlJc w:val="left"/>
      <w:pPr>
        <w:tabs>
          <w:tab w:val="left" w:pos="142"/>
          <w:tab w:val="left" w:pos="567"/>
          <w:tab w:val="num" w:pos="4887"/>
        </w:tabs>
        <w:ind w:left="4320" w:hanging="21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3B8FB14">
      <w:start w:val="1"/>
      <w:numFmt w:val="lowerLetter"/>
      <w:lvlText w:val="%8."/>
      <w:lvlJc w:val="left"/>
      <w:pPr>
        <w:tabs>
          <w:tab w:val="left" w:pos="142"/>
          <w:tab w:val="left" w:pos="567"/>
          <w:tab w:val="num" w:pos="5607"/>
        </w:tabs>
        <w:ind w:left="5040" w:hanging="20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75C977E">
      <w:start w:val="1"/>
      <w:numFmt w:val="lowerRoman"/>
      <w:lvlText w:val="%9."/>
      <w:lvlJc w:val="left"/>
      <w:pPr>
        <w:tabs>
          <w:tab w:val="left" w:pos="142"/>
          <w:tab w:val="left" w:pos="567"/>
          <w:tab w:val="num" w:pos="6327"/>
        </w:tabs>
        <w:ind w:left="5760" w:hanging="1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43BF"/>
    <w:rsid w:val="00006DB0"/>
    <w:rsid w:val="00012FE7"/>
    <w:rsid w:val="00014598"/>
    <w:rsid w:val="00015CCA"/>
    <w:rsid w:val="00030C30"/>
    <w:rsid w:val="00037321"/>
    <w:rsid w:val="000424A2"/>
    <w:rsid w:val="000436F4"/>
    <w:rsid w:val="000474D8"/>
    <w:rsid w:val="00072A2A"/>
    <w:rsid w:val="00077FE9"/>
    <w:rsid w:val="00084AEC"/>
    <w:rsid w:val="000A762C"/>
    <w:rsid w:val="000B1135"/>
    <w:rsid w:val="000B69E1"/>
    <w:rsid w:val="000E56E0"/>
    <w:rsid w:val="000F7CE1"/>
    <w:rsid w:val="00104B72"/>
    <w:rsid w:val="0010643D"/>
    <w:rsid w:val="00107017"/>
    <w:rsid w:val="00112C2E"/>
    <w:rsid w:val="001149CB"/>
    <w:rsid w:val="001204DD"/>
    <w:rsid w:val="00150C32"/>
    <w:rsid w:val="0016161A"/>
    <w:rsid w:val="001633E6"/>
    <w:rsid w:val="001718D7"/>
    <w:rsid w:val="0017416C"/>
    <w:rsid w:val="00177ACD"/>
    <w:rsid w:val="0018241F"/>
    <w:rsid w:val="0019159A"/>
    <w:rsid w:val="00196163"/>
    <w:rsid w:val="001B1941"/>
    <w:rsid w:val="001C15AC"/>
    <w:rsid w:val="001C6B6D"/>
    <w:rsid w:val="001E04C0"/>
    <w:rsid w:val="001E246C"/>
    <w:rsid w:val="001E6EA3"/>
    <w:rsid w:val="001E7209"/>
    <w:rsid w:val="00202612"/>
    <w:rsid w:val="00233D62"/>
    <w:rsid w:val="00236363"/>
    <w:rsid w:val="00264C5B"/>
    <w:rsid w:val="00267858"/>
    <w:rsid w:val="00285FCD"/>
    <w:rsid w:val="00291CD6"/>
    <w:rsid w:val="002A1001"/>
    <w:rsid w:val="002A455C"/>
    <w:rsid w:val="002B2A16"/>
    <w:rsid w:val="002B7766"/>
    <w:rsid w:val="002D2A89"/>
    <w:rsid w:val="002D5D36"/>
    <w:rsid w:val="002D6E78"/>
    <w:rsid w:val="002F0C93"/>
    <w:rsid w:val="003008B9"/>
    <w:rsid w:val="0031277E"/>
    <w:rsid w:val="003171B4"/>
    <w:rsid w:val="00336873"/>
    <w:rsid w:val="00340D2A"/>
    <w:rsid w:val="0035165F"/>
    <w:rsid w:val="00360183"/>
    <w:rsid w:val="00364058"/>
    <w:rsid w:val="00371239"/>
    <w:rsid w:val="00383103"/>
    <w:rsid w:val="003914D7"/>
    <w:rsid w:val="003A07EC"/>
    <w:rsid w:val="003A2A4C"/>
    <w:rsid w:val="003A52E4"/>
    <w:rsid w:val="003B14B7"/>
    <w:rsid w:val="003B26A5"/>
    <w:rsid w:val="003B7F0F"/>
    <w:rsid w:val="003C1E30"/>
    <w:rsid w:val="003D09BC"/>
    <w:rsid w:val="003D70CD"/>
    <w:rsid w:val="003E43BF"/>
    <w:rsid w:val="003F007E"/>
    <w:rsid w:val="003F16D8"/>
    <w:rsid w:val="00400359"/>
    <w:rsid w:val="0040559B"/>
    <w:rsid w:val="00406A49"/>
    <w:rsid w:val="0041747C"/>
    <w:rsid w:val="00422373"/>
    <w:rsid w:val="00445E88"/>
    <w:rsid w:val="0046418C"/>
    <w:rsid w:val="00465EEE"/>
    <w:rsid w:val="00481C33"/>
    <w:rsid w:val="00490359"/>
    <w:rsid w:val="004C004E"/>
    <w:rsid w:val="004F3BCB"/>
    <w:rsid w:val="004F4559"/>
    <w:rsid w:val="00531832"/>
    <w:rsid w:val="005333BB"/>
    <w:rsid w:val="00537135"/>
    <w:rsid w:val="00550891"/>
    <w:rsid w:val="00572288"/>
    <w:rsid w:val="005730AB"/>
    <w:rsid w:val="005832E1"/>
    <w:rsid w:val="00591B69"/>
    <w:rsid w:val="0059471C"/>
    <w:rsid w:val="005B448B"/>
    <w:rsid w:val="005B66DC"/>
    <w:rsid w:val="005B76BB"/>
    <w:rsid w:val="005C7DB1"/>
    <w:rsid w:val="005D51FD"/>
    <w:rsid w:val="005D5D25"/>
    <w:rsid w:val="005E50FF"/>
    <w:rsid w:val="005F1C7A"/>
    <w:rsid w:val="005F1E89"/>
    <w:rsid w:val="00605047"/>
    <w:rsid w:val="00611FFD"/>
    <w:rsid w:val="00614E83"/>
    <w:rsid w:val="00626F31"/>
    <w:rsid w:val="00634648"/>
    <w:rsid w:val="00641AE7"/>
    <w:rsid w:val="0067666A"/>
    <w:rsid w:val="006832E6"/>
    <w:rsid w:val="00684B4A"/>
    <w:rsid w:val="0068685D"/>
    <w:rsid w:val="00690A9A"/>
    <w:rsid w:val="0069441C"/>
    <w:rsid w:val="00695F2F"/>
    <w:rsid w:val="00697322"/>
    <w:rsid w:val="006A737C"/>
    <w:rsid w:val="006C777A"/>
    <w:rsid w:val="006E2CBD"/>
    <w:rsid w:val="006F3184"/>
    <w:rsid w:val="007033D8"/>
    <w:rsid w:val="00703C1F"/>
    <w:rsid w:val="007220F5"/>
    <w:rsid w:val="00726B90"/>
    <w:rsid w:val="007341F4"/>
    <w:rsid w:val="00752191"/>
    <w:rsid w:val="007731CF"/>
    <w:rsid w:val="00797A05"/>
    <w:rsid w:val="007A6A7B"/>
    <w:rsid w:val="007B0153"/>
    <w:rsid w:val="007B4893"/>
    <w:rsid w:val="007D4B27"/>
    <w:rsid w:val="007D4DBC"/>
    <w:rsid w:val="007F3D53"/>
    <w:rsid w:val="00815C30"/>
    <w:rsid w:val="00821D70"/>
    <w:rsid w:val="00823635"/>
    <w:rsid w:val="0083421D"/>
    <w:rsid w:val="00835E52"/>
    <w:rsid w:val="00843DDF"/>
    <w:rsid w:val="00860A31"/>
    <w:rsid w:val="00866429"/>
    <w:rsid w:val="0086779E"/>
    <w:rsid w:val="008851EF"/>
    <w:rsid w:val="008D2C7E"/>
    <w:rsid w:val="008E5F60"/>
    <w:rsid w:val="008F5EF0"/>
    <w:rsid w:val="008F7A78"/>
    <w:rsid w:val="00910802"/>
    <w:rsid w:val="00922896"/>
    <w:rsid w:val="00925BC2"/>
    <w:rsid w:val="00944CC0"/>
    <w:rsid w:val="0096462E"/>
    <w:rsid w:val="00980365"/>
    <w:rsid w:val="00981199"/>
    <w:rsid w:val="009821CC"/>
    <w:rsid w:val="0099012A"/>
    <w:rsid w:val="00994086"/>
    <w:rsid w:val="009A1000"/>
    <w:rsid w:val="009A7AF9"/>
    <w:rsid w:val="009B0687"/>
    <w:rsid w:val="009B33A5"/>
    <w:rsid w:val="009B6B2F"/>
    <w:rsid w:val="009C205E"/>
    <w:rsid w:val="009E1204"/>
    <w:rsid w:val="009E36FE"/>
    <w:rsid w:val="00A017A6"/>
    <w:rsid w:val="00A06D30"/>
    <w:rsid w:val="00A143B6"/>
    <w:rsid w:val="00A14CB3"/>
    <w:rsid w:val="00A22003"/>
    <w:rsid w:val="00A22699"/>
    <w:rsid w:val="00A312AB"/>
    <w:rsid w:val="00A317F4"/>
    <w:rsid w:val="00A317F7"/>
    <w:rsid w:val="00A31CA4"/>
    <w:rsid w:val="00A31D4E"/>
    <w:rsid w:val="00A366D7"/>
    <w:rsid w:val="00A66443"/>
    <w:rsid w:val="00A7089A"/>
    <w:rsid w:val="00A71DD6"/>
    <w:rsid w:val="00A9496E"/>
    <w:rsid w:val="00A96F72"/>
    <w:rsid w:val="00AA269D"/>
    <w:rsid w:val="00AA69C5"/>
    <w:rsid w:val="00AA7410"/>
    <w:rsid w:val="00AC1A3A"/>
    <w:rsid w:val="00AC4182"/>
    <w:rsid w:val="00AC696C"/>
    <w:rsid w:val="00AD08A4"/>
    <w:rsid w:val="00AF1786"/>
    <w:rsid w:val="00AF2751"/>
    <w:rsid w:val="00AF4A3A"/>
    <w:rsid w:val="00AF6F05"/>
    <w:rsid w:val="00B07D67"/>
    <w:rsid w:val="00B41DD7"/>
    <w:rsid w:val="00B45BF4"/>
    <w:rsid w:val="00B50718"/>
    <w:rsid w:val="00B52965"/>
    <w:rsid w:val="00B938D9"/>
    <w:rsid w:val="00B943A2"/>
    <w:rsid w:val="00BA2DD3"/>
    <w:rsid w:val="00BD4D58"/>
    <w:rsid w:val="00BD7FAE"/>
    <w:rsid w:val="00BF07EF"/>
    <w:rsid w:val="00BF2202"/>
    <w:rsid w:val="00C13299"/>
    <w:rsid w:val="00C150F9"/>
    <w:rsid w:val="00C23A85"/>
    <w:rsid w:val="00C31B04"/>
    <w:rsid w:val="00C47D08"/>
    <w:rsid w:val="00C52E4E"/>
    <w:rsid w:val="00C54D66"/>
    <w:rsid w:val="00C56EE1"/>
    <w:rsid w:val="00C62DA7"/>
    <w:rsid w:val="00C75202"/>
    <w:rsid w:val="00C80AD5"/>
    <w:rsid w:val="00C874D3"/>
    <w:rsid w:val="00C87E69"/>
    <w:rsid w:val="00C95CE0"/>
    <w:rsid w:val="00CA4BEA"/>
    <w:rsid w:val="00CB441A"/>
    <w:rsid w:val="00CD3832"/>
    <w:rsid w:val="00CE420F"/>
    <w:rsid w:val="00CE4FE5"/>
    <w:rsid w:val="00CF0756"/>
    <w:rsid w:val="00CF5C9A"/>
    <w:rsid w:val="00D005A4"/>
    <w:rsid w:val="00D13285"/>
    <w:rsid w:val="00D23B23"/>
    <w:rsid w:val="00D267B0"/>
    <w:rsid w:val="00D333DB"/>
    <w:rsid w:val="00D3440C"/>
    <w:rsid w:val="00D46788"/>
    <w:rsid w:val="00D508A2"/>
    <w:rsid w:val="00D51ADD"/>
    <w:rsid w:val="00D52E2F"/>
    <w:rsid w:val="00D63DB8"/>
    <w:rsid w:val="00D735CE"/>
    <w:rsid w:val="00D74942"/>
    <w:rsid w:val="00D8060E"/>
    <w:rsid w:val="00D83E58"/>
    <w:rsid w:val="00D93F29"/>
    <w:rsid w:val="00D943C9"/>
    <w:rsid w:val="00DA323D"/>
    <w:rsid w:val="00DA73F9"/>
    <w:rsid w:val="00DC3726"/>
    <w:rsid w:val="00DC4B8E"/>
    <w:rsid w:val="00DC4F30"/>
    <w:rsid w:val="00DC6205"/>
    <w:rsid w:val="00DC7203"/>
    <w:rsid w:val="00DD15A2"/>
    <w:rsid w:val="00DE161E"/>
    <w:rsid w:val="00DE7BD5"/>
    <w:rsid w:val="00DF02AC"/>
    <w:rsid w:val="00DF4880"/>
    <w:rsid w:val="00E02B34"/>
    <w:rsid w:val="00E05B67"/>
    <w:rsid w:val="00E129F5"/>
    <w:rsid w:val="00E13025"/>
    <w:rsid w:val="00E266E8"/>
    <w:rsid w:val="00E4432C"/>
    <w:rsid w:val="00E57BFE"/>
    <w:rsid w:val="00E6048D"/>
    <w:rsid w:val="00E7288C"/>
    <w:rsid w:val="00E7605C"/>
    <w:rsid w:val="00E83F17"/>
    <w:rsid w:val="00E86906"/>
    <w:rsid w:val="00EB79AF"/>
    <w:rsid w:val="00EC51AD"/>
    <w:rsid w:val="00ED027E"/>
    <w:rsid w:val="00ED7199"/>
    <w:rsid w:val="00EE7DA4"/>
    <w:rsid w:val="00F00D95"/>
    <w:rsid w:val="00F02DAB"/>
    <w:rsid w:val="00F15459"/>
    <w:rsid w:val="00F23B96"/>
    <w:rsid w:val="00F55777"/>
    <w:rsid w:val="00F60C36"/>
    <w:rsid w:val="00F614DF"/>
    <w:rsid w:val="00F61E54"/>
    <w:rsid w:val="00F632E7"/>
    <w:rsid w:val="00F74C1A"/>
    <w:rsid w:val="00F83389"/>
    <w:rsid w:val="00F8434F"/>
    <w:rsid w:val="00FA4431"/>
    <w:rsid w:val="00FB1E9E"/>
    <w:rsid w:val="00FC1A48"/>
    <w:rsid w:val="00FC7857"/>
    <w:rsid w:val="00FD76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5A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43BF"/>
    <w:rPr>
      <w:rFonts w:ascii="Times New Roman" w:eastAsia="Calibri" w:hAnsi="Times New Roman" w:cs="Times New Roman"/>
      <w:sz w:val="28"/>
      <w:lang w:val="uk-UA"/>
    </w:rPr>
  </w:style>
  <w:style w:type="paragraph" w:styleId="2">
    <w:name w:val="heading 2"/>
    <w:basedOn w:val="a"/>
    <w:next w:val="a"/>
    <w:link w:val="20"/>
    <w:uiPriority w:val="9"/>
    <w:semiHidden/>
    <w:unhideWhenUsed/>
    <w:qFormat/>
    <w:rsid w:val="003E43B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3E43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7">
    <w:name w:val="heading 7"/>
    <w:basedOn w:val="a"/>
    <w:next w:val="a"/>
    <w:link w:val="70"/>
    <w:qFormat/>
    <w:rsid w:val="003E43BF"/>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3E43BF"/>
    <w:rPr>
      <w:rFonts w:ascii="Arial" w:eastAsia="Times New Roman" w:hAnsi="Arial" w:cs="Arial"/>
      <w:b/>
      <w:bCs/>
      <w:sz w:val="28"/>
      <w:szCs w:val="28"/>
      <w:lang w:val="uk-UA" w:eastAsia="ru-RU"/>
    </w:rPr>
  </w:style>
  <w:style w:type="paragraph" w:styleId="a3">
    <w:name w:val="Body Text"/>
    <w:basedOn w:val="a"/>
    <w:link w:val="a4"/>
    <w:unhideWhenUsed/>
    <w:rsid w:val="003E43BF"/>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basedOn w:val="a0"/>
    <w:link w:val="a3"/>
    <w:rsid w:val="003E43BF"/>
    <w:rPr>
      <w:rFonts w:ascii="Arial" w:eastAsia="Times New Roman" w:hAnsi="Arial" w:cs="Arial"/>
      <w:sz w:val="28"/>
      <w:szCs w:val="28"/>
      <w:lang w:val="uk-UA" w:eastAsia="ru-RU"/>
    </w:rPr>
  </w:style>
  <w:style w:type="paragraph" w:styleId="a5">
    <w:name w:val="header"/>
    <w:basedOn w:val="a"/>
    <w:link w:val="a6"/>
    <w:uiPriority w:val="99"/>
    <w:unhideWhenUsed/>
    <w:rsid w:val="003E43BF"/>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basedOn w:val="a0"/>
    <w:link w:val="a5"/>
    <w:uiPriority w:val="99"/>
    <w:rsid w:val="003E43BF"/>
    <w:rPr>
      <w:rFonts w:ascii="Times New Roman" w:eastAsia="SimSun" w:hAnsi="Times New Roman" w:cs="Times New Roman"/>
      <w:sz w:val="24"/>
      <w:szCs w:val="24"/>
      <w:lang w:val="uk-UA" w:eastAsia="zh-CN"/>
    </w:rPr>
  </w:style>
  <w:style w:type="paragraph" w:styleId="a7">
    <w:name w:val="footer"/>
    <w:basedOn w:val="a"/>
    <w:link w:val="a8"/>
    <w:uiPriority w:val="99"/>
    <w:unhideWhenUsed/>
    <w:rsid w:val="003E43BF"/>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basedOn w:val="a0"/>
    <w:link w:val="a7"/>
    <w:uiPriority w:val="99"/>
    <w:rsid w:val="003E43BF"/>
    <w:rPr>
      <w:rFonts w:ascii="Times New Roman" w:eastAsia="SimSun" w:hAnsi="Times New Roman" w:cs="Times New Roman"/>
      <w:sz w:val="24"/>
      <w:szCs w:val="24"/>
      <w:lang w:val="uk-UA" w:eastAsia="zh-CN"/>
    </w:rPr>
  </w:style>
  <w:style w:type="character" w:styleId="a9">
    <w:name w:val="page number"/>
    <w:rsid w:val="003E43BF"/>
  </w:style>
  <w:style w:type="character" w:customStyle="1" w:styleId="20">
    <w:name w:val="Заголовок 2 Знак"/>
    <w:basedOn w:val="a0"/>
    <w:link w:val="2"/>
    <w:uiPriority w:val="9"/>
    <w:semiHidden/>
    <w:rsid w:val="003E43BF"/>
    <w:rPr>
      <w:rFonts w:asciiTheme="majorHAnsi" w:eastAsiaTheme="majorEastAsia" w:hAnsiTheme="majorHAnsi" w:cstheme="majorBidi"/>
      <w:color w:val="2F5496" w:themeColor="accent1" w:themeShade="BF"/>
      <w:sz w:val="26"/>
      <w:szCs w:val="26"/>
      <w:lang w:val="uk-UA"/>
    </w:rPr>
  </w:style>
  <w:style w:type="character" w:customStyle="1" w:styleId="30">
    <w:name w:val="Заголовок 3 Знак"/>
    <w:basedOn w:val="a0"/>
    <w:link w:val="3"/>
    <w:uiPriority w:val="9"/>
    <w:semiHidden/>
    <w:rsid w:val="003E43BF"/>
    <w:rPr>
      <w:rFonts w:asciiTheme="majorHAnsi" w:eastAsiaTheme="majorEastAsia" w:hAnsiTheme="majorHAnsi" w:cstheme="majorBidi"/>
      <w:color w:val="1F3763" w:themeColor="accent1" w:themeShade="7F"/>
      <w:sz w:val="24"/>
      <w:szCs w:val="24"/>
      <w:lang w:val="uk-UA"/>
    </w:rPr>
  </w:style>
  <w:style w:type="character" w:customStyle="1" w:styleId="rvts0">
    <w:name w:val="rvts0"/>
    <w:rsid w:val="003E43BF"/>
  </w:style>
  <w:style w:type="paragraph" w:styleId="HTML">
    <w:name w:val="HTML Preformatted"/>
    <w:basedOn w:val="a"/>
    <w:link w:val="HTML0"/>
    <w:uiPriority w:val="99"/>
    <w:rsid w:val="003368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1"/>
      <w:szCs w:val="21"/>
      <w:lang w:val="ru-RU" w:eastAsia="ru-RU"/>
    </w:rPr>
  </w:style>
  <w:style w:type="character" w:customStyle="1" w:styleId="HTML0">
    <w:name w:val="Стандартний HTML Знак"/>
    <w:basedOn w:val="a0"/>
    <w:link w:val="HTML"/>
    <w:uiPriority w:val="99"/>
    <w:rsid w:val="00336873"/>
    <w:rPr>
      <w:rFonts w:ascii="Courier New" w:eastAsia="Times New Roman" w:hAnsi="Courier New" w:cs="Courier New"/>
      <w:color w:val="000000"/>
      <w:sz w:val="21"/>
      <w:szCs w:val="21"/>
      <w:lang w:val="ru-RU" w:eastAsia="ru-RU"/>
    </w:rPr>
  </w:style>
  <w:style w:type="paragraph" w:customStyle="1" w:styleId="Aa">
    <w:name w:val="Текстовый блок A"/>
    <w:rsid w:val="000A762C"/>
    <w:pPr>
      <w:pBdr>
        <w:top w:val="nil"/>
        <w:left w:val="nil"/>
        <w:bottom w:val="nil"/>
        <w:right w:val="nil"/>
        <w:between w:val="nil"/>
        <w:bar w:val="nil"/>
      </w:pBdr>
      <w:spacing w:after="200" w:line="276" w:lineRule="auto"/>
    </w:pPr>
    <w:rPr>
      <w:rFonts w:ascii="Helvetica" w:eastAsia="Arial Unicode MS" w:hAnsi="Helvetica" w:cs="Arial Unicode MS"/>
      <w:color w:val="000000"/>
      <w:u w:color="000000"/>
      <w:bdr w:val="nil"/>
      <w:lang w:val="ru-RU" w:eastAsia="uk-UA"/>
    </w:rPr>
  </w:style>
  <w:style w:type="numbering" w:customStyle="1" w:styleId="8">
    <w:name w:val="Импортированный стиль 8"/>
    <w:rsid w:val="007A6A7B"/>
    <w:pPr>
      <w:numPr>
        <w:numId w:val="1"/>
      </w:numPr>
    </w:pPr>
  </w:style>
  <w:style w:type="paragraph" w:styleId="ab">
    <w:name w:val="List Paragraph"/>
    <w:basedOn w:val="a"/>
    <w:uiPriority w:val="34"/>
    <w:qFormat/>
    <w:rsid w:val="007A6A7B"/>
    <w:pPr>
      <w:ind w:left="720"/>
      <w:contextualSpacing/>
    </w:pPr>
  </w:style>
  <w:style w:type="character" w:styleId="ac">
    <w:name w:val="Hyperlink"/>
    <w:basedOn w:val="a0"/>
    <w:uiPriority w:val="99"/>
    <w:semiHidden/>
    <w:unhideWhenUsed/>
    <w:rsid w:val="00981199"/>
    <w:rPr>
      <w:color w:val="0000FF"/>
      <w:u w:val="single"/>
    </w:rPr>
  </w:style>
  <w:style w:type="paragraph" w:customStyle="1" w:styleId="rvps2">
    <w:name w:val="rvps2"/>
    <w:basedOn w:val="a"/>
    <w:rsid w:val="00E7605C"/>
    <w:pPr>
      <w:spacing w:before="100" w:beforeAutospacing="1" w:after="100" w:afterAutospacing="1" w:line="240" w:lineRule="auto"/>
    </w:pPr>
    <w:rPr>
      <w:rFonts w:eastAsia="Times New Roman"/>
      <w:sz w:val="24"/>
      <w:szCs w:val="24"/>
      <w:lang w:val="ru-RU" w:eastAsia="ru-RU"/>
    </w:rPr>
  </w:style>
  <w:style w:type="paragraph" w:styleId="ad">
    <w:name w:val="Normal (Web)"/>
    <w:basedOn w:val="a"/>
    <w:uiPriority w:val="99"/>
    <w:unhideWhenUsed/>
    <w:rsid w:val="00A31D4E"/>
    <w:pPr>
      <w:spacing w:before="100" w:beforeAutospacing="1" w:after="100" w:afterAutospacing="1" w:line="240" w:lineRule="auto"/>
    </w:pPr>
    <w:rPr>
      <w:rFonts w:eastAsia="Times New Roman"/>
      <w:sz w:val="24"/>
      <w:szCs w:val="24"/>
      <w:lang w:val="en-US"/>
    </w:rPr>
  </w:style>
  <w:style w:type="character" w:customStyle="1" w:styleId="rvts9">
    <w:name w:val="rvts9"/>
    <w:basedOn w:val="a0"/>
    <w:rsid w:val="00A31D4E"/>
  </w:style>
  <w:style w:type="character" w:customStyle="1" w:styleId="rvts23">
    <w:name w:val="rvts23"/>
    <w:basedOn w:val="a0"/>
    <w:rsid w:val="005F1E89"/>
  </w:style>
  <w:style w:type="character" w:customStyle="1" w:styleId="rvts15">
    <w:name w:val="rvts15"/>
    <w:basedOn w:val="a0"/>
    <w:rsid w:val="00D74942"/>
  </w:style>
  <w:style w:type="character" w:styleId="ae">
    <w:name w:val="Emphasis"/>
    <w:basedOn w:val="a0"/>
    <w:uiPriority w:val="20"/>
    <w:qFormat/>
    <w:rsid w:val="00A9496E"/>
    <w:rPr>
      <w:i/>
      <w:iCs/>
    </w:rPr>
  </w:style>
  <w:style w:type="character" w:customStyle="1" w:styleId="rvts46">
    <w:name w:val="rvts46"/>
    <w:basedOn w:val="a0"/>
    <w:rsid w:val="00A9496E"/>
  </w:style>
  <w:style w:type="paragraph" w:styleId="af">
    <w:name w:val="Balloon Text"/>
    <w:basedOn w:val="a"/>
    <w:link w:val="af0"/>
    <w:uiPriority w:val="99"/>
    <w:semiHidden/>
    <w:unhideWhenUsed/>
    <w:rsid w:val="0019159A"/>
    <w:pPr>
      <w:spacing w:after="0" w:line="240" w:lineRule="auto"/>
    </w:pPr>
    <w:rPr>
      <w:rFonts w:ascii="Segoe UI" w:hAnsi="Segoe UI" w:cs="Segoe UI"/>
      <w:sz w:val="18"/>
      <w:szCs w:val="18"/>
    </w:rPr>
  </w:style>
  <w:style w:type="character" w:customStyle="1" w:styleId="af0">
    <w:name w:val="Текст у виносці Знак"/>
    <w:basedOn w:val="a0"/>
    <w:link w:val="af"/>
    <w:uiPriority w:val="99"/>
    <w:semiHidden/>
    <w:rsid w:val="0019159A"/>
    <w:rPr>
      <w:rFonts w:ascii="Segoe UI" w:eastAsia="Calibri" w:hAnsi="Segoe UI" w:cs="Segoe UI"/>
      <w:sz w:val="18"/>
      <w:szCs w:val="18"/>
      <w:lang w:val="uk-UA"/>
    </w:rPr>
  </w:style>
  <w:style w:type="paragraph" w:styleId="af1">
    <w:name w:val="footnote text"/>
    <w:basedOn w:val="a"/>
    <w:link w:val="af2"/>
    <w:uiPriority w:val="99"/>
    <w:semiHidden/>
    <w:unhideWhenUsed/>
    <w:rsid w:val="00CE4FE5"/>
    <w:pPr>
      <w:spacing w:after="0" w:line="240" w:lineRule="auto"/>
    </w:pPr>
    <w:rPr>
      <w:sz w:val="20"/>
      <w:szCs w:val="20"/>
    </w:rPr>
  </w:style>
  <w:style w:type="character" w:customStyle="1" w:styleId="af2">
    <w:name w:val="Текст виноски Знак"/>
    <w:basedOn w:val="a0"/>
    <w:link w:val="af1"/>
    <w:uiPriority w:val="99"/>
    <w:semiHidden/>
    <w:rsid w:val="00CE4FE5"/>
    <w:rPr>
      <w:rFonts w:ascii="Times New Roman" w:eastAsia="Calibri" w:hAnsi="Times New Roman" w:cs="Times New Roman"/>
      <w:sz w:val="20"/>
      <w:szCs w:val="20"/>
      <w:lang w:val="uk-UA"/>
    </w:rPr>
  </w:style>
  <w:style w:type="character" w:styleId="af3">
    <w:name w:val="footnote reference"/>
    <w:basedOn w:val="a0"/>
    <w:uiPriority w:val="99"/>
    <w:semiHidden/>
    <w:unhideWhenUsed/>
    <w:rsid w:val="00CE4FE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671651">
      <w:bodyDiv w:val="1"/>
      <w:marLeft w:val="0"/>
      <w:marRight w:val="0"/>
      <w:marTop w:val="0"/>
      <w:marBottom w:val="0"/>
      <w:divBdr>
        <w:top w:val="none" w:sz="0" w:space="0" w:color="auto"/>
        <w:left w:val="none" w:sz="0" w:space="0" w:color="auto"/>
        <w:bottom w:val="none" w:sz="0" w:space="0" w:color="auto"/>
        <w:right w:val="none" w:sz="0" w:space="0" w:color="auto"/>
      </w:divBdr>
    </w:div>
    <w:div w:id="463620338">
      <w:bodyDiv w:val="1"/>
      <w:marLeft w:val="0"/>
      <w:marRight w:val="0"/>
      <w:marTop w:val="0"/>
      <w:marBottom w:val="0"/>
      <w:divBdr>
        <w:top w:val="none" w:sz="0" w:space="0" w:color="auto"/>
        <w:left w:val="none" w:sz="0" w:space="0" w:color="auto"/>
        <w:bottom w:val="none" w:sz="0" w:space="0" w:color="auto"/>
        <w:right w:val="none" w:sz="0" w:space="0" w:color="auto"/>
      </w:divBdr>
    </w:div>
    <w:div w:id="471943676">
      <w:bodyDiv w:val="1"/>
      <w:marLeft w:val="0"/>
      <w:marRight w:val="0"/>
      <w:marTop w:val="0"/>
      <w:marBottom w:val="0"/>
      <w:divBdr>
        <w:top w:val="none" w:sz="0" w:space="0" w:color="auto"/>
        <w:left w:val="none" w:sz="0" w:space="0" w:color="auto"/>
        <w:bottom w:val="none" w:sz="0" w:space="0" w:color="auto"/>
        <w:right w:val="none" w:sz="0" w:space="0" w:color="auto"/>
      </w:divBdr>
    </w:div>
    <w:div w:id="620185928">
      <w:bodyDiv w:val="1"/>
      <w:marLeft w:val="0"/>
      <w:marRight w:val="0"/>
      <w:marTop w:val="0"/>
      <w:marBottom w:val="0"/>
      <w:divBdr>
        <w:top w:val="none" w:sz="0" w:space="0" w:color="auto"/>
        <w:left w:val="none" w:sz="0" w:space="0" w:color="auto"/>
        <w:bottom w:val="none" w:sz="0" w:space="0" w:color="auto"/>
        <w:right w:val="none" w:sz="0" w:space="0" w:color="auto"/>
      </w:divBdr>
    </w:div>
    <w:div w:id="699401851">
      <w:bodyDiv w:val="1"/>
      <w:marLeft w:val="0"/>
      <w:marRight w:val="0"/>
      <w:marTop w:val="0"/>
      <w:marBottom w:val="0"/>
      <w:divBdr>
        <w:top w:val="none" w:sz="0" w:space="0" w:color="auto"/>
        <w:left w:val="none" w:sz="0" w:space="0" w:color="auto"/>
        <w:bottom w:val="none" w:sz="0" w:space="0" w:color="auto"/>
        <w:right w:val="none" w:sz="0" w:space="0" w:color="auto"/>
      </w:divBdr>
    </w:div>
    <w:div w:id="1102914180">
      <w:bodyDiv w:val="1"/>
      <w:marLeft w:val="0"/>
      <w:marRight w:val="0"/>
      <w:marTop w:val="0"/>
      <w:marBottom w:val="0"/>
      <w:divBdr>
        <w:top w:val="none" w:sz="0" w:space="0" w:color="auto"/>
        <w:left w:val="none" w:sz="0" w:space="0" w:color="auto"/>
        <w:bottom w:val="none" w:sz="0" w:space="0" w:color="auto"/>
        <w:right w:val="none" w:sz="0" w:space="0" w:color="auto"/>
      </w:divBdr>
    </w:div>
    <w:div w:id="1181581306">
      <w:bodyDiv w:val="1"/>
      <w:marLeft w:val="0"/>
      <w:marRight w:val="0"/>
      <w:marTop w:val="0"/>
      <w:marBottom w:val="0"/>
      <w:divBdr>
        <w:top w:val="none" w:sz="0" w:space="0" w:color="auto"/>
        <w:left w:val="none" w:sz="0" w:space="0" w:color="auto"/>
        <w:bottom w:val="none" w:sz="0" w:space="0" w:color="auto"/>
        <w:right w:val="none" w:sz="0" w:space="0" w:color="auto"/>
      </w:divBdr>
    </w:div>
    <w:div w:id="1321688123">
      <w:bodyDiv w:val="1"/>
      <w:marLeft w:val="0"/>
      <w:marRight w:val="0"/>
      <w:marTop w:val="0"/>
      <w:marBottom w:val="0"/>
      <w:divBdr>
        <w:top w:val="none" w:sz="0" w:space="0" w:color="auto"/>
        <w:left w:val="none" w:sz="0" w:space="0" w:color="auto"/>
        <w:bottom w:val="none" w:sz="0" w:space="0" w:color="auto"/>
        <w:right w:val="none" w:sz="0" w:space="0" w:color="auto"/>
      </w:divBdr>
    </w:div>
    <w:div w:id="1368525175">
      <w:bodyDiv w:val="1"/>
      <w:marLeft w:val="0"/>
      <w:marRight w:val="0"/>
      <w:marTop w:val="0"/>
      <w:marBottom w:val="0"/>
      <w:divBdr>
        <w:top w:val="none" w:sz="0" w:space="0" w:color="auto"/>
        <w:left w:val="none" w:sz="0" w:space="0" w:color="auto"/>
        <w:bottom w:val="none" w:sz="0" w:space="0" w:color="auto"/>
        <w:right w:val="none" w:sz="0" w:space="0" w:color="auto"/>
      </w:divBdr>
    </w:div>
    <w:div w:id="1525093986">
      <w:bodyDiv w:val="1"/>
      <w:marLeft w:val="0"/>
      <w:marRight w:val="0"/>
      <w:marTop w:val="0"/>
      <w:marBottom w:val="0"/>
      <w:divBdr>
        <w:top w:val="none" w:sz="0" w:space="0" w:color="auto"/>
        <w:left w:val="none" w:sz="0" w:space="0" w:color="auto"/>
        <w:bottom w:val="none" w:sz="0" w:space="0" w:color="auto"/>
        <w:right w:val="none" w:sz="0" w:space="0" w:color="auto"/>
      </w:divBdr>
    </w:div>
    <w:div w:id="1531144082">
      <w:bodyDiv w:val="1"/>
      <w:marLeft w:val="0"/>
      <w:marRight w:val="0"/>
      <w:marTop w:val="0"/>
      <w:marBottom w:val="0"/>
      <w:divBdr>
        <w:top w:val="none" w:sz="0" w:space="0" w:color="auto"/>
        <w:left w:val="none" w:sz="0" w:space="0" w:color="auto"/>
        <w:bottom w:val="none" w:sz="0" w:space="0" w:color="auto"/>
        <w:right w:val="none" w:sz="0" w:space="0" w:color="auto"/>
      </w:divBdr>
    </w:div>
    <w:div w:id="1678002844">
      <w:bodyDiv w:val="1"/>
      <w:marLeft w:val="0"/>
      <w:marRight w:val="0"/>
      <w:marTop w:val="0"/>
      <w:marBottom w:val="0"/>
      <w:divBdr>
        <w:top w:val="none" w:sz="0" w:space="0" w:color="auto"/>
        <w:left w:val="none" w:sz="0" w:space="0" w:color="auto"/>
        <w:bottom w:val="none" w:sz="0" w:space="0" w:color="auto"/>
        <w:right w:val="none" w:sz="0" w:space="0" w:color="auto"/>
      </w:divBdr>
    </w:div>
    <w:div w:id="1722365467">
      <w:bodyDiv w:val="1"/>
      <w:marLeft w:val="0"/>
      <w:marRight w:val="0"/>
      <w:marTop w:val="0"/>
      <w:marBottom w:val="0"/>
      <w:divBdr>
        <w:top w:val="none" w:sz="0" w:space="0" w:color="auto"/>
        <w:left w:val="none" w:sz="0" w:space="0" w:color="auto"/>
        <w:bottom w:val="none" w:sz="0" w:space="0" w:color="auto"/>
        <w:right w:val="none" w:sz="0" w:space="0" w:color="auto"/>
      </w:divBdr>
    </w:div>
    <w:div w:id="1838879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A494FD-58B1-415C-A59F-D222147EFD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6289</Words>
  <Characters>3585</Characters>
  <Application>Microsoft Office Word</Application>
  <DocSecurity>0</DocSecurity>
  <Lines>29</Lines>
  <Paragraphs>19</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LinksUpToDate>false</LinksUpToDate>
  <CharactersWithSpaces>9855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2021-03-29T09:31:00Z</dcterms:created>
  <dcterms:modified xsi:type="dcterms:W3CDTF">2021-03-29T09:31:00Z</dcterms:modified>
</cp:coreProperties>
</file>